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0CC6" w:rsidRDefault="009C6A3F" w:rsidP="009C6A3F">
      <w:pPr>
        <w:pStyle w:val="Pagedecouverture"/>
        <w:rPr>
          <w:noProof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32" type="#_x0000_t75" alt="CD44C266E1D243069C6535D886D96508" style="width:450.75pt;height:366pt">
            <v:imagedata r:id="rId9" o:title=""/>
          </v:shape>
        </w:pict>
      </w:r>
    </w:p>
    <w:p w:rsidR="00820CC6" w:rsidRDefault="00820CC6">
      <w:pPr>
        <w:pStyle w:val="Pagedecouverture"/>
        <w:rPr>
          <w:noProof/>
        </w:rPr>
        <w:sectPr w:rsidR="00820CC6" w:rsidSect="009C6A3F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7" w:h="16839"/>
          <w:pgMar w:top="1134" w:right="1417" w:bottom="1134" w:left="1417" w:header="709" w:footer="709" w:gutter="0"/>
          <w:pgNumType w:start="1"/>
          <w:cols w:space="720"/>
          <w:docGrid w:linePitch="360"/>
        </w:sectPr>
      </w:pPr>
    </w:p>
    <w:p w:rsidR="00820CC6" w:rsidRDefault="00820CC6">
      <w:pPr>
        <w:pStyle w:val="Exposdesmotifstitre"/>
        <w:rPr>
          <w:noProof/>
        </w:rPr>
      </w:pPr>
      <w:bookmarkStart w:id="0" w:name="_GoBack"/>
      <w:bookmarkEnd w:id="0"/>
    </w:p>
    <w:p w:rsidR="00820CC6" w:rsidRDefault="00820CC6">
      <w:pPr>
        <w:rPr>
          <w:noProof/>
        </w:rPr>
      </w:pPr>
    </w:p>
    <w:p w:rsidR="00820CC6" w:rsidRDefault="009C6A3F" w:rsidP="009C6A3F">
      <w:pPr>
        <w:pStyle w:val="Statut"/>
        <w:rPr>
          <w:noProof/>
        </w:rPr>
      </w:pPr>
      <w:r w:rsidRPr="009C6A3F">
        <w:t>Препоръка за</w:t>
      </w:r>
    </w:p>
    <w:p w:rsidR="00820CC6" w:rsidRDefault="009C6A3F" w:rsidP="009C6A3F">
      <w:pPr>
        <w:pStyle w:val="Typedudocument"/>
        <w:rPr>
          <w:noProof/>
        </w:rPr>
      </w:pPr>
      <w:r w:rsidRPr="009C6A3F">
        <w:t>ПРЕПОРЪКА НА СЪВЕТА</w:t>
      </w:r>
    </w:p>
    <w:p w:rsidR="00820CC6" w:rsidRDefault="009C6A3F" w:rsidP="009C6A3F">
      <w:pPr>
        <w:pStyle w:val="Titreobjet"/>
        <w:rPr>
          <w:noProof/>
        </w:rPr>
      </w:pPr>
      <w:r w:rsidRPr="009C6A3F">
        <w:t>относно националната програма за реформи на Финландия за 2015</w:t>
      </w:r>
      <w:r>
        <w:t> </w:t>
      </w:r>
      <w:r w:rsidRPr="009C6A3F">
        <w:t>г.</w:t>
      </w:r>
      <w:r w:rsidRPr="009C6A3F">
        <w:br/>
      </w:r>
      <w:r w:rsidRPr="009C6A3F">
        <w:br/>
        <w:t>и съдържаща становище на Съвета относно програмата за стабилност на Финландия за 2015</w:t>
      </w:r>
      <w:r>
        <w:t> </w:t>
      </w:r>
      <w:r w:rsidRPr="009C6A3F">
        <w:t>г.</w:t>
      </w:r>
    </w:p>
    <w:p w:rsidR="00820CC6" w:rsidRDefault="009C6A3F">
      <w:pPr>
        <w:pStyle w:val="Institutionquiagit"/>
        <w:rPr>
          <w:noProof/>
        </w:rPr>
      </w:pPr>
      <w:r>
        <w:rPr>
          <w:noProof/>
        </w:rPr>
        <w:t>СЪВЕТЪТ НА ЕВРОПЕЙСКИЯ СЪЮЗ,</w:t>
      </w:r>
    </w:p>
    <w:p w:rsidR="00820CC6" w:rsidRDefault="009C6A3F">
      <w:pPr>
        <w:rPr>
          <w:noProof/>
        </w:rPr>
      </w:pPr>
      <w:r>
        <w:rPr>
          <w:noProof/>
        </w:rPr>
        <w:t>като взе предвид Договора за функционирането на Европейския съюз, и по-специално член 121, параграф 2 и член 148, параграф 4 от него,</w:t>
      </w:r>
    </w:p>
    <w:p w:rsidR="00820CC6" w:rsidRDefault="009C6A3F">
      <w:pPr>
        <w:rPr>
          <w:noProof/>
        </w:rPr>
      </w:pPr>
      <w:r>
        <w:rPr>
          <w:noProof/>
        </w:rPr>
        <w:t>като в</w:t>
      </w:r>
      <w:r>
        <w:rPr>
          <w:noProof/>
        </w:rPr>
        <w:t>зе предвид Регламент (ЕО) № 1466/97 на Съвета от 7 юли 1997 г. за засилване на надзора върху състоянието на бюджета и на надзора и координацията на икономическите политики</w:t>
      </w:r>
      <w:r>
        <w:rPr>
          <w:rStyle w:val="FootnoteReference"/>
          <w:noProof/>
        </w:rPr>
        <w:footnoteReference w:id="1"/>
      </w:r>
      <w:r>
        <w:rPr>
          <w:noProof/>
        </w:rPr>
        <w:t>, и по-специално член 5, параграф 2 от него,</w:t>
      </w:r>
    </w:p>
    <w:p w:rsidR="00820CC6" w:rsidRDefault="009C6A3F">
      <w:pPr>
        <w:rPr>
          <w:noProof/>
        </w:rPr>
      </w:pPr>
      <w:r>
        <w:rPr>
          <w:noProof/>
        </w:rPr>
        <w:t>като взе предвид Регламент (ЕС) № 1176/</w:t>
      </w:r>
      <w:r>
        <w:rPr>
          <w:noProof/>
        </w:rPr>
        <w:t>2011 на Европейския парламент и на Съвета от 6 ноември 2011 г. относно предотвратяването и коригирането на макроикономическите дисбаланси</w:t>
      </w:r>
      <w:r>
        <w:rPr>
          <w:rStyle w:val="FootnoteReference"/>
          <w:noProof/>
        </w:rPr>
        <w:footnoteReference w:id="2"/>
      </w:r>
      <w:r>
        <w:rPr>
          <w:noProof/>
        </w:rPr>
        <w:t>, и по-специално член 6, параграф 1 от него,</w:t>
      </w:r>
    </w:p>
    <w:p w:rsidR="00820CC6" w:rsidRDefault="009C6A3F">
      <w:pPr>
        <w:rPr>
          <w:noProof/>
        </w:rPr>
      </w:pPr>
      <w:r>
        <w:rPr>
          <w:noProof/>
        </w:rPr>
        <w:t>като взе предвид препоръката на Европейската комисия</w:t>
      </w:r>
      <w:r>
        <w:rPr>
          <w:rStyle w:val="FootnoteReference"/>
          <w:noProof/>
        </w:rPr>
        <w:footnoteReference w:id="3"/>
      </w:r>
      <w:r>
        <w:rPr>
          <w:noProof/>
        </w:rPr>
        <w:t>,</w:t>
      </w:r>
    </w:p>
    <w:p w:rsidR="00820CC6" w:rsidRDefault="009C6A3F">
      <w:pPr>
        <w:rPr>
          <w:noProof/>
        </w:rPr>
      </w:pPr>
      <w:r>
        <w:rPr>
          <w:noProof/>
        </w:rPr>
        <w:t>като взе предвид р</w:t>
      </w:r>
      <w:r>
        <w:rPr>
          <w:noProof/>
        </w:rPr>
        <w:t>езолюциите на Европейския парламент</w:t>
      </w:r>
      <w:r>
        <w:rPr>
          <w:rStyle w:val="FootnoteReference"/>
          <w:noProof/>
        </w:rPr>
        <w:footnoteReference w:id="4"/>
      </w:r>
      <w:r>
        <w:rPr>
          <w:noProof/>
        </w:rPr>
        <w:t>,</w:t>
      </w:r>
    </w:p>
    <w:p w:rsidR="00820CC6" w:rsidRDefault="009C6A3F">
      <w:pPr>
        <w:outlineLvl w:val="0"/>
        <w:rPr>
          <w:noProof/>
        </w:rPr>
      </w:pPr>
      <w:r>
        <w:rPr>
          <w:noProof/>
        </w:rPr>
        <w:t>като взе предвид заключенията на Европейския съвет,</w:t>
      </w:r>
    </w:p>
    <w:p w:rsidR="00820CC6" w:rsidRDefault="009C6A3F">
      <w:pPr>
        <w:rPr>
          <w:noProof/>
        </w:rPr>
      </w:pPr>
      <w:r>
        <w:rPr>
          <w:noProof/>
        </w:rPr>
        <w:t>като взе предвид становището на Комитета по заетостта,</w:t>
      </w:r>
    </w:p>
    <w:p w:rsidR="00820CC6" w:rsidRDefault="009C6A3F">
      <w:pPr>
        <w:rPr>
          <w:noProof/>
        </w:rPr>
      </w:pPr>
      <w:r>
        <w:rPr>
          <w:noProof/>
        </w:rPr>
        <w:t>като взе предвид становището на Икономическия и финансов комитет,</w:t>
      </w:r>
    </w:p>
    <w:p w:rsidR="00820CC6" w:rsidRDefault="009C6A3F">
      <w:pPr>
        <w:rPr>
          <w:noProof/>
        </w:rPr>
      </w:pPr>
      <w:r>
        <w:rPr>
          <w:noProof/>
        </w:rPr>
        <w:t>като взе предвид становището на Комитета за с</w:t>
      </w:r>
      <w:r>
        <w:rPr>
          <w:noProof/>
        </w:rPr>
        <w:t>оциална закрила,</w:t>
      </w:r>
    </w:p>
    <w:p w:rsidR="00820CC6" w:rsidRDefault="009C6A3F">
      <w:pPr>
        <w:rPr>
          <w:noProof/>
        </w:rPr>
      </w:pPr>
      <w:r>
        <w:rPr>
          <w:noProof/>
        </w:rPr>
        <w:t>като взе предвид становището на Комитета за икономическа политика,</w:t>
      </w:r>
    </w:p>
    <w:p w:rsidR="00820CC6" w:rsidRDefault="009C6A3F">
      <w:pPr>
        <w:rPr>
          <w:noProof/>
        </w:rPr>
      </w:pPr>
      <w:r>
        <w:rPr>
          <w:noProof/>
        </w:rPr>
        <w:t>като има предвид, че:</w:t>
      </w:r>
    </w:p>
    <w:p w:rsidR="00820CC6" w:rsidRDefault="009C6A3F">
      <w:pPr>
        <w:pStyle w:val="Point0number"/>
        <w:numPr>
          <w:ilvl w:val="0"/>
          <w:numId w:val="1"/>
        </w:numPr>
        <w:rPr>
          <w:noProof/>
        </w:rPr>
      </w:pPr>
      <w:r>
        <w:rPr>
          <w:noProof/>
        </w:rPr>
        <w:t>На 26 март 2010 г. Европейският съвет постигна съгласие по предложението на Комисията да се започне изпълнението на нова стратегия за растеж и работни</w:t>
      </w:r>
      <w:r>
        <w:rPr>
          <w:noProof/>
        </w:rPr>
        <w:t xml:space="preserve"> места — стратегията „Европа 2020“ — въз основа на засилена координация на икономическите политики. Стратегията е съсредоточена върху ключовите области, в които е необходимо да се предприемат действия за повишаване на потенциала на Европа за устойчив расте</w:t>
      </w:r>
      <w:r>
        <w:rPr>
          <w:noProof/>
        </w:rPr>
        <w:t>ж и конкурентоспособност.</w:t>
      </w:r>
    </w:p>
    <w:p w:rsidR="00820CC6" w:rsidRDefault="009C6A3F">
      <w:pPr>
        <w:pStyle w:val="Point0number"/>
        <w:rPr>
          <w:noProof/>
        </w:rPr>
      </w:pPr>
      <w:r>
        <w:rPr>
          <w:noProof/>
        </w:rPr>
        <w:t xml:space="preserve">На 13 юли 2010 г. въз основа на предложенията на Комисията Съветът прие препоръка относно общите насоки за икономическите политики на държавите членки и на Съюза (за периода 2010—2014 г.), а на 21 октомври 2010 г. прие </w:t>
      </w:r>
      <w:r>
        <w:rPr>
          <w:noProof/>
        </w:rPr>
        <w:lastRenderedPageBreak/>
        <w:t>решение отн</w:t>
      </w:r>
      <w:r>
        <w:rPr>
          <w:noProof/>
        </w:rPr>
        <w:t>осно насоки за политиките на държавите членки по заетостта. Заедно двата акта представляват т. нар. „интегрирани насоки“, с които държавите членки бяха приканени да се съобразят при провеждането на националната си икономическа политика и политика за заетос</w:t>
      </w:r>
      <w:r>
        <w:rPr>
          <w:noProof/>
        </w:rPr>
        <w:t>т.</w:t>
      </w:r>
    </w:p>
    <w:p w:rsidR="00820CC6" w:rsidRDefault="009C6A3F">
      <w:pPr>
        <w:pStyle w:val="Point0number"/>
        <w:rPr>
          <w:noProof/>
        </w:rPr>
      </w:pPr>
      <w:r>
        <w:rPr>
          <w:noProof/>
        </w:rPr>
        <w:t>На 8 юли 2014 г. Съветът прие препоръка относно националната програма за реформи на Финландия за 2014 г. и даде становището си относно актуализираната програма за стабилност на Финландия за 2014 г. На 28 ноември 2014 г. в съответствие с Регламент (EС) №</w:t>
      </w:r>
      <w:r>
        <w:rPr>
          <w:noProof/>
        </w:rPr>
        <w:t xml:space="preserve"> 473/2013</w:t>
      </w:r>
      <w:r>
        <w:rPr>
          <w:rStyle w:val="FootnoteReference"/>
          <w:noProof/>
        </w:rPr>
        <w:footnoteReference w:id="5"/>
      </w:r>
      <w:r>
        <w:rPr>
          <w:noProof/>
        </w:rPr>
        <w:t>, Комисията представи своето становище относно проекта на бюджетен план на Финландия за 2015 г.</w:t>
      </w:r>
      <w:r>
        <w:rPr>
          <w:rStyle w:val="FootnoteReference"/>
          <w:noProof/>
        </w:rPr>
        <w:footnoteReference w:id="6"/>
      </w:r>
    </w:p>
    <w:p w:rsidR="00820CC6" w:rsidRDefault="009C6A3F">
      <w:pPr>
        <w:pStyle w:val="Point0number"/>
        <w:numPr>
          <w:ilvl w:val="0"/>
          <w:numId w:val="1"/>
        </w:numPr>
        <w:rPr>
          <w:noProof/>
        </w:rPr>
      </w:pPr>
      <w:r>
        <w:rPr>
          <w:noProof/>
        </w:rPr>
        <w:t>На 28 ноември 2014 г. Комисията прие Годишния обзор на растежа</w:t>
      </w:r>
      <w:r>
        <w:rPr>
          <w:rStyle w:val="FootnoteReference"/>
          <w:noProof/>
        </w:rPr>
        <w:footnoteReference w:id="7"/>
      </w:r>
      <w:r>
        <w:rPr>
          <w:noProof/>
        </w:rPr>
        <w:t>, с което постави началото на европейския семестър за 2015 г. за координация на иконом</w:t>
      </w:r>
      <w:r>
        <w:rPr>
          <w:noProof/>
        </w:rPr>
        <w:t>ическите политики. На същия ден въз основа на Регламент (ЕС) № 1176/2011 Комисията прие Доклада за механизма за предупреждение</w:t>
      </w:r>
      <w:r>
        <w:rPr>
          <w:rStyle w:val="FootnoteReference"/>
          <w:noProof/>
        </w:rPr>
        <w:footnoteReference w:id="8"/>
      </w:r>
      <w:r>
        <w:rPr>
          <w:noProof/>
        </w:rPr>
        <w:t>, в който беше посочено, че Финландия е една от държавите членки, за които ще се извърши задълбочен преглед.</w:t>
      </w:r>
    </w:p>
    <w:p w:rsidR="00820CC6" w:rsidRDefault="009C6A3F">
      <w:pPr>
        <w:pStyle w:val="Point0number"/>
        <w:numPr>
          <w:ilvl w:val="0"/>
          <w:numId w:val="1"/>
        </w:numPr>
        <w:rPr>
          <w:noProof/>
        </w:rPr>
      </w:pPr>
      <w:r>
        <w:rPr>
          <w:noProof/>
        </w:rPr>
        <w:t>На 18 декември 2014 </w:t>
      </w:r>
      <w:r>
        <w:rPr>
          <w:noProof/>
        </w:rPr>
        <w:t>г. Европейският съвет одобри приоритетите за стимулиране на инвестициите, ускоряване на структурните реформи и продължаване на фискалната консолидация, благоприятстваща растежа.</w:t>
      </w:r>
    </w:p>
    <w:p w:rsidR="00820CC6" w:rsidRDefault="009C6A3F">
      <w:pPr>
        <w:pStyle w:val="Point0number"/>
        <w:numPr>
          <w:ilvl w:val="0"/>
          <w:numId w:val="1"/>
        </w:numPr>
        <w:rPr>
          <w:noProof/>
        </w:rPr>
      </w:pPr>
      <w:r>
        <w:rPr>
          <w:noProof/>
        </w:rPr>
        <w:t>На 26 февруари 2015 г. Комисията публикува своя доклад от 2015 г. за Финландия</w:t>
      </w:r>
      <w:r>
        <w:rPr>
          <w:rStyle w:val="FootnoteReference"/>
          <w:noProof/>
        </w:rPr>
        <w:footnoteReference w:id="9"/>
      </w:r>
      <w:r>
        <w:rPr>
          <w:noProof/>
        </w:rPr>
        <w:t>. В доклада се оценява напредъка на Финландия в изпълнението на специфичните за всяка държава препоръки, приети на 8 юли 2014 г. Докладът за страната включва и резултатите от задълбочения преглед, извършен съгласно член 5 от Регламент (ЕС) № 1176/2011. Ан</w:t>
      </w:r>
      <w:r>
        <w:rPr>
          <w:noProof/>
        </w:rPr>
        <w:t xml:space="preserve">ализът на Комисията дава основание да се заключи, че във Финландия са налице макроикономически дисбаланси, които налагат политически действия и мониторинг. По-специално заслужават да се следят внимателно слабите резултати на износа през последните години, </w:t>
      </w:r>
      <w:r>
        <w:rPr>
          <w:noProof/>
        </w:rPr>
        <w:t>дължащи се на промишлено преструктуриране. Въпреки че спадът в експортните пазарни дялове и електронната промишленост до голяма степен приключи, инвестициите продължават да са ниски и потенциалният растеж намаля. Дългът на частния сектор се стабилизира и н</w:t>
      </w:r>
      <w:r>
        <w:rPr>
          <w:noProof/>
        </w:rPr>
        <w:t>е изглежда да е източник на сериозна загриженост, но неговото относително високо равнище изисква наблюдение отблизо.</w:t>
      </w:r>
    </w:p>
    <w:p w:rsidR="00820CC6" w:rsidRDefault="009C6A3F">
      <w:pPr>
        <w:pStyle w:val="Point0number"/>
        <w:rPr>
          <w:noProof/>
        </w:rPr>
      </w:pPr>
      <w:r>
        <w:rPr>
          <w:noProof/>
        </w:rPr>
        <w:t>На 2 април 2015 г. Финландия представи своята национална програма за реформи за 2015 г. и своята програма за стабилност за 2015 г. Двете пр</w:t>
      </w:r>
      <w:r>
        <w:rPr>
          <w:noProof/>
        </w:rPr>
        <w:t>ограми бяха оценени едновременно, за да бъдат отчетени взаимовръзките между тях.</w:t>
      </w:r>
    </w:p>
    <w:p w:rsidR="00820CC6" w:rsidRDefault="009C6A3F">
      <w:pPr>
        <w:pStyle w:val="Point0number"/>
        <w:numPr>
          <w:ilvl w:val="0"/>
          <w:numId w:val="1"/>
        </w:numPr>
        <w:rPr>
          <w:noProof/>
        </w:rPr>
      </w:pPr>
      <w:r>
        <w:rPr>
          <w:noProof/>
        </w:rPr>
        <w:t xml:space="preserve">Спрямо Финландия понастоящем се прилагат [корективните] мерки на Пакта за стабилност и растеж, след като Съветът прие решение в съответствие с член 125, параграф 6 от ДФЕС на </w:t>
      </w:r>
      <w:r>
        <w:rPr>
          <w:noProof/>
        </w:rPr>
        <w:t xml:space="preserve">[XX]. В програмата за стабилност за 2015 г., която се основава на допускането, че няма да има промяна в политиката и обхваща периода 2014—2019 г., номиналният дефицит, който се увеличи до 3,2 % от БВП през 2014 г. и така превиши референтната стойност от 3 </w:t>
      </w:r>
      <w:r>
        <w:rPr>
          <w:noProof/>
        </w:rPr>
        <w:t xml:space="preserve">% от БВП, се очаква допълнително да се влоши до 3,4 % от БВП през 2015 г., а след това </w:t>
      </w:r>
      <w:r>
        <w:rPr>
          <w:noProof/>
        </w:rPr>
        <w:lastRenderedPageBreak/>
        <w:t>постепенно да спадне до 3,1 % през 2017 г. и още до 2,5 % от БВП през 2019 г. Съгласно програмата за стабилност за 2015 г. съотношението на дълга спрямо БВП се очаква да</w:t>
      </w:r>
      <w:r>
        <w:rPr>
          <w:noProof/>
        </w:rPr>
        <w:t xml:space="preserve"> нарасне през прогнозния период на програмата и да достигне 67,8 % до 2019 г. Средносрочната цел — структурен дефицит от 0,5 % от БВП — не е постигната до края на програмния период. Макроикономическият сценарий в основата на бюджетните прогнози на програма</w:t>
      </w:r>
      <w:r>
        <w:rPr>
          <w:noProof/>
        </w:rPr>
        <w:t>та е реалистичен. Въз основа на прогнозата на Комисията от пролетта на 2015 г. дефицитът на консолидирания държавен бюджет на Финландия се очаква да достигне 3,3 % от БВП през 2015 г. и 3,2 % от БВП през 2016 г., като в същото време се очаква съотношението</w:t>
      </w:r>
      <w:r>
        <w:rPr>
          <w:noProof/>
        </w:rPr>
        <w:t xml:space="preserve"> на дълга спрямо БВП да нарасне до 64,4 % от БВП до 2016 г. На 13 май 2015 г. Комисията публикува доклад в съответствие с член 126, параграф 3 от Договора, според който критериите за дефицита и за дълга не се смятат за спазени. Програмата за стабилност не </w:t>
      </w:r>
      <w:r>
        <w:rPr>
          <w:noProof/>
        </w:rPr>
        <w:t>гарантира, че прекомерният дефицит ще бъде коригиран по бърз и траен начин до 201X г. Поради това ще са необходими допълнителни мерки. Въз основа на своята оценка на програмата за стабилност и вземайки предвид прогнозата на Комисията от пролетта на 2015 г.</w:t>
      </w:r>
      <w:r>
        <w:rPr>
          <w:noProof/>
        </w:rPr>
        <w:t>, Съветът е на мнение, че съществува риск Финландия да не спази разпоредбите на Пакта за стабилност и растеж. Въпреки че Финландия е отбелязала известен напредък при изпълнението на административните реформи, ефикасността на публичния сектор на Финландия б</w:t>
      </w:r>
      <w:r>
        <w:rPr>
          <w:noProof/>
        </w:rPr>
        <w:t>и могъл да бъде подобрен, особено в райони, които са изправени пред натиск на разходите в бъдеще поради застаряването на населението. Социалните партньори постигнаха съгласие по съдържанието на пенсионната реформа през есента на 2014 г., но тя все още пред</w:t>
      </w:r>
      <w:r>
        <w:rPr>
          <w:noProof/>
        </w:rPr>
        <w:t>стои да бъде приета. Повишаването на участието на по-възрастните работници в работната сила е от решаващо значение с оглед на фискалната устойчивост и планираното увеличаване на задължителната пенсионна възраст. Ранното напускане на пазара на труда е главн</w:t>
      </w:r>
      <w:r>
        <w:rPr>
          <w:noProof/>
        </w:rPr>
        <w:t>о поради увреждане или въз основа на удължаване на помощите за безработица за по-възрастните работници. Законопроектът на правителството за реформа на социалните и здравните услуги беше представен на Парламента през декември 2014 г., но преди парламентарни</w:t>
      </w:r>
      <w:r>
        <w:rPr>
          <w:noProof/>
        </w:rPr>
        <w:t>те избори през април 2015 г. не бе намерено задоволително решение за балансиране на административния модел на големите общински коалиции с автономията на отделните общини, и законопроектът отпадна. Финландските общини са относително малки, но извършват дос</w:t>
      </w:r>
      <w:r>
        <w:rPr>
          <w:noProof/>
        </w:rPr>
        <w:t>та обширни задачи в сравнение с тези в други европейски страни. Реформата на общинските структури е в ход с известно закъснение и общините провеждат изследвания относно ползите от сливанията. Съгласно националната програма за реформи от 2015 г. ново законо</w:t>
      </w:r>
      <w:r>
        <w:rPr>
          <w:noProof/>
        </w:rPr>
        <w:t>дателно предложение може да бъде внесено в Парламента до края на 2016 г.</w:t>
      </w:r>
    </w:p>
    <w:p w:rsidR="00820CC6" w:rsidRDefault="009C6A3F">
      <w:pPr>
        <w:pStyle w:val="Point0number"/>
        <w:numPr>
          <w:ilvl w:val="0"/>
          <w:numId w:val="1"/>
        </w:numPr>
        <w:rPr>
          <w:noProof/>
        </w:rPr>
      </w:pPr>
      <w:r>
        <w:rPr>
          <w:noProof/>
        </w:rPr>
        <w:t>С оглед на застаряването и намаляването на активното население</w:t>
      </w:r>
      <w:r>
        <w:rPr>
          <w:noProof/>
        </w:rPr>
        <w:noBreakHyphen/>
        <w:t>, е важно пазарът на труда да има достъп до пълния потенциал на работната сила. Финландия е отбелязала известен напредък</w:t>
      </w:r>
      <w:r>
        <w:rPr>
          <w:noProof/>
        </w:rPr>
        <w:t xml:space="preserve"> по този въпрос и е предприела няколко мерки, включително по-добра организация на субсидиите за заплатите, като се обръща специално внимание на възрастните хора, както и на държавната служба по заетостта. Равнището на безработицата бе 8,7 % през 2014 г. и </w:t>
      </w:r>
      <w:r>
        <w:rPr>
          <w:noProof/>
        </w:rPr>
        <w:t>нараства, особено сред младите хора и по-възрастните работници. Умереното споразумение за определяне на заплатите от 2013 г. подкрепя възстановяването на разходи и експортната конкурентоспособност чрез по-нисък растеж на разходите за труд на единица продук</w:t>
      </w:r>
      <w:r>
        <w:rPr>
          <w:noProof/>
        </w:rPr>
        <w:t>ция.</w:t>
      </w:r>
    </w:p>
    <w:p w:rsidR="00820CC6" w:rsidRDefault="009C6A3F">
      <w:pPr>
        <w:pStyle w:val="Point0number"/>
        <w:numPr>
          <w:ilvl w:val="0"/>
          <w:numId w:val="1"/>
        </w:numPr>
        <w:rPr>
          <w:noProof/>
        </w:rPr>
      </w:pPr>
      <w:r>
        <w:rPr>
          <w:noProof/>
        </w:rPr>
        <w:t xml:space="preserve">Финландия постигна известен напредък в увеличаването на способността си да предоставя иновативни продукти. Правителството прилага всеобхватна реформа на научноизследователските институти и финансирането. Програмите на политиката за чисти технологии, </w:t>
      </w:r>
      <w:r>
        <w:rPr>
          <w:noProof/>
        </w:rPr>
        <w:t>биотехнологиите и цифровизацията са обещаващи, но относително маломащабни</w:t>
      </w:r>
      <w:r>
        <w:rPr>
          <w:noProof/>
        </w:rPr>
        <w:noBreakHyphen/>
        <w:t>. Въпреки че инвестициите в НИРД са сред най-високите в ЕС, Финландия все още е изправена пред предизвикателства, свързани с тяхното преобразуване в успешни експортни продукти и услу</w:t>
      </w:r>
      <w:r>
        <w:rPr>
          <w:noProof/>
        </w:rPr>
        <w:t>ги. Правителството се стреми да направи системите за подпомагане на предприятията по-прости и по-ефективни, увеличава финансирането за новосъздадените предприятия и насърчава тяхната интернационализация. Независимо от това инвестициите във Финландия остава</w:t>
      </w:r>
      <w:r>
        <w:rPr>
          <w:noProof/>
        </w:rPr>
        <w:t>т ниски, трудностите в износа продължават и заетостта е намаляла. Необходими са също усилия за повишаване на конкуренцията на пазарите на стоки и услуги, особено в сектора на търговията на дребно, който остава силно концентриран.</w:t>
      </w:r>
      <w:r>
        <w:rPr>
          <w:rFonts w:ascii="Arial" w:hAnsi="Arial"/>
          <w:noProof/>
          <w:color w:val="FF0000"/>
        </w:rPr>
        <w:t xml:space="preserve"> </w:t>
      </w:r>
    </w:p>
    <w:p w:rsidR="00820CC6" w:rsidRDefault="009C6A3F">
      <w:pPr>
        <w:pStyle w:val="Point0number"/>
        <w:rPr>
          <w:noProof/>
        </w:rPr>
      </w:pPr>
      <w:r>
        <w:rPr>
          <w:noProof/>
        </w:rPr>
        <w:t xml:space="preserve">В рамките на европейския </w:t>
      </w:r>
      <w:r>
        <w:rPr>
          <w:noProof/>
        </w:rPr>
        <w:t>семестър Комисията направи цялостен анализ на икономическата политика на Финландия и го публикува в доклада за страната за 2015 г. Тя също оцени програмата за стабилност и националната програма за реформи, както и последващите действия по препоръките, отпр</w:t>
      </w:r>
      <w:r>
        <w:rPr>
          <w:noProof/>
        </w:rPr>
        <w:t>авени към Финландия през предходните години. Тя взе предвид не само тяхното значение за провеждането на устойчива фискална и социално-икономическа политика във Финландия, но и тяхното съответствие с правилата и насоките на ЕС предвид необходимостта от заси</w:t>
      </w:r>
      <w:r>
        <w:rPr>
          <w:noProof/>
        </w:rPr>
        <w:t xml:space="preserve">лване на цялостното икономическо управление на Европейския съюз чрез принос на равнище ЕС към бъдещите решения на национално равнище. Препоръките </w:t>
      </w:r>
      <w:bookmarkStart w:id="1" w:name="temp"/>
      <w:bookmarkEnd w:id="1"/>
      <w:r>
        <w:rPr>
          <w:noProof/>
        </w:rPr>
        <w:t>в рамките на европейския семестър са изразени в препоръки 1—4 по-долу.</w:t>
      </w:r>
    </w:p>
    <w:p w:rsidR="00820CC6" w:rsidRDefault="009C6A3F">
      <w:pPr>
        <w:pStyle w:val="Point0number"/>
        <w:rPr>
          <w:noProof/>
        </w:rPr>
      </w:pPr>
      <w:r>
        <w:rPr>
          <w:noProof/>
        </w:rPr>
        <w:t>С оглед на тази оценка Съветът разгледа</w:t>
      </w:r>
      <w:r>
        <w:rPr>
          <w:noProof/>
        </w:rPr>
        <w:t xml:space="preserve"> програмата за стабилност на Финландия и неговото мнение</w:t>
      </w:r>
      <w:r>
        <w:rPr>
          <w:rStyle w:val="FootnoteReference"/>
          <w:noProof/>
        </w:rPr>
        <w:footnoteReference w:id="10"/>
      </w:r>
      <w:r>
        <w:rPr>
          <w:noProof/>
        </w:rPr>
        <w:t xml:space="preserve"> е изразено по-специално в препоръка 1 по-долу.</w:t>
      </w:r>
    </w:p>
    <w:p w:rsidR="00820CC6" w:rsidRDefault="009C6A3F">
      <w:pPr>
        <w:pStyle w:val="Point0number"/>
        <w:rPr>
          <w:noProof/>
        </w:rPr>
      </w:pPr>
      <w:r>
        <w:rPr>
          <w:noProof/>
        </w:rPr>
        <w:t>С оглед на задълбочения преглед, направен от Комисията, и тази оценка Съветът разгледа националната програма за реформи и програмата за стабилност. Нег</w:t>
      </w:r>
      <w:r>
        <w:rPr>
          <w:noProof/>
        </w:rPr>
        <w:t>овите препоръки по член 6 от Регламент (ЕС) № 1176/2011 са изразени в препоръки 2 и 3 по-долу.</w:t>
      </w:r>
    </w:p>
    <w:p w:rsidR="00820CC6" w:rsidRDefault="009C6A3F">
      <w:pPr>
        <w:pStyle w:val="Point0number"/>
        <w:rPr>
          <w:noProof/>
        </w:rPr>
      </w:pPr>
      <w:r>
        <w:rPr>
          <w:noProof/>
        </w:rPr>
        <w:t>В рамките на европейския семестър Комисията също така извърши анализ на икономическата политика на еврозоната като цяло. Въз основа на този анализ Съветът отправ</w:t>
      </w:r>
      <w:r>
        <w:rPr>
          <w:noProof/>
        </w:rPr>
        <w:t>и специфични препоръки към държавите членки, чиято парична единица е еврото. Финландия също следва да гарантира пълното и навременно изпълнение на тези препоръки,</w:t>
      </w:r>
    </w:p>
    <w:p w:rsidR="00820CC6" w:rsidRDefault="009C6A3F">
      <w:pPr>
        <w:pStyle w:val="Formuledadoption"/>
        <w:rPr>
          <w:noProof/>
        </w:rPr>
      </w:pPr>
      <w:r>
        <w:rPr>
          <w:noProof/>
        </w:rPr>
        <w:t>ПРЕПОРЪЧВА на Финландия да предприеме следните действия през периода 2015—2016 г.:</w:t>
      </w:r>
    </w:p>
    <w:p w:rsidR="00820CC6" w:rsidRDefault="009C6A3F">
      <w:pPr>
        <w:pStyle w:val="ManualNumPar1"/>
        <w:rPr>
          <w:noProof/>
        </w:rPr>
      </w:pPr>
      <w:r>
        <w:t>1.</w:t>
      </w:r>
      <w:r>
        <w:tab/>
      </w:r>
      <w:r>
        <w:rPr>
          <w:noProof/>
        </w:rPr>
        <w:t>Да гара</w:t>
      </w:r>
      <w:r>
        <w:rPr>
          <w:noProof/>
        </w:rPr>
        <w:t>нтира, че прекомерният дефицит ще бъде сведен под 3 % от БВП по бърз и траен начин от [XX] в съответствие със задълженията на Финландия по силата на член 126 от ДФЕС. Продължаване на усилията за преодоляване на недостатъчната фискална устойчивост и укрепва</w:t>
      </w:r>
      <w:r>
        <w:rPr>
          <w:noProof/>
        </w:rPr>
        <w:t>не на условията за растеж.</w:t>
      </w:r>
    </w:p>
    <w:p w:rsidR="00820CC6" w:rsidRDefault="009C6A3F">
      <w:pPr>
        <w:pStyle w:val="ManualNumPar1"/>
        <w:rPr>
          <w:noProof/>
        </w:rPr>
      </w:pPr>
      <w:r>
        <w:t>2.</w:t>
      </w:r>
      <w:r>
        <w:tab/>
      </w:r>
      <w:r>
        <w:rPr>
          <w:noProof/>
        </w:rPr>
        <w:t>Да приеме договорената пенсионна реформа и постепенно да премахне ранното напускане на пазара на труда. Да осигури ефикасност при изготвянето и прилагането на административни реформи, свързани с общинските структури и социални</w:t>
      </w:r>
      <w:r>
        <w:rPr>
          <w:noProof/>
        </w:rPr>
        <w:t>те и здравните услуги, с оглед на увеличаването на производителността и ефективност при предоставянето на публични услуги, като се гарантира тяхното качество.</w:t>
      </w:r>
    </w:p>
    <w:p w:rsidR="00820CC6" w:rsidRDefault="009C6A3F">
      <w:pPr>
        <w:pStyle w:val="ManualNumPar1"/>
        <w:rPr>
          <w:noProof/>
        </w:rPr>
      </w:pPr>
      <w:r>
        <w:t>3.</w:t>
      </w:r>
      <w:r>
        <w:tab/>
      </w:r>
      <w:r>
        <w:rPr>
          <w:noProof/>
        </w:rPr>
        <w:t>Да продължи усилията за подобряване на пригодността за заетост на младите хора, по-възрастните</w:t>
      </w:r>
      <w:r>
        <w:rPr>
          <w:noProof/>
        </w:rPr>
        <w:t xml:space="preserve"> работници и трайно безработните лица, с особен акцент върху развитието на квалификации, за които има работни места. Да гарантира, след консултации със социалните партньори и в съответствие с националните практики, че заплатите се променят в съответствие с</w:t>
      </w:r>
      <w:r>
        <w:rPr>
          <w:noProof/>
        </w:rPr>
        <w:t xml:space="preserve"> производителността. </w:t>
      </w:r>
    </w:p>
    <w:p w:rsidR="00820CC6" w:rsidRDefault="009C6A3F">
      <w:pPr>
        <w:pStyle w:val="ManualNumPar1"/>
        <w:rPr>
          <w:noProof/>
        </w:rPr>
      </w:pPr>
      <w:r>
        <w:t>4.</w:t>
      </w:r>
      <w:r>
        <w:tab/>
      </w:r>
      <w:r>
        <w:rPr>
          <w:noProof/>
        </w:rPr>
        <w:t xml:space="preserve">Да предприеме мерки за отваряне на сектора на търговията на дребно за ефективна конкуренция. </w:t>
      </w:r>
    </w:p>
    <w:p w:rsidR="00820CC6" w:rsidRDefault="009C6A3F" w:rsidP="009C6A3F">
      <w:pPr>
        <w:pStyle w:val="Fait"/>
        <w:rPr>
          <w:noProof/>
        </w:rPr>
      </w:pPr>
      <w:r w:rsidRPr="009C6A3F">
        <w:t xml:space="preserve">Съставено в Брюксел на </w:t>
      </w:r>
      <w:r w:rsidRPr="009C6A3F">
        <w:rPr>
          <w:rStyle w:val="Marker2"/>
        </w:rPr>
        <w:t>[…]</w:t>
      </w:r>
      <w:r w:rsidRPr="009C6A3F">
        <w:t xml:space="preserve"> година.</w:t>
      </w:r>
    </w:p>
    <w:p w:rsidR="00820CC6" w:rsidRDefault="009C6A3F">
      <w:pPr>
        <w:pStyle w:val="Institutionquisigne"/>
        <w:rPr>
          <w:noProof/>
        </w:rPr>
      </w:pPr>
      <w:r>
        <w:rPr>
          <w:noProof/>
        </w:rPr>
        <w:tab/>
        <w:t>За Съвета</w:t>
      </w:r>
    </w:p>
    <w:p w:rsidR="00820CC6" w:rsidRDefault="009C6A3F">
      <w:pPr>
        <w:pStyle w:val="Personnequisigne"/>
        <w:rPr>
          <w:noProof/>
        </w:rPr>
      </w:pPr>
      <w:r>
        <w:rPr>
          <w:noProof/>
        </w:rPr>
        <w:tab/>
        <w:t>Председател</w:t>
      </w:r>
    </w:p>
    <w:sectPr w:rsidR="00820CC6" w:rsidSect="009C6A3F">
      <w:pgSz w:w="11907" w:h="16839"/>
      <w:pgMar w:top="1134" w:right="1417" w:bottom="1134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20CC6" w:rsidRDefault="009C6A3F">
      <w:pPr>
        <w:spacing w:before="0" w:after="0"/>
      </w:pPr>
      <w:r>
        <w:separator/>
      </w:r>
    </w:p>
  </w:endnote>
  <w:endnote w:type="continuationSeparator" w:id="0">
    <w:p w:rsidR="00820CC6" w:rsidRDefault="009C6A3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A3F" w:rsidRPr="009C6A3F" w:rsidRDefault="009C6A3F" w:rsidP="009C6A3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20CC6" w:rsidRPr="009C6A3F" w:rsidRDefault="00820CC6" w:rsidP="009C6A3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A3F" w:rsidRPr="009C6A3F" w:rsidRDefault="009C6A3F" w:rsidP="009C6A3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20CC6" w:rsidRDefault="009C6A3F">
      <w:pPr>
        <w:spacing w:before="0" w:after="0"/>
      </w:pPr>
      <w:r>
        <w:separator/>
      </w:r>
    </w:p>
  </w:footnote>
  <w:footnote w:type="continuationSeparator" w:id="0">
    <w:p w:rsidR="00820CC6" w:rsidRDefault="009C6A3F">
      <w:pPr>
        <w:spacing w:before="0" w:after="0"/>
      </w:pPr>
      <w:r>
        <w:continuationSeparator/>
      </w:r>
    </w:p>
  </w:footnote>
  <w:footnote w:id="1">
    <w:p w:rsidR="00820CC6" w:rsidRDefault="009C6A3F">
      <w:pPr>
        <w:pStyle w:val="FootnoteText"/>
        <w:rPr>
          <w:lang w:val="pt-PT"/>
        </w:rPr>
      </w:pPr>
      <w:r>
        <w:rPr>
          <w:rStyle w:val="FootnoteReference"/>
        </w:rPr>
        <w:footnoteRef/>
      </w:r>
      <w:r>
        <w:tab/>
        <w:t>ОВ L 209, 2.8.1997 г., стр. 1.</w:t>
      </w:r>
    </w:p>
  </w:footnote>
  <w:footnote w:id="2">
    <w:p w:rsidR="00820CC6" w:rsidRDefault="009C6A3F">
      <w:pPr>
        <w:pStyle w:val="FootnoteText"/>
        <w:rPr>
          <w:lang w:val="pt-PT"/>
        </w:rPr>
      </w:pPr>
      <w:r>
        <w:rPr>
          <w:rStyle w:val="FootnoteReference"/>
        </w:rPr>
        <w:footnoteRef/>
      </w:r>
      <w:r>
        <w:tab/>
        <w:t>ОВ L 306, 23.11.2011 г., стр. 25.</w:t>
      </w:r>
    </w:p>
  </w:footnote>
  <w:footnote w:id="3">
    <w:p w:rsidR="00820CC6" w:rsidRDefault="009C6A3F">
      <w:pPr>
        <w:pStyle w:val="FootnoteText"/>
        <w:rPr>
          <w:highlight w:val="yellow"/>
          <w:lang w:val="pt-PT"/>
        </w:rPr>
      </w:pPr>
      <w:r>
        <w:rPr>
          <w:rStyle w:val="FootnoteReference"/>
        </w:rPr>
        <w:footnoteRef/>
      </w:r>
      <w:r>
        <w:tab/>
        <w:t>COM(2015) 275.</w:t>
      </w:r>
    </w:p>
  </w:footnote>
  <w:footnote w:id="4">
    <w:p w:rsidR="00820CC6" w:rsidRDefault="009C6A3F">
      <w:pPr>
        <w:pStyle w:val="FootnoteText"/>
        <w:rPr>
          <w:lang w:val="pt-PT"/>
        </w:rPr>
      </w:pPr>
      <w:r>
        <w:rPr>
          <w:rStyle w:val="FootnoteReference"/>
        </w:rPr>
        <w:footnoteRef/>
      </w:r>
      <w:r>
        <w:tab/>
        <w:t>P8_TA(2015)0067, P8_TA(2015)0068, P8_TA(2015)0069.</w:t>
      </w:r>
    </w:p>
  </w:footnote>
  <w:footnote w:id="5">
    <w:p w:rsidR="00820CC6" w:rsidRDefault="009C6A3F">
      <w:pPr>
        <w:pStyle w:val="FootnoteText"/>
        <w:rPr>
          <w:lang w:val="pt-PT"/>
        </w:rPr>
      </w:pPr>
      <w:r>
        <w:rPr>
          <w:rStyle w:val="FootnoteReference"/>
        </w:rPr>
        <w:footnoteRef/>
      </w:r>
      <w:r>
        <w:tab/>
        <w:t>ОВ L 140, 27.5.2013 г., стр. 11.</w:t>
      </w:r>
    </w:p>
  </w:footnote>
  <w:footnote w:id="6">
    <w:p w:rsidR="00820CC6" w:rsidRDefault="009C6A3F">
      <w:pPr>
        <w:pStyle w:val="FootnoteText"/>
        <w:rPr>
          <w:lang w:val="pt-PT"/>
        </w:rPr>
      </w:pPr>
      <w:r>
        <w:rPr>
          <w:rStyle w:val="FootnoteReference"/>
        </w:rPr>
        <w:footnoteRef/>
      </w:r>
      <w:r>
        <w:tab/>
        <w:t>C(2014) 8815 final.</w:t>
      </w:r>
    </w:p>
  </w:footnote>
  <w:footnote w:id="7">
    <w:p w:rsidR="00820CC6" w:rsidRDefault="009C6A3F">
      <w:pPr>
        <w:pStyle w:val="FootnoteText"/>
        <w:rPr>
          <w:lang w:val="pt-PT"/>
        </w:rPr>
      </w:pPr>
      <w:r>
        <w:rPr>
          <w:rStyle w:val="FootnoteReference"/>
        </w:rPr>
        <w:footnoteRef/>
      </w:r>
      <w:r>
        <w:tab/>
        <w:t>COM(2014) 902.</w:t>
      </w:r>
    </w:p>
  </w:footnote>
  <w:footnote w:id="8">
    <w:p w:rsidR="00820CC6" w:rsidRDefault="009C6A3F">
      <w:pPr>
        <w:pStyle w:val="FootnoteText"/>
        <w:rPr>
          <w:lang w:val="pt-PT"/>
        </w:rPr>
      </w:pPr>
      <w:r>
        <w:rPr>
          <w:rStyle w:val="FootnoteReference"/>
        </w:rPr>
        <w:footnoteRef/>
      </w:r>
      <w:r>
        <w:tab/>
        <w:t>COM(2014) 904.</w:t>
      </w:r>
    </w:p>
  </w:footnote>
  <w:footnote w:id="9">
    <w:p w:rsidR="00820CC6" w:rsidRDefault="009C6A3F">
      <w:pPr>
        <w:pStyle w:val="FootnoteText"/>
      </w:pPr>
      <w:r>
        <w:rPr>
          <w:rStyle w:val="FootnoteReference"/>
        </w:rPr>
        <w:footnoteRef/>
      </w:r>
      <w:r>
        <w:tab/>
        <w:t xml:space="preserve">SWD(2015) 45 </w:t>
      </w:r>
      <w:r>
        <w:t>final, 26.2.2015 г.</w:t>
      </w:r>
    </w:p>
  </w:footnote>
  <w:footnote w:id="10">
    <w:p w:rsidR="00820CC6" w:rsidRDefault="009C6A3F">
      <w:pPr>
        <w:pStyle w:val="FootnoteText"/>
      </w:pPr>
      <w:r>
        <w:rPr>
          <w:rStyle w:val="FootnoteReference"/>
        </w:rPr>
        <w:footnoteRef/>
      </w:r>
      <w:r>
        <w:tab/>
        <w:t>Съгласно член 5, параграф 2 от Регламент (ЕО) № 1466/97 на Съвета.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A3F" w:rsidRPr="009C6A3F" w:rsidRDefault="009C6A3F" w:rsidP="009C6A3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A3F" w:rsidRPr="009C6A3F" w:rsidRDefault="009C6A3F" w:rsidP="009C6A3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6A3F" w:rsidRPr="009C6A3F" w:rsidRDefault="009C6A3F" w:rsidP="009C6A3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D"/>
    <w:multiLevelType w:val="singleLevel"/>
    <w:tmpl w:val="726289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>
    <w:nsid w:val="FFFFFF7E"/>
    <w:multiLevelType w:val="singleLevel"/>
    <w:tmpl w:val="6CACA386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>
    <w:nsid w:val="FFFFFF7F"/>
    <w:multiLevelType w:val="singleLevel"/>
    <w:tmpl w:val="179AF6F8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3">
    <w:nsid w:val="FFFFFF81"/>
    <w:multiLevelType w:val="singleLevel"/>
    <w:tmpl w:val="09463266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F006CDF4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1E922C1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FFFFFF88"/>
    <w:multiLevelType w:val="singleLevel"/>
    <w:tmpl w:val="25F81486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>
    <w:nsid w:val="FFFFFF89"/>
    <w:multiLevelType w:val="singleLevel"/>
    <w:tmpl w:val="E330502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8">
    <w:nsid w:val="1B3C78B8"/>
    <w:multiLevelType w:val="multilevel"/>
    <w:tmpl w:val="2ED4F4D0"/>
    <w:name w:val="Point"/>
    <w:lvl w:ilvl="0">
      <w:start w:val="1"/>
      <w:numFmt w:val="decimal"/>
      <w:lvlRestart w:val="0"/>
      <w:pStyle w:val="Point0number"/>
      <w:lvlText w:val="(%1)"/>
      <w:lvlJc w:val="left"/>
      <w:pPr>
        <w:tabs>
          <w:tab w:val="num" w:pos="850"/>
        </w:tabs>
        <w:ind w:left="850" w:hanging="850"/>
      </w:pPr>
    </w:lvl>
    <w:lvl w:ilvl="1">
      <w:start w:val="1"/>
      <w:numFmt w:val="lowerLetter"/>
      <w:pStyle w:val="Point0letter"/>
      <w:lvlText w:val="(%2)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Point1number"/>
      <w:lvlText w:val="(%3)"/>
      <w:lvlJc w:val="left"/>
      <w:pPr>
        <w:tabs>
          <w:tab w:val="num" w:pos="1417"/>
        </w:tabs>
        <w:ind w:left="1417" w:hanging="567"/>
      </w:pPr>
    </w:lvl>
    <w:lvl w:ilvl="3">
      <w:start w:val="1"/>
      <w:numFmt w:val="lowerLetter"/>
      <w:pStyle w:val="Point1letter"/>
      <w:lvlText w:val="(%4)"/>
      <w:lvlJc w:val="left"/>
      <w:pPr>
        <w:tabs>
          <w:tab w:val="num" w:pos="1417"/>
        </w:tabs>
        <w:ind w:left="1417" w:hanging="567"/>
      </w:pPr>
    </w:lvl>
    <w:lvl w:ilvl="4">
      <w:start w:val="1"/>
      <w:numFmt w:val="decimal"/>
      <w:pStyle w:val="Point2number"/>
      <w:lvlText w:val="(%5)"/>
      <w:lvlJc w:val="left"/>
      <w:pPr>
        <w:tabs>
          <w:tab w:val="num" w:pos="1984"/>
        </w:tabs>
        <w:ind w:left="1984" w:hanging="567"/>
      </w:pPr>
    </w:lvl>
    <w:lvl w:ilvl="5">
      <w:start w:val="1"/>
      <w:numFmt w:val="lowerLetter"/>
      <w:pStyle w:val="Point2letter"/>
      <w:lvlText w:val="(%6)"/>
      <w:lvlJc w:val="left"/>
      <w:pPr>
        <w:tabs>
          <w:tab w:val="num" w:pos="1984"/>
        </w:tabs>
        <w:ind w:left="1984" w:hanging="567"/>
      </w:pPr>
    </w:lvl>
    <w:lvl w:ilvl="6">
      <w:start w:val="1"/>
      <w:numFmt w:val="decimal"/>
      <w:pStyle w:val="Point3number"/>
      <w:lvlText w:val="(%7)"/>
      <w:lvlJc w:val="left"/>
      <w:pPr>
        <w:tabs>
          <w:tab w:val="num" w:pos="2551"/>
        </w:tabs>
        <w:ind w:left="2551" w:hanging="567"/>
      </w:pPr>
    </w:lvl>
    <w:lvl w:ilvl="7">
      <w:start w:val="1"/>
      <w:numFmt w:val="lowerLetter"/>
      <w:pStyle w:val="Point3letter"/>
      <w:lvlText w:val="(%8)"/>
      <w:lvlJc w:val="left"/>
      <w:pPr>
        <w:tabs>
          <w:tab w:val="num" w:pos="2551"/>
        </w:tabs>
        <w:ind w:left="2551" w:hanging="567"/>
      </w:pPr>
    </w:lvl>
    <w:lvl w:ilvl="8">
      <w:start w:val="1"/>
      <w:numFmt w:val="lowerLetter"/>
      <w:pStyle w:val="Point4letter"/>
      <w:lvlText w:val="(%9)"/>
      <w:lvlJc w:val="left"/>
      <w:pPr>
        <w:tabs>
          <w:tab w:val="num" w:pos="3118"/>
        </w:tabs>
        <w:ind w:left="3118" w:hanging="567"/>
      </w:p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CB72C6E"/>
    <w:multiLevelType w:val="singleLevel"/>
    <w:tmpl w:val="10ACD464"/>
    <w:name w:val="Bullet 3"/>
    <w:lvl w:ilvl="0">
      <w:start w:val="1"/>
      <w:numFmt w:val="bullet"/>
      <w:lvlRestart w:val="0"/>
      <w:pStyle w:val="Bullet3"/>
      <w:lvlText w:val=""/>
      <w:lvlJc w:val="left"/>
      <w:pPr>
        <w:tabs>
          <w:tab w:val="num" w:pos="2551"/>
        </w:tabs>
        <w:ind w:left="2551" w:hanging="567"/>
      </w:pPr>
      <w:rPr>
        <w:rFonts w:ascii="Symbol" w:hAnsi="Symbol" w:hint="default"/>
      </w:rPr>
    </w:lvl>
  </w:abstractNum>
  <w:abstractNum w:abstractNumId="11">
    <w:nsid w:val="2CE9221F"/>
    <w:multiLevelType w:val="singleLevel"/>
    <w:tmpl w:val="9B4AFB48"/>
    <w:name w:val="Tiret 3"/>
    <w:lvl w:ilvl="0">
      <w:start w:val="1"/>
      <w:numFmt w:val="bullet"/>
      <w:lvlRestart w:val="0"/>
      <w:pStyle w:val="Tiret3"/>
      <w:lvlText w:val="–"/>
      <w:lvlJc w:val="left"/>
      <w:pPr>
        <w:tabs>
          <w:tab w:val="num" w:pos="2551"/>
        </w:tabs>
        <w:ind w:left="2551" w:hanging="567"/>
      </w:pPr>
    </w:lvl>
  </w:abstractNum>
  <w:abstractNum w:abstractNumId="12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13">
    <w:nsid w:val="42FC0772"/>
    <w:multiLevelType w:val="singleLevel"/>
    <w:tmpl w:val="4128FCF8"/>
    <w:name w:val="Tiret 4"/>
    <w:lvl w:ilvl="0">
      <w:start w:val="1"/>
      <w:numFmt w:val="bullet"/>
      <w:lvlRestart w:val="0"/>
      <w:pStyle w:val="Tiret4"/>
      <w:lvlText w:val="–"/>
      <w:lvlJc w:val="left"/>
      <w:pPr>
        <w:tabs>
          <w:tab w:val="num" w:pos="3118"/>
        </w:tabs>
        <w:ind w:left="3118" w:hanging="567"/>
      </w:pPr>
    </w:lvl>
  </w:abstractNum>
  <w:abstractNum w:abstractNumId="14">
    <w:nsid w:val="4552127F"/>
    <w:multiLevelType w:val="singleLevel"/>
    <w:tmpl w:val="057A5296"/>
    <w:name w:val="Bullet 0"/>
    <w:lvl w:ilvl="0">
      <w:start w:val="1"/>
      <w:numFmt w:val="bullet"/>
      <w:lvlRestart w:val="0"/>
      <w:pStyle w:val="Bullet0"/>
      <w:lvlText w:val=""/>
      <w:lvlJc w:val="left"/>
      <w:pPr>
        <w:tabs>
          <w:tab w:val="num" w:pos="850"/>
        </w:tabs>
        <w:ind w:left="850" w:hanging="850"/>
      </w:pPr>
      <w:rPr>
        <w:rFonts w:ascii="Symbol" w:hAnsi="Symbol" w:hint="default"/>
      </w:rPr>
    </w:lvl>
  </w:abstractNum>
  <w:abstractNum w:abstractNumId="15">
    <w:nsid w:val="556E1D63"/>
    <w:multiLevelType w:val="singleLevel"/>
    <w:tmpl w:val="493AAFF0"/>
    <w:name w:val="Bullet 4"/>
    <w:lvl w:ilvl="0">
      <w:start w:val="1"/>
      <w:numFmt w:val="bullet"/>
      <w:lvlRestart w:val="0"/>
      <w:pStyle w:val="Bullet4"/>
      <w:lvlText w:val=""/>
      <w:lvlJc w:val="left"/>
      <w:pPr>
        <w:tabs>
          <w:tab w:val="num" w:pos="3118"/>
        </w:tabs>
        <w:ind w:left="3118" w:hanging="567"/>
      </w:pPr>
      <w:rPr>
        <w:rFonts w:ascii="Symbol" w:hAnsi="Symbol" w:hint="default"/>
      </w:rPr>
    </w:lvl>
  </w:abstractNum>
  <w:abstractNum w:abstractNumId="16">
    <w:nsid w:val="5B395AAA"/>
    <w:multiLevelType w:val="singleLevel"/>
    <w:tmpl w:val="96D02E8A"/>
    <w:name w:val="Bullet 1"/>
    <w:lvl w:ilvl="0">
      <w:start w:val="1"/>
      <w:numFmt w:val="bullet"/>
      <w:lvlRestart w:val="0"/>
      <w:pStyle w:val="Bullet1"/>
      <w:lvlText w:val=""/>
      <w:lvlJc w:val="left"/>
      <w:pPr>
        <w:tabs>
          <w:tab w:val="num" w:pos="1417"/>
        </w:tabs>
        <w:ind w:left="1417" w:hanging="567"/>
      </w:pPr>
      <w:rPr>
        <w:rFonts w:ascii="Symbol" w:hAnsi="Symbol" w:hint="default"/>
      </w:rPr>
    </w:lvl>
  </w:abstractNum>
  <w:abstractNum w:abstractNumId="17">
    <w:nsid w:val="5C056EE5"/>
    <w:multiLevelType w:val="singleLevel"/>
    <w:tmpl w:val="3378D27C"/>
    <w:name w:val="Bullet 2"/>
    <w:lvl w:ilvl="0">
      <w:start w:val="1"/>
      <w:numFmt w:val="bullet"/>
      <w:lvlRestart w:val="0"/>
      <w:pStyle w:val="Bullet2"/>
      <w:lvlText w:val=""/>
      <w:lvlJc w:val="left"/>
      <w:pPr>
        <w:tabs>
          <w:tab w:val="num" w:pos="1984"/>
        </w:tabs>
        <w:ind w:left="1984" w:hanging="567"/>
      </w:pPr>
      <w:rPr>
        <w:rFonts w:ascii="Symbol" w:hAnsi="Symbol" w:hint="default"/>
      </w:rPr>
    </w:lvl>
  </w:abstractNum>
  <w:abstractNum w:abstractNumId="18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19">
    <w:nsid w:val="64A12FA4"/>
    <w:multiLevelType w:val="multilevel"/>
    <w:tmpl w:val="428ECF3E"/>
    <w:name w:val="Heading"/>
    <w:lvl w:ilvl="0">
      <w:start w:val="1"/>
      <w:numFmt w:val="decimal"/>
      <w:lvlRestart w:val="0"/>
      <w:pStyle w:val="Heading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Heading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Heading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Heading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>
    <w:nsid w:val="67B856F6"/>
    <w:multiLevelType w:val="singleLevel"/>
    <w:tmpl w:val="0AB28E9C"/>
    <w:name w:val="Tiret 2"/>
    <w:lvl w:ilvl="0">
      <w:start w:val="1"/>
      <w:numFmt w:val="bullet"/>
      <w:lvlRestart w:val="0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abstractNum w:abstractNumId="21">
    <w:nsid w:val="7CBE4812"/>
    <w:multiLevelType w:val="singleLevel"/>
    <w:tmpl w:val="23C821E4"/>
    <w:name w:val="Considérant"/>
    <w:lvl w:ilvl="0">
      <w:start w:val="1"/>
      <w:numFmt w:val="decimal"/>
      <w:lvlRestart w:val="0"/>
      <w:pStyle w:val="Considrant"/>
      <w:lvlText w:val="(%1)"/>
      <w:lvlJc w:val="left"/>
      <w:pPr>
        <w:tabs>
          <w:tab w:val="num" w:pos="709"/>
        </w:tabs>
        <w:ind w:left="709" w:hanging="709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</w:num>
  <w:num w:numId="4">
    <w:abstractNumId w:val="5"/>
  </w:num>
  <w:num w:numId="5">
    <w:abstractNumId w:val="4"/>
  </w:num>
  <w:num w:numId="6">
    <w:abstractNumId w:val="3"/>
  </w:num>
  <w:num w:numId="7">
    <w:abstractNumId w:val="6"/>
  </w:num>
  <w:num w:numId="8">
    <w:abstractNumId w:val="2"/>
  </w:num>
  <w:num w:numId="9">
    <w:abstractNumId w:val="1"/>
  </w:num>
  <w:num w:numId="10">
    <w:abstractNumId w:val="0"/>
  </w:num>
  <w:num w:numId="11">
    <w:abstractNumId w:val="18"/>
  </w:num>
  <w:num w:numId="12">
    <w:abstractNumId w:val="12"/>
  </w:num>
  <w:num w:numId="13">
    <w:abstractNumId w:val="20"/>
  </w:num>
  <w:num w:numId="14">
    <w:abstractNumId w:val="11"/>
  </w:num>
  <w:num w:numId="15">
    <w:abstractNumId w:val="13"/>
  </w:num>
  <w:num w:numId="16">
    <w:abstractNumId w:val="9"/>
  </w:num>
  <w:num w:numId="17">
    <w:abstractNumId w:val="19"/>
  </w:num>
  <w:num w:numId="18">
    <w:abstractNumId w:val="8"/>
  </w:num>
  <w:num w:numId="19">
    <w:abstractNumId w:val="14"/>
  </w:num>
  <w:num w:numId="20">
    <w:abstractNumId w:val="16"/>
  </w:num>
  <w:num w:numId="21">
    <w:abstractNumId w:val="17"/>
  </w:num>
  <w:num w:numId="22">
    <w:abstractNumId w:val="10"/>
  </w:num>
  <w:num w:numId="23">
    <w:abstractNumId w:val="15"/>
  </w:num>
  <w:num w:numId="24">
    <w:abstractNumId w:val="21"/>
  </w:num>
  <w:num w:numId="25">
    <w:abstractNumId w:val="18"/>
  </w:num>
  <w:num w:numId="26">
    <w:abstractNumId w:val="12"/>
  </w:num>
  <w:num w:numId="27">
    <w:abstractNumId w:val="20"/>
  </w:num>
  <w:num w:numId="28">
    <w:abstractNumId w:val="11"/>
  </w:num>
  <w:num w:numId="29">
    <w:abstractNumId w:val="13"/>
  </w:num>
  <w:num w:numId="30">
    <w:abstractNumId w:val="9"/>
  </w:num>
  <w:num w:numId="31">
    <w:abstractNumId w:val="19"/>
  </w:num>
  <w:num w:numId="32">
    <w:abstractNumId w:val="8"/>
  </w:num>
  <w:num w:numId="33">
    <w:abstractNumId w:val="14"/>
  </w:num>
  <w:num w:numId="34">
    <w:abstractNumId w:val="16"/>
  </w:num>
  <w:num w:numId="35">
    <w:abstractNumId w:val="17"/>
  </w:num>
  <w:num w:numId="36">
    <w:abstractNumId w:val="10"/>
  </w:num>
  <w:num w:numId="37">
    <w:abstractNumId w:val="15"/>
  </w:num>
  <w:num w:numId="38">
    <w:abstractNumId w:val="21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removePersonalInformation/>
  <w:removeDateAndTime/>
  <w:hideSpellingErrors/>
  <w:hideGrammaticalErrors/>
  <w:attachedTemplate r:id="rId1"/>
  <w:defaultTabStop w:val="720"/>
  <w:hyphenationZone w:val="425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VERPAGE_EXISTS" w:val="True"/>
    <w:docVar w:name="DQCDateTime" w:val="2015-05-19 15:51:35"/>
    <w:docVar w:name="DQCResult_Distribution" w:val="0;0"/>
    <w:docVar w:name="DQCResult_DocumentContent" w:val="0;0"/>
    <w:docVar w:name="DQCResult_DocumentSize" w:val="0;0"/>
    <w:docVar w:name="DQCResult_DocumentVersions" w:val="0;0"/>
    <w:docVar w:name="DQCResult_ExistenceOfMacros" w:val="0;0"/>
    <w:docVar w:name="DQCResult_InvalidFootnotes" w:val="0;0"/>
    <w:docVar w:name="DQCResult_LinkedStyles" w:val="0;0"/>
    <w:docVar w:name="DQCResult_ModifiedMargins" w:val="0;0"/>
    <w:docVar w:name="DQCResult_ModifiedMarkers" w:val="0;0"/>
    <w:docVar w:name="DQCResult_ModifiedNumbering" w:val="0;0"/>
    <w:docVar w:name="DQCResult_Objects" w:val="0;0"/>
    <w:docVar w:name="DQCResult_Sections" w:val="0;0"/>
    <w:docVar w:name="DQCResult_StructureCheck" w:val="0;0"/>
    <w:docVar w:name="DQCResult_SuperfluousWhitespace" w:val="0;1"/>
    <w:docVar w:name="DQCResult_UnknownFonts" w:val="0;0"/>
    <w:docVar w:name="DQCResult_UnknownStyles" w:val="0;0"/>
    <w:docVar w:name="DQCStatus" w:val="Yellow"/>
    <w:docVar w:name="DQCVersion" w:val="2"/>
    <w:docVar w:name="DQCWithWarnings" w:val="0"/>
    <w:docVar w:name="LW_CONFIDENCE" w:val=" "/>
    <w:docVar w:name="LW_CONST_RESTREINT_UE" w:val="RESTREINT UE/EU RESTRICTED"/>
    <w:docVar w:name="LW_CORRIGENDUM" w:val="&lt;UNUSED&gt;"/>
    <w:docVar w:name="LW_COVERPAGE_GUID" w:val="CD44C266E1D243069C6535D886D96508"/>
    <w:docVar w:name="LW_CROSSREFERENCE" w:val="&lt;UNUSED&gt;"/>
    <w:docVar w:name="LW_DocType" w:val="COM"/>
    <w:docVar w:name="LW_EMISSION" w:val="13.5.2015"/>
    <w:docVar w:name="LW_EMISSION_ISODATE" w:val="2015-05-13"/>
    <w:docVar w:name="LW_EMISSION_LOCATION" w:val="BRX"/>
    <w:docVar w:name="LW_EMISSION_PREFIX" w:val="\u1041?\u1088?\u1102?\u1082?\u1089?\u1077?\u1083?, "/>
    <w:docVar w:name="LW_EMISSION_SUFFIX" w:val=" \u1075?."/>
    <w:docVar w:name="LW_ID_DOCMODEL" w:val="SG-002"/>
    <w:docVar w:name="LW_ID_DOCSIGNATURE" w:val="SG-002"/>
    <w:docVar w:name="LW_ID_DOCSTRUCTURE" w:val="COM/PL/ORG"/>
    <w:docVar w:name="LW_ID_DOCTYPE" w:val="SG-002"/>
    <w:docVar w:name="LW_ID_STATUT" w:val="SG-002"/>
    <w:docVar w:name="LW_INTERETEEE.CP" w:val="&lt;UNUSED&gt;"/>
    <w:docVar w:name="LW_LANGUE" w:val="BG"/>
    <w:docVar w:name="LW_MARKING" w:val="&lt;UNUSED&gt;"/>
    <w:docVar w:name="LW_NOM.INST" w:val="\u1045?\u1042?\u1056?\u1054?\u1055?\u1045?\u1049?\u1057?\u1050?\u1040? \u1050?\u1054?\u1052?\u1048?\u1057?\u1048?\u1071?"/>
    <w:docVar w:name="LW_NOM.INST_JOINTDOC" w:val="&lt;EMPTY&gt;"/>
    <w:docVar w:name="LW_PART_NBR" w:val="1"/>
    <w:docVar w:name="LW_PART_NBR_TOTAL" w:val="1"/>
    <w:docVar w:name="LW_REF.II.NEW.CP" w:val="&lt;UNUSED&gt;"/>
    <w:docVar w:name="LW_REF.II.NEW.CP_NUMBER" w:val="&lt;UNUSED&gt;"/>
    <w:docVar w:name="LW_REF.II.NEW.CP_YEAR" w:val="2015"/>
    <w:docVar w:name="LW_REF.INST.NEW" w:val="COM"/>
    <w:docVar w:name="LW_REF.INST.NEW_ADOPTED" w:val="final"/>
    <w:docVar w:name="LW_REF.INST.NEW_TEXT" w:val="(2015) 275"/>
    <w:docVar w:name="LW_REF.INTERNE" w:val="&lt;UNUSED&gt;"/>
    <w:docVar w:name="LW_SOUS.TITRE.OBJ.CP" w:val="&lt;UNUSED&gt;"/>
    <w:docVar w:name="LW_STATUT.CP" w:val="\u1055?\u1088?\u1077?\u1087?\u1086?\u1088?\u1098?\u1082?\u1072? \u1079?\u1072?"/>
    <w:docVar w:name="LW_SUPERTITRE" w:val="&lt;UNUSED&gt;"/>
    <w:docVar w:name="LW_TITRE.OBJ.CP" w:val="\u1086?\u1090?\u1085?\u1086?\u1089?\u1085?\u1086? \u1085?\u1072?\u1094?\u1080?\u1086?\u1085?\u1072?\u1083?\u1085?\u1072?\u1090?\u1072? \u1087?\u1088?\u1086?\u1075?\u1088?\u1072?\u1084?\u1072? \u1079?\u1072? \u1088?\u1077?\u1092?\u1086?\u1088?\u1084?\u1080? \u1085?\u1072? \u1060?\u1080?\u1085?\u1083?\u1072?\u1085?\u1076?\u1080?\u1103? \u1079?\u1072? 2015 \u1075?._x000b__x000b_\u1080? \u1089?\u1098?\u1076?\u1098?\u1088?\u1078?\u1072?\u1097?\u1072? \u1089?\u1090?\u1072?\u1085?\u1086?\u1074?\u1080?\u1097?\u1077? \u1085?\u1072? \u1057?\u1098?\u1074?\u1077?\u1090?\u1072? \u1086?\u1090?\u1085?\u1086?\u1089?\u1085?\u1086? \u1087?\u1088?\u1086?\u1075?\u1088?\u1072?\u1084?\u1072?\u1090?\u1072? \u1079?\u1072? \u1089?\u1090?\u1072?\u1073?\u1080?\u1083?\u1085?\u1086?\u1089?\u1090? \u1085?\u1072? \u1060?\u1080?\u1085?\u1083?\u1072?\u1085?\u1076?\u1080?\u1103? \u1079?\u1072? 2015 \u1075?."/>
    <w:docVar w:name="LW_TYPE.DOC.CP" w:val="\u1055?\u1056?\u1045?\u1055?\u1054?\u1056?\u1066?\u1050?\u1040? \u1053?\u1040? \u1057?\u1066?\u1042?\u1045?\u1058?\u1040?"/>
  </w:docVars>
  <w:rsids>
    <w:rsidRoot w:val="00820CC6"/>
    <w:rsid w:val="00820CC6"/>
    <w:rsid w:val="009C6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ListBullet">
    <w:name w:val="List Bullet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6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9C6A3F"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9C6A3F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9C6A3F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bg-BG" w:bidi="bg-BG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before="120" w:after="120" w:line="240" w:lineRule="auto"/>
      <w:jc w:val="both"/>
    </w:pPr>
    <w:rPr>
      <w:rFonts w:ascii="Times New Roman" w:hAnsi="Times New Roman" w:cs="Times New Roman"/>
      <w:sz w:val="24"/>
    </w:rPr>
  </w:style>
  <w:style w:type="paragraph" w:styleId="Heading1">
    <w:name w:val="heading 1"/>
    <w:basedOn w:val="Normal"/>
    <w:next w:val="Text1"/>
    <w:link w:val="Heading1Char"/>
    <w:uiPriority w:val="9"/>
    <w:qFormat/>
    <w:pPr>
      <w:keepNext/>
      <w:numPr>
        <w:numId w:val="31"/>
      </w:numPr>
      <w:spacing w:before="360"/>
      <w:outlineLvl w:val="0"/>
    </w:pPr>
    <w:rPr>
      <w:rFonts w:eastAsiaTheme="majorEastAsia"/>
      <w:b/>
      <w:bCs/>
      <w:smallCaps/>
      <w:szCs w:val="28"/>
    </w:rPr>
  </w:style>
  <w:style w:type="paragraph" w:styleId="Heading2">
    <w:name w:val="heading 2"/>
    <w:basedOn w:val="Normal"/>
    <w:next w:val="Text1"/>
    <w:link w:val="Heading2Char"/>
    <w:uiPriority w:val="9"/>
    <w:semiHidden/>
    <w:unhideWhenUsed/>
    <w:qFormat/>
    <w:pPr>
      <w:keepNext/>
      <w:numPr>
        <w:ilvl w:val="1"/>
        <w:numId w:val="31"/>
      </w:numPr>
      <w:outlineLvl w:val="1"/>
    </w:pPr>
    <w:rPr>
      <w:rFonts w:eastAsiaTheme="majorEastAsia"/>
      <w:b/>
      <w:bCs/>
      <w:szCs w:val="26"/>
    </w:rPr>
  </w:style>
  <w:style w:type="paragraph" w:styleId="Heading3">
    <w:name w:val="heading 3"/>
    <w:basedOn w:val="Normal"/>
    <w:next w:val="Text1"/>
    <w:link w:val="Heading3Char"/>
    <w:uiPriority w:val="9"/>
    <w:semiHidden/>
    <w:unhideWhenUsed/>
    <w:qFormat/>
    <w:pPr>
      <w:keepNext/>
      <w:numPr>
        <w:ilvl w:val="2"/>
        <w:numId w:val="31"/>
      </w:numPr>
      <w:outlineLvl w:val="2"/>
    </w:pPr>
    <w:rPr>
      <w:rFonts w:eastAsiaTheme="majorEastAsia"/>
      <w:bCs/>
      <w:i/>
    </w:rPr>
  </w:style>
  <w:style w:type="paragraph" w:styleId="Heading4">
    <w:name w:val="heading 4"/>
    <w:basedOn w:val="Normal"/>
    <w:next w:val="Text1"/>
    <w:link w:val="Heading4Char"/>
    <w:uiPriority w:val="9"/>
    <w:semiHidden/>
    <w:unhideWhenUsed/>
    <w:qFormat/>
    <w:pPr>
      <w:keepNext/>
      <w:numPr>
        <w:ilvl w:val="3"/>
        <w:numId w:val="31"/>
      </w:numPr>
      <w:outlineLvl w:val="3"/>
    </w:pPr>
    <w:rPr>
      <w:rFonts w:eastAsiaTheme="majorEastAsia"/>
      <w:bCs/>
      <w:i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hAnsi="Tahoma" w:cs="Tahoma"/>
      <w:sz w:val="16"/>
      <w:szCs w:val="16"/>
      <w:lang w:val="bg-BG"/>
    </w:rPr>
  </w:style>
  <w:style w:type="paragraph" w:styleId="ListBullet">
    <w:name w:val="List Bullet"/>
    <w:basedOn w:val="Normal"/>
    <w:uiPriority w:val="99"/>
    <w:semiHidden/>
    <w:unhideWhenUsed/>
    <w:pPr>
      <w:numPr>
        <w:numId w:val="3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pPr>
      <w:numPr>
        <w:numId w:val="4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pPr>
      <w:numPr>
        <w:numId w:val="5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pPr>
      <w:numPr>
        <w:numId w:val="6"/>
      </w:numPr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rFonts w:ascii="Times New Roman" w:hAnsi="Times New Roman" w:cs="Times New Roman"/>
      <w:sz w:val="20"/>
      <w:szCs w:val="20"/>
      <w:lang w:val="bg-BG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Pr>
      <w:rFonts w:ascii="Times New Roman" w:hAnsi="Times New Roman" w:cs="Times New Roman"/>
      <w:b/>
      <w:bCs/>
      <w:sz w:val="20"/>
      <w:szCs w:val="20"/>
      <w:lang w:val="bg-BG"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before="0" w:after="200"/>
    </w:pPr>
    <w:rPr>
      <w:b/>
      <w:bCs/>
      <w:color w:val="4F81BD" w:themeColor="accent1"/>
      <w:sz w:val="18"/>
      <w:szCs w:val="18"/>
    </w:rPr>
  </w:style>
  <w:style w:type="paragraph" w:styleId="TableofFigures">
    <w:name w:val="table of figures"/>
    <w:basedOn w:val="Normal"/>
    <w:next w:val="Normal"/>
    <w:uiPriority w:val="99"/>
    <w:semiHidden/>
    <w:unhideWhenUsed/>
    <w:pPr>
      <w:spacing w:after="0"/>
    </w:pPr>
  </w:style>
  <w:style w:type="paragraph" w:styleId="ListNumber">
    <w:name w:val="List Number"/>
    <w:basedOn w:val="Normal"/>
    <w:uiPriority w:val="99"/>
    <w:semiHidden/>
    <w:unhideWhenUsed/>
    <w:pPr>
      <w:numPr>
        <w:numId w:val="7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pPr>
      <w:numPr>
        <w:numId w:val="8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pPr>
      <w:numPr>
        <w:numId w:val="9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pPr>
      <w:numPr>
        <w:numId w:val="10"/>
      </w:numPr>
      <w:contextualSpacing/>
    </w:pPr>
  </w:style>
  <w:style w:type="paragraph" w:styleId="Header">
    <w:name w:val="header"/>
    <w:basedOn w:val="Normal"/>
    <w:link w:val="HeaderChar"/>
    <w:uiPriority w:val="99"/>
    <w:unhideWhenUsed/>
    <w:rsid w:val="009C6A3F"/>
    <w:pPr>
      <w:tabs>
        <w:tab w:val="center" w:pos="4535"/>
        <w:tab w:val="right" w:pos="9071"/>
      </w:tabs>
      <w:spacing w:before="0"/>
    </w:pPr>
    <w:rPr>
      <w:lang w:eastAsia="en-US" w:bidi="ar-SA"/>
    </w:rPr>
  </w:style>
  <w:style w:type="character" w:customStyle="1" w:styleId="HeaderChar">
    <w:name w:val="Header Char"/>
    <w:basedOn w:val="DefaultParagraphFont"/>
    <w:link w:val="Header"/>
    <w:uiPriority w:val="99"/>
    <w:rsid w:val="009C6A3F"/>
    <w:rPr>
      <w:rFonts w:ascii="Times New Roman" w:hAnsi="Times New Roman" w:cs="Times New Roman"/>
      <w:sz w:val="24"/>
      <w:lang w:eastAsia="en-US" w:bidi="ar-SA"/>
    </w:rPr>
  </w:style>
  <w:style w:type="paragraph" w:styleId="Footer">
    <w:name w:val="footer"/>
    <w:basedOn w:val="Normal"/>
    <w:link w:val="FooterChar"/>
    <w:uiPriority w:val="99"/>
    <w:unhideWhenUsed/>
    <w:pPr>
      <w:tabs>
        <w:tab w:val="center" w:pos="4535"/>
        <w:tab w:val="right" w:pos="9071"/>
        <w:tab w:val="right" w:pos="9921"/>
      </w:tabs>
      <w:spacing w:before="360" w:after="0"/>
      <w:ind w:left="-850" w:right="-850"/>
      <w:jc w:val="left"/>
    </w:pPr>
  </w:style>
  <w:style w:type="character" w:customStyle="1" w:styleId="FooterChar">
    <w:name w:val="Footer Char"/>
    <w:basedOn w:val="DefaultParagraphFont"/>
    <w:link w:val="Footer"/>
    <w:uiPriority w:val="99"/>
    <w:rPr>
      <w:rFonts w:ascii="Times New Roman" w:hAnsi="Times New Roman" w:cs="Times New Roman"/>
      <w:sz w:val="24"/>
      <w:shd w:val="clear" w:color="auto" w:fill="auto"/>
      <w:lang w:val="en-GB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before="0" w:after="0"/>
      <w:ind w:left="720" w:hanging="72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rFonts w:ascii="Times New Roman" w:hAnsi="Times New Roman" w:cs="Times New Roman"/>
      <w:sz w:val="20"/>
      <w:szCs w:val="20"/>
      <w:shd w:val="clear" w:color="auto" w:fill="auto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="Times New Roman" w:eastAsiaTheme="majorEastAsia" w:hAnsi="Times New Roman" w:cs="Times New Roman"/>
      <w:b/>
      <w:bCs/>
      <w:smallCaps/>
      <w:sz w:val="24"/>
      <w:szCs w:val="28"/>
      <w:shd w:val="clear" w:color="auto" w:fill="auto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semiHidden/>
    <w:rPr>
      <w:rFonts w:ascii="Times New Roman" w:eastAsiaTheme="majorEastAsia" w:hAnsi="Times New Roman" w:cs="Times New Roman"/>
      <w:b/>
      <w:bCs/>
      <w:sz w:val="24"/>
      <w:szCs w:val="26"/>
      <w:shd w:val="clear" w:color="auto" w:fill="auto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semiHidden/>
    <w:rPr>
      <w:rFonts w:ascii="Times New Roman" w:eastAsiaTheme="majorEastAsia" w:hAnsi="Times New Roman" w:cs="Times New Roman"/>
      <w:bCs/>
      <w:i/>
      <w:sz w:val="24"/>
      <w:shd w:val="clear" w:color="auto" w:fill="auto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semiHidden/>
    <w:rPr>
      <w:rFonts w:ascii="Times New Roman" w:eastAsiaTheme="majorEastAsia" w:hAnsi="Times New Roman" w:cs="Times New Roman"/>
      <w:bCs/>
      <w:iCs/>
      <w:sz w:val="24"/>
      <w:shd w:val="clear" w:color="auto" w:fill="auto"/>
      <w:lang w:val="en-GB"/>
    </w:rPr>
  </w:style>
  <w:style w:type="paragraph" w:styleId="TOCHeading">
    <w:name w:val="TOC Heading"/>
    <w:basedOn w:val="Normal"/>
    <w:next w:val="Normal"/>
    <w:uiPriority w:val="39"/>
    <w:semiHidden/>
    <w:unhideWhenUsed/>
    <w:qFormat/>
    <w:pPr>
      <w:spacing w:after="240"/>
      <w:jc w:val="center"/>
    </w:pPr>
    <w:rPr>
      <w:b/>
      <w:sz w:val="28"/>
    </w:rPr>
  </w:style>
  <w:style w:type="paragraph" w:styleId="TOC1">
    <w:name w:val="toc 1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2">
    <w:name w:val="toc 2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3">
    <w:name w:val="toc 3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4">
    <w:name w:val="toc 4"/>
    <w:basedOn w:val="Normal"/>
    <w:next w:val="Normal"/>
    <w:uiPriority w:val="39"/>
    <w:semiHidden/>
    <w:unhideWhenUsed/>
    <w:pPr>
      <w:tabs>
        <w:tab w:val="right" w:leader="dot" w:pos="9071"/>
      </w:tabs>
      <w:spacing w:before="60"/>
      <w:ind w:left="850" w:hanging="850"/>
      <w:jc w:val="left"/>
    </w:pPr>
  </w:style>
  <w:style w:type="paragraph" w:styleId="TOC5">
    <w:name w:val="toc 5"/>
    <w:basedOn w:val="Normal"/>
    <w:next w:val="Normal"/>
    <w:uiPriority w:val="39"/>
    <w:semiHidden/>
    <w:unhideWhenUsed/>
    <w:pPr>
      <w:tabs>
        <w:tab w:val="right" w:leader="dot" w:pos="9071"/>
      </w:tabs>
      <w:spacing w:before="300"/>
      <w:jc w:val="left"/>
    </w:pPr>
  </w:style>
  <w:style w:type="paragraph" w:styleId="TOC6">
    <w:name w:val="toc 6"/>
    <w:basedOn w:val="Normal"/>
    <w:next w:val="Normal"/>
    <w:uiPriority w:val="39"/>
    <w:semiHidden/>
    <w:unhideWhenUsed/>
    <w:pPr>
      <w:tabs>
        <w:tab w:val="right" w:leader="dot" w:pos="9071"/>
      </w:tabs>
      <w:spacing w:before="240"/>
      <w:jc w:val="left"/>
    </w:pPr>
  </w:style>
  <w:style w:type="paragraph" w:styleId="TOC7">
    <w:name w:val="toc 7"/>
    <w:basedOn w:val="Normal"/>
    <w:next w:val="Normal"/>
    <w:uiPriority w:val="39"/>
    <w:semiHidden/>
    <w:unhideWhenUsed/>
    <w:pPr>
      <w:tabs>
        <w:tab w:val="right" w:leader="dot" w:pos="9071"/>
      </w:tabs>
      <w:spacing w:before="180"/>
      <w:jc w:val="left"/>
    </w:pPr>
  </w:style>
  <w:style w:type="paragraph" w:styleId="TOC8">
    <w:name w:val="toc 8"/>
    <w:basedOn w:val="Normal"/>
    <w:next w:val="Normal"/>
    <w:uiPriority w:val="39"/>
    <w:semiHidden/>
    <w:unhideWhenUsed/>
    <w:pPr>
      <w:tabs>
        <w:tab w:val="right" w:leader="dot" w:pos="9071"/>
      </w:tabs>
      <w:jc w:val="left"/>
    </w:pPr>
  </w:style>
  <w:style w:type="paragraph" w:styleId="TOC9">
    <w:name w:val="toc 9"/>
    <w:basedOn w:val="Normal"/>
    <w:next w:val="Normal"/>
    <w:uiPriority w:val="39"/>
    <w:semiHidden/>
    <w:unhideWhenUsed/>
    <w:pPr>
      <w:tabs>
        <w:tab w:val="right" w:leader="dot" w:pos="9071"/>
      </w:tabs>
    </w:pPr>
  </w:style>
  <w:style w:type="paragraph" w:customStyle="1" w:styleId="HeaderLandscape">
    <w:name w:val="HeaderLandscape"/>
    <w:basedOn w:val="Normal"/>
    <w:rsid w:val="009C6A3F"/>
    <w:pPr>
      <w:tabs>
        <w:tab w:val="center" w:pos="7285"/>
        <w:tab w:val="right" w:pos="14003"/>
      </w:tabs>
      <w:spacing w:before="0"/>
    </w:pPr>
    <w:rPr>
      <w:lang w:eastAsia="en-US" w:bidi="ar-SA"/>
    </w:rPr>
  </w:style>
  <w:style w:type="paragraph" w:customStyle="1" w:styleId="FooterLandscape">
    <w:name w:val="FooterLandscape"/>
    <w:basedOn w:val="Normal"/>
    <w:pPr>
      <w:tabs>
        <w:tab w:val="center" w:pos="7285"/>
        <w:tab w:val="center" w:pos="10913"/>
        <w:tab w:val="right" w:pos="15137"/>
      </w:tabs>
      <w:spacing w:before="360" w:after="0"/>
      <w:ind w:left="-567" w:right="-567"/>
      <w:jc w:val="left"/>
    </w:pPr>
  </w:style>
  <w:style w:type="character" w:styleId="FootnoteReference">
    <w:name w:val="footnote reference"/>
    <w:basedOn w:val="DefaultParagraphFont"/>
    <w:uiPriority w:val="99"/>
    <w:semiHidden/>
    <w:unhideWhenUsed/>
    <w:rPr>
      <w:shd w:val="clear" w:color="auto" w:fill="auto"/>
      <w:vertAlign w:val="superscript"/>
    </w:rPr>
  </w:style>
  <w:style w:type="paragraph" w:customStyle="1" w:styleId="Text1">
    <w:name w:val="Text 1"/>
    <w:basedOn w:val="Normal"/>
    <w:pPr>
      <w:ind w:left="850"/>
    </w:pPr>
  </w:style>
  <w:style w:type="paragraph" w:customStyle="1" w:styleId="Text2">
    <w:name w:val="Text 2"/>
    <w:basedOn w:val="Normal"/>
    <w:pPr>
      <w:ind w:left="1417"/>
    </w:pPr>
  </w:style>
  <w:style w:type="paragraph" w:customStyle="1" w:styleId="Text3">
    <w:name w:val="Text 3"/>
    <w:basedOn w:val="Normal"/>
    <w:pPr>
      <w:ind w:left="1984"/>
    </w:pPr>
  </w:style>
  <w:style w:type="paragraph" w:customStyle="1" w:styleId="Text4">
    <w:name w:val="Text 4"/>
    <w:basedOn w:val="Normal"/>
    <w:pPr>
      <w:ind w:left="2551"/>
    </w:pPr>
  </w:style>
  <w:style w:type="paragraph" w:customStyle="1" w:styleId="NormalCentered">
    <w:name w:val="Normal Centered"/>
    <w:basedOn w:val="Normal"/>
    <w:pPr>
      <w:jc w:val="center"/>
    </w:pPr>
  </w:style>
  <w:style w:type="paragraph" w:customStyle="1" w:styleId="NormalLeft">
    <w:name w:val="Normal Left"/>
    <w:basedOn w:val="Normal"/>
    <w:pPr>
      <w:jc w:val="left"/>
    </w:pPr>
  </w:style>
  <w:style w:type="paragraph" w:customStyle="1" w:styleId="NormalRight">
    <w:name w:val="Normal Right"/>
    <w:basedOn w:val="Normal"/>
    <w:pPr>
      <w:jc w:val="right"/>
    </w:pPr>
  </w:style>
  <w:style w:type="paragraph" w:customStyle="1" w:styleId="QuotedText">
    <w:name w:val="Quoted Text"/>
    <w:basedOn w:val="Normal"/>
    <w:pPr>
      <w:ind w:left="1417"/>
    </w:pPr>
  </w:style>
  <w:style w:type="paragraph" w:customStyle="1" w:styleId="Point0">
    <w:name w:val="Point 0"/>
    <w:basedOn w:val="Normal"/>
    <w:pPr>
      <w:ind w:left="850" w:hanging="850"/>
    </w:pPr>
  </w:style>
  <w:style w:type="paragraph" w:customStyle="1" w:styleId="Point1">
    <w:name w:val="Point 1"/>
    <w:basedOn w:val="Normal"/>
    <w:pPr>
      <w:ind w:left="1417" w:hanging="567"/>
    </w:pPr>
  </w:style>
  <w:style w:type="paragraph" w:customStyle="1" w:styleId="Point2">
    <w:name w:val="Point 2"/>
    <w:basedOn w:val="Normal"/>
    <w:pPr>
      <w:ind w:left="1984" w:hanging="567"/>
    </w:pPr>
  </w:style>
  <w:style w:type="paragraph" w:customStyle="1" w:styleId="Point3">
    <w:name w:val="Point 3"/>
    <w:basedOn w:val="Normal"/>
    <w:pPr>
      <w:ind w:left="2551" w:hanging="567"/>
    </w:pPr>
  </w:style>
  <w:style w:type="paragraph" w:customStyle="1" w:styleId="Point4">
    <w:name w:val="Point 4"/>
    <w:basedOn w:val="Normal"/>
    <w:pPr>
      <w:ind w:left="3118" w:hanging="567"/>
    </w:pPr>
  </w:style>
  <w:style w:type="paragraph" w:customStyle="1" w:styleId="Tiret0">
    <w:name w:val="Tiret 0"/>
    <w:basedOn w:val="Point0"/>
    <w:pPr>
      <w:numPr>
        <w:numId w:val="25"/>
      </w:numPr>
    </w:pPr>
  </w:style>
  <w:style w:type="paragraph" w:customStyle="1" w:styleId="Tiret1">
    <w:name w:val="Tiret 1"/>
    <w:basedOn w:val="Point1"/>
    <w:pPr>
      <w:numPr>
        <w:numId w:val="26"/>
      </w:numPr>
    </w:pPr>
  </w:style>
  <w:style w:type="paragraph" w:customStyle="1" w:styleId="Tiret2">
    <w:name w:val="Tiret 2"/>
    <w:basedOn w:val="Point2"/>
    <w:pPr>
      <w:numPr>
        <w:numId w:val="27"/>
      </w:numPr>
    </w:pPr>
  </w:style>
  <w:style w:type="paragraph" w:customStyle="1" w:styleId="Tiret3">
    <w:name w:val="Tiret 3"/>
    <w:basedOn w:val="Point3"/>
    <w:pPr>
      <w:numPr>
        <w:numId w:val="28"/>
      </w:numPr>
    </w:pPr>
  </w:style>
  <w:style w:type="paragraph" w:customStyle="1" w:styleId="Tiret4">
    <w:name w:val="Tiret 4"/>
    <w:basedOn w:val="Point4"/>
    <w:pPr>
      <w:numPr>
        <w:numId w:val="29"/>
      </w:numPr>
    </w:pPr>
  </w:style>
  <w:style w:type="paragraph" w:customStyle="1" w:styleId="PointDouble0">
    <w:name w:val="PointDouble 0"/>
    <w:basedOn w:val="Normal"/>
    <w:pPr>
      <w:tabs>
        <w:tab w:val="left" w:pos="850"/>
      </w:tabs>
      <w:ind w:left="1417" w:hanging="1417"/>
    </w:pPr>
  </w:style>
  <w:style w:type="paragraph" w:customStyle="1" w:styleId="PointDouble1">
    <w:name w:val="PointDouble 1"/>
    <w:basedOn w:val="Normal"/>
    <w:pPr>
      <w:tabs>
        <w:tab w:val="left" w:pos="1417"/>
      </w:tabs>
      <w:ind w:left="1984" w:hanging="1134"/>
    </w:pPr>
  </w:style>
  <w:style w:type="paragraph" w:customStyle="1" w:styleId="PointDouble2">
    <w:name w:val="PointDouble 2"/>
    <w:basedOn w:val="Normal"/>
    <w:pPr>
      <w:tabs>
        <w:tab w:val="left" w:pos="1984"/>
      </w:tabs>
      <w:ind w:left="2551" w:hanging="1134"/>
    </w:pPr>
  </w:style>
  <w:style w:type="paragraph" w:customStyle="1" w:styleId="PointDouble3">
    <w:name w:val="PointDouble 3"/>
    <w:basedOn w:val="Normal"/>
    <w:pPr>
      <w:tabs>
        <w:tab w:val="left" w:pos="2551"/>
      </w:tabs>
      <w:ind w:left="3118" w:hanging="1134"/>
    </w:pPr>
  </w:style>
  <w:style w:type="paragraph" w:customStyle="1" w:styleId="PointDouble4">
    <w:name w:val="PointDouble 4"/>
    <w:basedOn w:val="Normal"/>
    <w:pPr>
      <w:tabs>
        <w:tab w:val="left" w:pos="3118"/>
      </w:tabs>
      <w:ind w:left="3685" w:hanging="1134"/>
    </w:pPr>
  </w:style>
  <w:style w:type="paragraph" w:customStyle="1" w:styleId="PointTriple0">
    <w:name w:val="PointTriple 0"/>
    <w:basedOn w:val="Normal"/>
    <w:pPr>
      <w:tabs>
        <w:tab w:val="left" w:pos="850"/>
        <w:tab w:val="left" w:pos="1417"/>
      </w:tabs>
      <w:ind w:left="1984" w:hanging="1984"/>
    </w:pPr>
  </w:style>
  <w:style w:type="paragraph" w:customStyle="1" w:styleId="PointTriple1">
    <w:name w:val="PointTriple 1"/>
    <w:basedOn w:val="Normal"/>
    <w:pPr>
      <w:tabs>
        <w:tab w:val="left" w:pos="1417"/>
        <w:tab w:val="left" w:pos="1984"/>
      </w:tabs>
      <w:ind w:left="2551" w:hanging="1701"/>
    </w:pPr>
  </w:style>
  <w:style w:type="paragraph" w:customStyle="1" w:styleId="PointTriple2">
    <w:name w:val="PointTriple 2"/>
    <w:basedOn w:val="Normal"/>
    <w:pPr>
      <w:tabs>
        <w:tab w:val="left" w:pos="1984"/>
        <w:tab w:val="left" w:pos="2551"/>
      </w:tabs>
      <w:ind w:left="3118" w:hanging="1701"/>
    </w:pPr>
  </w:style>
  <w:style w:type="paragraph" w:customStyle="1" w:styleId="PointTriple3">
    <w:name w:val="PointTriple 3"/>
    <w:basedOn w:val="Normal"/>
    <w:pPr>
      <w:tabs>
        <w:tab w:val="left" w:pos="2551"/>
        <w:tab w:val="left" w:pos="3118"/>
      </w:tabs>
      <w:ind w:left="3685" w:hanging="1701"/>
    </w:pPr>
  </w:style>
  <w:style w:type="paragraph" w:customStyle="1" w:styleId="PointTriple4">
    <w:name w:val="PointTriple 4"/>
    <w:basedOn w:val="Normal"/>
    <w:pPr>
      <w:tabs>
        <w:tab w:val="left" w:pos="3118"/>
        <w:tab w:val="left" w:pos="3685"/>
      </w:tabs>
      <w:ind w:left="4252" w:hanging="1701"/>
    </w:pPr>
  </w:style>
  <w:style w:type="paragraph" w:customStyle="1" w:styleId="NumPar1">
    <w:name w:val="NumPar 1"/>
    <w:basedOn w:val="Normal"/>
    <w:next w:val="Text1"/>
    <w:pPr>
      <w:numPr>
        <w:numId w:val="30"/>
      </w:numPr>
    </w:pPr>
  </w:style>
  <w:style w:type="paragraph" w:customStyle="1" w:styleId="NumPar2">
    <w:name w:val="NumPar 2"/>
    <w:basedOn w:val="Normal"/>
    <w:next w:val="Text1"/>
    <w:pPr>
      <w:numPr>
        <w:ilvl w:val="1"/>
        <w:numId w:val="30"/>
      </w:numPr>
    </w:pPr>
  </w:style>
  <w:style w:type="paragraph" w:customStyle="1" w:styleId="NumPar3">
    <w:name w:val="NumPar 3"/>
    <w:basedOn w:val="Normal"/>
    <w:next w:val="Text1"/>
    <w:pPr>
      <w:numPr>
        <w:ilvl w:val="2"/>
        <w:numId w:val="30"/>
      </w:numPr>
    </w:pPr>
  </w:style>
  <w:style w:type="paragraph" w:customStyle="1" w:styleId="NumPar4">
    <w:name w:val="NumPar 4"/>
    <w:basedOn w:val="Normal"/>
    <w:next w:val="Text1"/>
    <w:pPr>
      <w:numPr>
        <w:ilvl w:val="3"/>
        <w:numId w:val="30"/>
      </w:numPr>
    </w:pPr>
  </w:style>
  <w:style w:type="paragraph" w:customStyle="1" w:styleId="ManualNumPar1">
    <w:name w:val="Manual NumPar 1"/>
    <w:basedOn w:val="Normal"/>
    <w:next w:val="Text1"/>
    <w:pPr>
      <w:ind w:left="850" w:hanging="850"/>
    </w:pPr>
  </w:style>
  <w:style w:type="paragraph" w:customStyle="1" w:styleId="ManualNumPar2">
    <w:name w:val="Manual NumPar 2"/>
    <w:basedOn w:val="Normal"/>
    <w:next w:val="Text1"/>
    <w:pPr>
      <w:ind w:left="850" w:hanging="850"/>
    </w:pPr>
  </w:style>
  <w:style w:type="paragraph" w:customStyle="1" w:styleId="ManualNumPar3">
    <w:name w:val="Manual NumPar 3"/>
    <w:basedOn w:val="Normal"/>
    <w:next w:val="Text1"/>
    <w:pPr>
      <w:ind w:left="850" w:hanging="850"/>
    </w:pPr>
  </w:style>
  <w:style w:type="paragraph" w:customStyle="1" w:styleId="ManualNumPar4">
    <w:name w:val="Manual NumPar 4"/>
    <w:basedOn w:val="Normal"/>
    <w:next w:val="Text1"/>
    <w:pPr>
      <w:ind w:left="850" w:hanging="850"/>
    </w:pPr>
  </w:style>
  <w:style w:type="paragraph" w:customStyle="1" w:styleId="QuotedNumPar">
    <w:name w:val="Quoted NumPar"/>
    <w:basedOn w:val="Normal"/>
    <w:pPr>
      <w:ind w:left="1417" w:hanging="567"/>
    </w:pPr>
  </w:style>
  <w:style w:type="paragraph" w:customStyle="1" w:styleId="ManualHeading1">
    <w:name w:val="Manual Heading 1"/>
    <w:basedOn w:val="Normal"/>
    <w:next w:val="Text1"/>
    <w:pPr>
      <w:keepNext/>
      <w:tabs>
        <w:tab w:val="left" w:pos="850"/>
      </w:tabs>
      <w:spacing w:before="360"/>
      <w:ind w:left="850" w:hanging="850"/>
      <w:outlineLvl w:val="0"/>
    </w:pPr>
    <w:rPr>
      <w:b/>
      <w:smallCaps/>
    </w:rPr>
  </w:style>
  <w:style w:type="paragraph" w:customStyle="1" w:styleId="ManualHeading2">
    <w:name w:val="Manual Heading 2"/>
    <w:basedOn w:val="Normal"/>
    <w:next w:val="Text1"/>
    <w:pPr>
      <w:keepNext/>
      <w:tabs>
        <w:tab w:val="left" w:pos="850"/>
      </w:tabs>
      <w:ind w:left="850" w:hanging="850"/>
      <w:outlineLvl w:val="1"/>
    </w:pPr>
    <w:rPr>
      <w:b/>
    </w:rPr>
  </w:style>
  <w:style w:type="paragraph" w:customStyle="1" w:styleId="ManualHeading3">
    <w:name w:val="Manual Heading 3"/>
    <w:basedOn w:val="Normal"/>
    <w:next w:val="Text1"/>
    <w:pPr>
      <w:keepNext/>
      <w:tabs>
        <w:tab w:val="left" w:pos="850"/>
      </w:tabs>
      <w:ind w:left="850" w:hanging="850"/>
      <w:outlineLvl w:val="2"/>
    </w:pPr>
    <w:rPr>
      <w:i/>
    </w:rPr>
  </w:style>
  <w:style w:type="paragraph" w:customStyle="1" w:styleId="ManualHeading4">
    <w:name w:val="Manual Heading 4"/>
    <w:basedOn w:val="Normal"/>
    <w:next w:val="Text1"/>
    <w:pPr>
      <w:keepNext/>
      <w:tabs>
        <w:tab w:val="left" w:pos="850"/>
      </w:tabs>
      <w:ind w:left="850" w:hanging="850"/>
      <w:outlineLvl w:val="3"/>
    </w:pPr>
  </w:style>
  <w:style w:type="paragraph" w:customStyle="1" w:styleId="ChapterTitle">
    <w:name w:val="ChapterTitle"/>
    <w:basedOn w:val="Normal"/>
    <w:next w:val="Normal"/>
    <w:pPr>
      <w:keepNext/>
      <w:spacing w:after="360"/>
      <w:jc w:val="center"/>
    </w:pPr>
    <w:rPr>
      <w:b/>
      <w:sz w:val="32"/>
    </w:rPr>
  </w:style>
  <w:style w:type="paragraph" w:customStyle="1" w:styleId="PartTitle">
    <w:name w:val="PartTitle"/>
    <w:basedOn w:val="Normal"/>
    <w:next w:val="ChapterTitle"/>
    <w:pPr>
      <w:keepNext/>
      <w:pageBreakBefore/>
      <w:spacing w:after="360"/>
      <w:jc w:val="center"/>
    </w:pPr>
    <w:rPr>
      <w:b/>
      <w:sz w:val="36"/>
    </w:rPr>
  </w:style>
  <w:style w:type="paragraph" w:customStyle="1" w:styleId="SectionTitle">
    <w:name w:val="SectionTitle"/>
    <w:basedOn w:val="Normal"/>
    <w:next w:val="Heading1"/>
    <w:pPr>
      <w:keepNext/>
      <w:spacing w:after="360"/>
      <w:jc w:val="center"/>
    </w:pPr>
    <w:rPr>
      <w:b/>
      <w:smallCaps/>
      <w:sz w:val="28"/>
    </w:rPr>
  </w:style>
  <w:style w:type="paragraph" w:customStyle="1" w:styleId="TableTitle">
    <w:name w:val="Table Title"/>
    <w:basedOn w:val="Normal"/>
    <w:next w:val="Normal"/>
    <w:pPr>
      <w:jc w:val="center"/>
    </w:pPr>
    <w:rPr>
      <w:b/>
    </w:rPr>
  </w:style>
  <w:style w:type="character" w:customStyle="1" w:styleId="Marker">
    <w:name w:val="Marker"/>
    <w:basedOn w:val="DefaultParagraphFont"/>
    <w:rPr>
      <w:color w:val="0000FF"/>
      <w:shd w:val="clear" w:color="auto" w:fill="auto"/>
    </w:rPr>
  </w:style>
  <w:style w:type="character" w:customStyle="1" w:styleId="Marker1">
    <w:name w:val="Marker1"/>
    <w:basedOn w:val="DefaultParagraphFont"/>
    <w:rPr>
      <w:color w:val="008000"/>
      <w:shd w:val="clear" w:color="auto" w:fill="auto"/>
    </w:rPr>
  </w:style>
  <w:style w:type="character" w:customStyle="1" w:styleId="Marker2">
    <w:name w:val="Marker2"/>
    <w:basedOn w:val="DefaultParagraphFont"/>
    <w:rPr>
      <w:color w:val="FF0000"/>
      <w:shd w:val="clear" w:color="auto" w:fill="auto"/>
    </w:rPr>
  </w:style>
  <w:style w:type="paragraph" w:customStyle="1" w:styleId="Point0number">
    <w:name w:val="Point 0 (number)"/>
    <w:basedOn w:val="Normal"/>
    <w:pPr>
      <w:numPr>
        <w:numId w:val="32"/>
      </w:numPr>
    </w:pPr>
  </w:style>
  <w:style w:type="paragraph" w:customStyle="1" w:styleId="Point1number">
    <w:name w:val="Point 1 (number)"/>
    <w:basedOn w:val="Normal"/>
    <w:pPr>
      <w:numPr>
        <w:ilvl w:val="2"/>
        <w:numId w:val="32"/>
      </w:numPr>
    </w:pPr>
  </w:style>
  <w:style w:type="paragraph" w:customStyle="1" w:styleId="Point2number">
    <w:name w:val="Point 2 (number)"/>
    <w:basedOn w:val="Normal"/>
    <w:pPr>
      <w:numPr>
        <w:ilvl w:val="4"/>
        <w:numId w:val="32"/>
      </w:numPr>
    </w:pPr>
  </w:style>
  <w:style w:type="paragraph" w:customStyle="1" w:styleId="Point3number">
    <w:name w:val="Point 3 (number)"/>
    <w:basedOn w:val="Normal"/>
    <w:pPr>
      <w:numPr>
        <w:ilvl w:val="6"/>
        <w:numId w:val="32"/>
      </w:numPr>
    </w:pPr>
  </w:style>
  <w:style w:type="paragraph" w:customStyle="1" w:styleId="Point0letter">
    <w:name w:val="Point 0 (letter)"/>
    <w:basedOn w:val="Normal"/>
    <w:pPr>
      <w:numPr>
        <w:ilvl w:val="1"/>
        <w:numId w:val="32"/>
      </w:numPr>
    </w:pPr>
  </w:style>
  <w:style w:type="paragraph" w:customStyle="1" w:styleId="Point1letter">
    <w:name w:val="Point 1 (letter)"/>
    <w:basedOn w:val="Normal"/>
    <w:pPr>
      <w:numPr>
        <w:ilvl w:val="3"/>
        <w:numId w:val="32"/>
      </w:numPr>
    </w:pPr>
  </w:style>
  <w:style w:type="paragraph" w:customStyle="1" w:styleId="Point2letter">
    <w:name w:val="Point 2 (letter)"/>
    <w:basedOn w:val="Normal"/>
    <w:pPr>
      <w:numPr>
        <w:ilvl w:val="5"/>
        <w:numId w:val="32"/>
      </w:numPr>
    </w:pPr>
  </w:style>
  <w:style w:type="paragraph" w:customStyle="1" w:styleId="Point3letter">
    <w:name w:val="Point 3 (letter)"/>
    <w:basedOn w:val="Normal"/>
    <w:pPr>
      <w:numPr>
        <w:ilvl w:val="7"/>
        <w:numId w:val="32"/>
      </w:numPr>
    </w:pPr>
  </w:style>
  <w:style w:type="paragraph" w:customStyle="1" w:styleId="Point4letter">
    <w:name w:val="Point 4 (letter)"/>
    <w:basedOn w:val="Normal"/>
    <w:pPr>
      <w:numPr>
        <w:ilvl w:val="8"/>
        <w:numId w:val="32"/>
      </w:numPr>
    </w:pPr>
  </w:style>
  <w:style w:type="paragraph" w:customStyle="1" w:styleId="Bullet0">
    <w:name w:val="Bullet 0"/>
    <w:basedOn w:val="Normal"/>
    <w:pPr>
      <w:numPr>
        <w:numId w:val="33"/>
      </w:numPr>
    </w:pPr>
  </w:style>
  <w:style w:type="paragraph" w:customStyle="1" w:styleId="Bullet1">
    <w:name w:val="Bullet 1"/>
    <w:basedOn w:val="Normal"/>
    <w:pPr>
      <w:numPr>
        <w:numId w:val="34"/>
      </w:numPr>
    </w:pPr>
  </w:style>
  <w:style w:type="paragraph" w:customStyle="1" w:styleId="Bullet2">
    <w:name w:val="Bullet 2"/>
    <w:basedOn w:val="Normal"/>
    <w:pPr>
      <w:numPr>
        <w:numId w:val="35"/>
      </w:numPr>
    </w:pPr>
  </w:style>
  <w:style w:type="paragraph" w:customStyle="1" w:styleId="Bullet3">
    <w:name w:val="Bullet 3"/>
    <w:basedOn w:val="Normal"/>
    <w:pPr>
      <w:numPr>
        <w:numId w:val="36"/>
      </w:numPr>
    </w:pPr>
  </w:style>
  <w:style w:type="paragraph" w:customStyle="1" w:styleId="Bullet4">
    <w:name w:val="Bullet 4"/>
    <w:basedOn w:val="Normal"/>
    <w:pPr>
      <w:numPr>
        <w:numId w:val="37"/>
      </w:numPr>
    </w:pPr>
  </w:style>
  <w:style w:type="paragraph" w:customStyle="1" w:styleId="Annexetitreexpos">
    <w:name w:val="Annexe titre (exposé)"/>
    <w:basedOn w:val="Normal"/>
    <w:next w:val="Normal"/>
    <w:pPr>
      <w:jc w:val="center"/>
    </w:pPr>
    <w:rPr>
      <w:b/>
      <w:u w:val="single"/>
    </w:rPr>
  </w:style>
  <w:style w:type="paragraph" w:customStyle="1" w:styleId="Annexetitre">
    <w:name w:val="Annexe titre"/>
    <w:basedOn w:val="Normal"/>
    <w:next w:val="Normal"/>
    <w:pPr>
      <w:jc w:val="center"/>
    </w:pPr>
    <w:rPr>
      <w:b/>
      <w:u w:val="single"/>
    </w:rPr>
  </w:style>
  <w:style w:type="paragraph" w:customStyle="1" w:styleId="Annexetitrefichefinancire">
    <w:name w:val="Annexe titre (fiche financière)"/>
    <w:basedOn w:val="Normal"/>
    <w:next w:val="Normal"/>
    <w:pPr>
      <w:jc w:val="center"/>
    </w:pPr>
    <w:rPr>
      <w:b/>
      <w:u w:val="single"/>
    </w:rPr>
  </w:style>
  <w:style w:type="paragraph" w:customStyle="1" w:styleId="Applicationdirecte">
    <w:name w:val="Application directe"/>
    <w:basedOn w:val="Normal"/>
    <w:next w:val="Fait"/>
    <w:pPr>
      <w:spacing w:before="480"/>
    </w:pPr>
  </w:style>
  <w:style w:type="paragraph" w:customStyle="1" w:styleId="Avertissementtitre">
    <w:name w:val="Avertissement titre"/>
    <w:basedOn w:val="Normal"/>
    <w:next w:val="Normal"/>
    <w:pPr>
      <w:keepNext/>
      <w:spacing w:before="480"/>
    </w:pPr>
    <w:rPr>
      <w:u w:val="single"/>
    </w:rPr>
  </w:style>
  <w:style w:type="paragraph" w:customStyle="1" w:styleId="Confidence">
    <w:name w:val="Confidence"/>
    <w:basedOn w:val="Normal"/>
    <w:next w:val="Normal"/>
    <w:pPr>
      <w:spacing w:before="360"/>
      <w:jc w:val="center"/>
    </w:pPr>
  </w:style>
  <w:style w:type="paragraph" w:customStyle="1" w:styleId="Confidentialit">
    <w:name w:val="Confidentialité"/>
    <w:basedOn w:val="Normal"/>
    <w:next w:val="TypedudocumentPagedecouverture"/>
    <w:pPr>
      <w:spacing w:before="240" w:after="240"/>
      <w:ind w:left="5103"/>
      <w:jc w:val="left"/>
    </w:pPr>
    <w:rPr>
      <w:i/>
      <w:sz w:val="32"/>
    </w:rPr>
  </w:style>
  <w:style w:type="paragraph" w:customStyle="1" w:styleId="Considrant">
    <w:name w:val="Considérant"/>
    <w:basedOn w:val="Normal"/>
    <w:pPr>
      <w:numPr>
        <w:numId w:val="38"/>
      </w:numPr>
    </w:pPr>
  </w:style>
  <w:style w:type="paragraph" w:customStyle="1" w:styleId="Corrigendum">
    <w:name w:val="Corrigendum"/>
    <w:basedOn w:val="Normal"/>
    <w:next w:val="Normal"/>
    <w:pPr>
      <w:spacing w:before="0" w:after="240"/>
      <w:jc w:val="left"/>
    </w:pPr>
  </w:style>
  <w:style w:type="paragraph" w:customStyle="1" w:styleId="Datedadoption">
    <w:name w:val="Date d'adoption"/>
    <w:basedOn w:val="Normal"/>
    <w:next w:val="Titreobjet"/>
    <w:pPr>
      <w:spacing w:before="360" w:after="0"/>
      <w:jc w:val="center"/>
    </w:pPr>
    <w:rPr>
      <w:b/>
    </w:rPr>
  </w:style>
  <w:style w:type="paragraph" w:customStyle="1" w:styleId="Emission">
    <w:name w:val="Emission"/>
    <w:basedOn w:val="Normal"/>
    <w:next w:val="Rfrenceinstitutionnelle"/>
    <w:pPr>
      <w:spacing w:before="0" w:after="0"/>
      <w:ind w:left="5103"/>
      <w:jc w:val="left"/>
    </w:pPr>
  </w:style>
  <w:style w:type="paragraph" w:customStyle="1" w:styleId="Exposdesmotifstitre">
    <w:name w:val="Exposé des motifs titre"/>
    <w:basedOn w:val="Normal"/>
    <w:next w:val="Normal"/>
    <w:pPr>
      <w:jc w:val="center"/>
    </w:pPr>
    <w:rPr>
      <w:b/>
      <w:u w:val="single"/>
    </w:rPr>
  </w:style>
  <w:style w:type="paragraph" w:customStyle="1" w:styleId="Fait">
    <w:name w:val="Fait à"/>
    <w:basedOn w:val="Normal"/>
    <w:next w:val="Institutionquisigne"/>
    <w:pPr>
      <w:keepNext/>
      <w:spacing w:after="0"/>
    </w:pPr>
  </w:style>
  <w:style w:type="paragraph" w:customStyle="1" w:styleId="Formuledadoption">
    <w:name w:val="Formule d'adoption"/>
    <w:basedOn w:val="Normal"/>
    <w:next w:val="Titrearticle"/>
    <w:pPr>
      <w:keepNext/>
    </w:pPr>
  </w:style>
  <w:style w:type="paragraph" w:customStyle="1" w:styleId="Institutionquiagit">
    <w:name w:val="Institution qui agit"/>
    <w:basedOn w:val="Normal"/>
    <w:next w:val="Normal"/>
    <w:pPr>
      <w:keepNext/>
      <w:spacing w:before="600"/>
    </w:pPr>
  </w:style>
  <w:style w:type="paragraph" w:customStyle="1" w:styleId="Institutionquisigne">
    <w:name w:val="Institution qui signe"/>
    <w:basedOn w:val="Normal"/>
    <w:next w:val="Personnequisigne"/>
    <w:pPr>
      <w:keepNext/>
      <w:tabs>
        <w:tab w:val="left" w:pos="4252"/>
      </w:tabs>
      <w:spacing w:before="720" w:after="0"/>
    </w:pPr>
    <w:rPr>
      <w:i/>
    </w:rPr>
  </w:style>
  <w:style w:type="paragraph" w:customStyle="1" w:styleId="Langue">
    <w:name w:val="Langue"/>
    <w:basedOn w:val="Normal"/>
    <w:next w:val="Rfrenceinterne"/>
    <w:pPr>
      <w:framePr w:wrap="around" w:vAnchor="page" w:hAnchor="text" w:xAlign="center" w:y="14741"/>
      <w:spacing w:before="0" w:after="600"/>
      <w:jc w:val="center"/>
    </w:pPr>
    <w:rPr>
      <w:b/>
      <w:caps/>
    </w:rPr>
  </w:style>
  <w:style w:type="paragraph" w:customStyle="1" w:styleId="ManualConsidrant">
    <w:name w:val="Manual Considérant"/>
    <w:basedOn w:val="Normal"/>
    <w:pPr>
      <w:ind w:left="709" w:hanging="709"/>
    </w:pPr>
  </w:style>
  <w:style w:type="paragraph" w:customStyle="1" w:styleId="Nomdelinstitution">
    <w:name w:val="Nom de l'institution"/>
    <w:basedOn w:val="Normal"/>
    <w:next w:val="Emission"/>
    <w:pPr>
      <w:spacing w:before="0" w:after="0"/>
      <w:jc w:val="left"/>
    </w:pPr>
    <w:rPr>
      <w:rFonts w:ascii="Arial" w:hAnsi="Arial" w:cs="Arial"/>
    </w:rPr>
  </w:style>
  <w:style w:type="paragraph" w:customStyle="1" w:styleId="Personnequisigne">
    <w:name w:val="Personne qui signe"/>
    <w:basedOn w:val="Normal"/>
    <w:next w:val="Institutionquisigne"/>
    <w:pPr>
      <w:tabs>
        <w:tab w:val="left" w:pos="4252"/>
      </w:tabs>
      <w:spacing w:before="0" w:after="0"/>
      <w:jc w:val="left"/>
    </w:pPr>
    <w:rPr>
      <w:i/>
    </w:rPr>
  </w:style>
  <w:style w:type="paragraph" w:customStyle="1" w:styleId="Rfrenceinstitutionnelle">
    <w:name w:val="Référence institutionnelle"/>
    <w:basedOn w:val="Normal"/>
    <w:next w:val="Confidentialit"/>
    <w:pPr>
      <w:spacing w:before="0" w:after="240"/>
      <w:ind w:left="5103"/>
      <w:jc w:val="left"/>
    </w:pPr>
  </w:style>
  <w:style w:type="paragraph" w:customStyle="1" w:styleId="Rfrenceinterinstitutionnelle">
    <w:name w:val="Référence interinstitutionnelle"/>
    <w:basedOn w:val="Normal"/>
    <w:next w:val="Statut"/>
    <w:pPr>
      <w:spacing w:before="0" w:after="0"/>
      <w:ind w:left="5103"/>
      <w:jc w:val="left"/>
    </w:pPr>
  </w:style>
  <w:style w:type="paragraph" w:customStyle="1" w:styleId="Rfrenceinterne">
    <w:name w:val="Référence interne"/>
    <w:basedOn w:val="Normal"/>
    <w:next w:val="Rfrenceinterinstitutionnelle"/>
    <w:pPr>
      <w:spacing w:before="0" w:after="0"/>
      <w:ind w:left="5103"/>
      <w:jc w:val="left"/>
    </w:pPr>
  </w:style>
  <w:style w:type="paragraph" w:customStyle="1" w:styleId="Sous-titreobjet">
    <w:name w:val="Sous-titre objet"/>
    <w:basedOn w:val="Normal"/>
    <w:pPr>
      <w:spacing w:before="0" w:after="0"/>
      <w:jc w:val="center"/>
    </w:pPr>
    <w:rPr>
      <w:b/>
    </w:rPr>
  </w:style>
  <w:style w:type="paragraph" w:customStyle="1" w:styleId="Statut">
    <w:name w:val="Statut"/>
    <w:basedOn w:val="Normal"/>
    <w:next w:val="Typedudocument"/>
    <w:pPr>
      <w:spacing w:before="360" w:after="0"/>
      <w:jc w:val="center"/>
    </w:pPr>
  </w:style>
  <w:style w:type="paragraph" w:customStyle="1" w:styleId="Titrearticle">
    <w:name w:val="Titre article"/>
    <w:basedOn w:val="Normal"/>
    <w:next w:val="Normal"/>
    <w:pPr>
      <w:keepNext/>
      <w:spacing w:before="360"/>
      <w:jc w:val="center"/>
    </w:pPr>
    <w:rPr>
      <w:i/>
    </w:rPr>
  </w:style>
  <w:style w:type="paragraph" w:customStyle="1" w:styleId="Titreobjet">
    <w:name w:val="Titre objet"/>
    <w:basedOn w:val="Normal"/>
    <w:next w:val="Sous-titreobjet"/>
    <w:pPr>
      <w:spacing w:before="360" w:after="360"/>
      <w:jc w:val="center"/>
    </w:pPr>
    <w:rPr>
      <w:b/>
    </w:rPr>
  </w:style>
  <w:style w:type="paragraph" w:customStyle="1" w:styleId="Typedudocument">
    <w:name w:val="Type du document"/>
    <w:basedOn w:val="Normal"/>
    <w:next w:val="Titreobjet"/>
    <w:pPr>
      <w:spacing w:before="360" w:after="0"/>
      <w:jc w:val="center"/>
    </w:pPr>
    <w:rPr>
      <w:b/>
    </w:rPr>
  </w:style>
  <w:style w:type="character" w:customStyle="1" w:styleId="Added">
    <w:name w:val="Added"/>
    <w:basedOn w:val="DefaultParagraphFont"/>
    <w:rPr>
      <w:b/>
      <w:u w:val="single"/>
      <w:shd w:val="clear" w:color="auto" w:fill="auto"/>
    </w:rPr>
  </w:style>
  <w:style w:type="character" w:customStyle="1" w:styleId="Deleted">
    <w:name w:val="Deleted"/>
    <w:basedOn w:val="DefaultParagraphFont"/>
    <w:rPr>
      <w:strike/>
      <w:dstrike w:val="0"/>
      <w:shd w:val="clear" w:color="auto" w:fill="auto"/>
    </w:rPr>
  </w:style>
  <w:style w:type="paragraph" w:customStyle="1" w:styleId="Address">
    <w:name w:val="Address"/>
    <w:basedOn w:val="Normal"/>
    <w:next w:val="Normal"/>
    <w:pPr>
      <w:keepLines/>
      <w:spacing w:line="360" w:lineRule="auto"/>
      <w:ind w:left="3402"/>
      <w:jc w:val="left"/>
    </w:pPr>
  </w:style>
  <w:style w:type="paragraph" w:customStyle="1" w:styleId="Objetexterne">
    <w:name w:val="Objet externe"/>
    <w:basedOn w:val="Normal"/>
    <w:next w:val="Normal"/>
    <w:rPr>
      <w:i/>
      <w:caps/>
    </w:rPr>
  </w:style>
  <w:style w:type="paragraph" w:customStyle="1" w:styleId="Pagedecouverture">
    <w:name w:val="Page de couverture"/>
    <w:basedOn w:val="Normal"/>
    <w:next w:val="Normal"/>
    <w:pPr>
      <w:spacing w:before="0" w:after="0"/>
    </w:pPr>
  </w:style>
  <w:style w:type="paragraph" w:customStyle="1" w:styleId="Supertitre">
    <w:name w:val="Supertitre"/>
    <w:basedOn w:val="Normal"/>
    <w:next w:val="Normal"/>
    <w:pPr>
      <w:spacing w:before="0" w:after="600"/>
      <w:jc w:val="center"/>
    </w:pPr>
    <w:rPr>
      <w:b/>
    </w:rPr>
  </w:style>
  <w:style w:type="paragraph" w:customStyle="1" w:styleId="Languesfaisantfoi">
    <w:name w:val="Langues faisant foi"/>
    <w:basedOn w:val="Normal"/>
    <w:next w:val="Normal"/>
    <w:pPr>
      <w:spacing w:before="360" w:after="0"/>
      <w:jc w:val="center"/>
    </w:pPr>
  </w:style>
  <w:style w:type="paragraph" w:customStyle="1" w:styleId="Rfrencecroise">
    <w:name w:val="Référence croisée"/>
    <w:basedOn w:val="Normal"/>
    <w:pPr>
      <w:spacing w:before="0" w:after="0"/>
      <w:jc w:val="center"/>
    </w:pPr>
  </w:style>
  <w:style w:type="paragraph" w:customStyle="1" w:styleId="Fichefinanciretitre">
    <w:name w:val="Fiche financière titre"/>
    <w:basedOn w:val="Normal"/>
    <w:next w:val="Normal"/>
    <w:pPr>
      <w:jc w:val="center"/>
    </w:pPr>
    <w:rPr>
      <w:b/>
      <w:u w:val="single"/>
    </w:rPr>
  </w:style>
  <w:style w:type="paragraph" w:customStyle="1" w:styleId="DatedadoptionPagedecouverture">
    <w:name w:val="Date d'adoption (Page de couverture)"/>
    <w:basedOn w:val="Datedadoption"/>
    <w:next w:val="TitreobjetPagedecouverture"/>
  </w:style>
  <w:style w:type="paragraph" w:customStyle="1" w:styleId="RfrenceinterinstitutionnellePagedecouverture">
    <w:name w:val="Référence interinstitutionnelle (Page de couverture)"/>
    <w:basedOn w:val="Rfrenceinterinstitutionnelle"/>
    <w:next w:val="Confidentialit"/>
  </w:style>
  <w:style w:type="paragraph" w:customStyle="1" w:styleId="Sous-titreobjetPagedecouverture">
    <w:name w:val="Sous-titre objet (Page de couverture)"/>
    <w:basedOn w:val="Sous-titreobjet"/>
  </w:style>
  <w:style w:type="paragraph" w:customStyle="1" w:styleId="StatutPagedecouverture">
    <w:name w:val="Statut (Page de couverture)"/>
    <w:basedOn w:val="Statut"/>
    <w:next w:val="TypedudocumentPagedecouverture"/>
  </w:style>
  <w:style w:type="paragraph" w:customStyle="1" w:styleId="TitreobjetPagedecouverture">
    <w:name w:val="Titre objet (Page de couverture)"/>
    <w:basedOn w:val="Titreobjet"/>
    <w:next w:val="Sous-titreobjetPagedecouverture"/>
  </w:style>
  <w:style w:type="paragraph" w:customStyle="1" w:styleId="TypedudocumentPagedecouverture">
    <w:name w:val="Type du document (Page de couverture)"/>
    <w:basedOn w:val="Typedudocument"/>
    <w:next w:val="TitreobjetPagedecouverture"/>
  </w:style>
  <w:style w:type="paragraph" w:customStyle="1" w:styleId="Volume">
    <w:name w:val="Volume"/>
    <w:basedOn w:val="Normal"/>
    <w:next w:val="Confidentialit"/>
    <w:pPr>
      <w:spacing w:before="0" w:after="240"/>
      <w:ind w:left="5103"/>
      <w:jc w:val="left"/>
    </w:pPr>
  </w:style>
  <w:style w:type="paragraph" w:customStyle="1" w:styleId="IntrtEEE">
    <w:name w:val="Intérêt EEE"/>
    <w:basedOn w:val="Languesfaisantfoi"/>
    <w:next w:val="Normal"/>
    <w:pPr>
      <w:spacing w:after="240"/>
    </w:pPr>
  </w:style>
  <w:style w:type="paragraph" w:customStyle="1" w:styleId="Accompagnant">
    <w:name w:val="Accompagnant"/>
    <w:basedOn w:val="Normal"/>
    <w:next w:val="Typeacteprincipal"/>
    <w:pPr>
      <w:spacing w:before="0" w:after="240"/>
      <w:jc w:val="center"/>
    </w:pPr>
    <w:rPr>
      <w:b/>
      <w:i/>
    </w:rPr>
  </w:style>
  <w:style w:type="paragraph" w:customStyle="1" w:styleId="Typeacteprincipal">
    <w:name w:val="Type acte principal"/>
    <w:basedOn w:val="Normal"/>
    <w:next w:val="Objetacteprincipal"/>
    <w:pPr>
      <w:spacing w:before="0" w:after="240"/>
      <w:jc w:val="center"/>
    </w:pPr>
    <w:rPr>
      <w:b/>
    </w:rPr>
  </w:style>
  <w:style w:type="paragraph" w:customStyle="1" w:styleId="Objetacteprincipal">
    <w:name w:val="Objet acte principal"/>
    <w:basedOn w:val="Normal"/>
    <w:next w:val="Titrearticle"/>
    <w:pPr>
      <w:spacing w:before="0" w:after="360"/>
      <w:jc w:val="center"/>
    </w:pPr>
    <w:rPr>
      <w:b/>
    </w:rPr>
  </w:style>
  <w:style w:type="paragraph" w:customStyle="1" w:styleId="IntrtEEEPagedecouverture">
    <w:name w:val="Intérêt EEE (Page de couverture)"/>
    <w:basedOn w:val="IntrtEEE"/>
    <w:next w:val="Rfrencecroise"/>
  </w:style>
  <w:style w:type="paragraph" w:customStyle="1" w:styleId="AccompagnantPagedecouverture">
    <w:name w:val="Accompagnant (Page de couverture)"/>
    <w:basedOn w:val="Accompagnant"/>
    <w:next w:val="TypeacteprincipalPagedecouverture"/>
  </w:style>
  <w:style w:type="paragraph" w:customStyle="1" w:styleId="TypeacteprincipalPagedecouverture">
    <w:name w:val="Type acte principal (Page de couverture)"/>
    <w:basedOn w:val="Typeacteprincipal"/>
    <w:next w:val="ObjetacteprincipalPagedecouverture"/>
  </w:style>
  <w:style w:type="paragraph" w:customStyle="1" w:styleId="ObjetacteprincipalPagedecouverture">
    <w:name w:val="Objet acte principal (Page de couverture)"/>
    <w:basedOn w:val="Objetacteprincipal"/>
    <w:next w:val="Rfrencecroise"/>
  </w:style>
  <w:style w:type="paragraph" w:customStyle="1" w:styleId="LanguesfaisantfoiPagedecouverture">
    <w:name w:val="Langues faisant foi (Page de couverture)"/>
    <w:basedOn w:val="Normal"/>
    <w:next w:val="Normal"/>
    <w:pPr>
      <w:spacing w:before="360" w:after="0"/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ublic\Documents\Templates\CO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F0C278-51F9-439D-B65C-BF7949F274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COM.dotm</Template>
  <TotalTime>0</TotalTime>
  <Pages>6</Pages>
  <Words>1824</Words>
  <Characters>10235</Characters>
  <Application>Microsoft Office Word</Application>
  <DocSecurity>0</DocSecurity>
  <Lines>189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12016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2015-05-18T13:05:00Z</dcterms:created>
  <dcterms:modified xsi:type="dcterms:W3CDTF">2015-05-20T09:08:00Z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 edited using">
    <vt:lpwstr>LW 5.8.4, Build 20150407</vt:lpwstr>
  </property>
  <property fmtid="{D5CDD505-2E9C-101B-9397-08002B2CF9AE}" pid="3" name="Classification">
    <vt:lpwstr> </vt:lpwstr>
  </property>
  <property fmtid="{D5CDD505-2E9C-101B-9397-08002B2CF9AE}" pid="4" name="Category">
    <vt:lpwstr>COM/PL/ORG</vt:lpwstr>
  </property>
  <property fmtid="{D5CDD505-2E9C-101B-9397-08002B2CF9AE}" pid="5" name="Part">
    <vt:lpwstr>1</vt:lpwstr>
  </property>
  <property fmtid="{D5CDD505-2E9C-101B-9397-08002B2CF9AE}" pid="6" name="Total parts">
    <vt:lpwstr>1</vt:lpwstr>
  </property>
  <property fmtid="{D5CDD505-2E9C-101B-9397-08002B2CF9AE}" pid="7" name="LWTemplateID">
    <vt:lpwstr>SG-002</vt:lpwstr>
  </property>
  <property fmtid="{D5CDD505-2E9C-101B-9397-08002B2CF9AE}" pid="8" name="DQCStatus">
    <vt:lpwstr>Yellow (DQC version 02)</vt:lpwstr>
  </property>
</Properties>
</file>