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CF99FBC9002F446E8BF315F31BC87866" style="width:451pt;height:447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Rfrenceinterinstitutionnelle"/>
        <w:rPr>
          <w:noProof/>
        </w:rPr>
      </w:pPr>
      <w:bookmarkStart w:id="0" w:name="_GoBack"/>
      <w:bookmarkEnd w:id="0"/>
      <w:r>
        <w:rPr>
          <w:noProof/>
        </w:rPr>
        <w:lastRenderedPageBreak/>
        <w:t>2013/0024 (COD)</w:t>
      </w:r>
    </w:p>
    <w:p>
      <w:pPr>
        <w:pStyle w:val="Typedudocument"/>
        <w:rPr>
          <w:noProof/>
        </w:rPr>
      </w:pPr>
      <w:r>
        <w:rPr>
          <w:noProof/>
        </w:rPr>
        <w:t>СЪОБЩЕНИЕ НА КОМИСИЯТА ДО ЕВРОПЕЙСКИЯ ПАРЛАМЕНТ</w:t>
      </w:r>
      <w:r>
        <w:rPr>
          <w:noProof/>
        </w:rPr>
        <w:br/>
      </w:r>
      <w:r>
        <w:rPr>
          <w:noProof/>
        </w:rPr>
        <w:br/>
        <w:t>съгласно член 294, параграф 6 от Договора за функционирането на Европейския съюз</w:t>
      </w:r>
      <w:r>
        <w:rPr>
          <w:noProof/>
        </w:rPr>
        <w:br/>
      </w:r>
      <w:r>
        <w:rPr>
          <w:noProof/>
        </w:rPr>
        <w:br/>
        <w:t>относно</w:t>
      </w:r>
    </w:p>
    <w:p>
      <w:pPr>
        <w:pStyle w:val="Titreobjet"/>
        <w:rPr>
          <w:noProof/>
        </w:rPr>
      </w:pPr>
      <w:r>
        <w:rPr>
          <w:noProof/>
        </w:rPr>
        <w:t>позицията на Съвета във връзка с приемането на Регламент на Европейския парламент и на Съвета относно информацията, придружаваща паричните преводи</w:t>
      </w:r>
    </w:p>
    <w:p>
      <w:pPr>
        <w:pStyle w:val="IntrtEEE"/>
        <w:rPr>
          <w:noProof/>
        </w:rPr>
      </w:pPr>
      <w:r>
        <w:rPr>
          <w:noProof/>
        </w:rPr>
        <w:t>(текст от значение за ЕИП)</w:t>
      </w:r>
    </w:p>
    <w:p>
      <w:pPr>
        <w:pStyle w:val="ManualHeading1"/>
        <w:rPr>
          <w:noProof/>
          <w:sz w:val="22"/>
        </w:rPr>
      </w:pPr>
      <w:r>
        <w:rPr>
          <w:noProof/>
        </w:rPr>
        <w:t>1.</w:t>
      </w:r>
      <w:r>
        <w:rPr>
          <w:noProof/>
        </w:rPr>
        <w:tab/>
        <w:t>Хронология на преписката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04"/>
        <w:gridCol w:w="2483"/>
      </w:tblGrid>
      <w:tr>
        <w:tc>
          <w:tcPr>
            <w:tcW w:w="680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Дата на предаване на предложението на Европейския парламент и на Съвета</w:t>
            </w:r>
            <w:r>
              <w:rPr>
                <w:noProof/>
              </w:rPr>
              <w:br/>
              <w:t>(документ COM(2013) 44 final – 2013/0024 (COD):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6 февруари 2013 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становището на Европейския икономически и социален комитет: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23 май 2013 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позицията на Европейския парламент на първо четене: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11 март 2014 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предаване на измененото предложение: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Не се прилага.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приемане на позицията на Съвета: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 април 2015 г.</w:t>
            </w:r>
          </w:p>
        </w:tc>
      </w:tr>
    </w:tbl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Цел на предложението на Комисията</w:t>
      </w:r>
    </w:p>
    <w:p>
      <w:pPr>
        <w:rPr>
          <w:noProof/>
        </w:rPr>
      </w:pPr>
      <w:r>
        <w:rPr>
          <w:noProof/>
        </w:rPr>
        <w:t>Целта на предложението е да се преразгледа Регламент (ЕО) № 1781/2006 относно информацията за платеца, придружаваща парични преводи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(наричан по-нататък „Регламентът за паричните преводи“), за да се създаде възможност за предоставяне на повече информация на звената за финансово разузнаване и правоприлагащите органи, да се подобри проследимостта на плащанията и да се гарантира, че рамката на ЕС остава в пълно съответствие с международните стандарти.</w:t>
      </w:r>
    </w:p>
    <w:p>
      <w:pPr>
        <w:rPr>
          <w:noProof/>
        </w:rPr>
      </w:pPr>
      <w:r>
        <w:rPr>
          <w:noProof/>
        </w:rPr>
        <w:t xml:space="preserve">С предложения Регламент за паричните преводи от доставчиците на платежни услуги се изисква да изпращат по цялата платежна верига информация не само за платеца, но и за получателя, с оглед предотвратяване, разследване и установяване на изпиране на пари и финансиране на тероризма, като предложението се основава до голяма степен на новата Препоръка 16 относно електронните преводи, приета от Специалната група за </w:t>
      </w:r>
      <w:r>
        <w:rPr>
          <w:noProof/>
        </w:rPr>
        <w:lastRenderedPageBreak/>
        <w:t>финансови действия (FATF)</w:t>
      </w:r>
      <w:r>
        <w:rPr>
          <w:rStyle w:val="FootnoteReference"/>
          <w:noProof/>
        </w:rPr>
        <w:footnoteReference w:id="2"/>
      </w:r>
      <w:r>
        <w:rPr>
          <w:noProof/>
        </w:rPr>
        <w:t>. Той има за цел да гарантира, че този международен стандарт се транспонира по еднакъв начин в целия Съюз и по-специално, че няма дискриминация между националните плащания в рамките на една държава членка и презграничните плащания между държавите членки.</w:t>
      </w:r>
    </w:p>
    <w:p>
      <w:pPr>
        <w:rPr>
          <w:noProof/>
        </w:rPr>
      </w:pPr>
      <w:r>
        <w:rPr>
          <w:noProof/>
        </w:rPr>
        <w:t>Предложеният регламент ще даде възможност на националните органи да предприемат по-ефективни действия срещу изпирането на пари и финансирането на тероризма на всички равнища.</w:t>
      </w:r>
    </w:p>
    <w:p>
      <w:pPr>
        <w:rPr>
          <w:noProof/>
        </w:rPr>
      </w:pPr>
      <w:r>
        <w:rPr>
          <w:noProof/>
        </w:rPr>
        <w:t>Успоредно с това, Комисията предложи и преразглеждане на Директива 2005/60/ЕО от 26 октомври 2005 г. за предотвратяване използването на финансовата система за целите на изпирането на пари и финансирането на тероризъм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Коментари относно позицията на Съвета</w:t>
      </w:r>
    </w:p>
    <w:p>
      <w:pPr>
        <w:widowControl w:val="0"/>
        <w:rPr>
          <w:noProof/>
        </w:rPr>
      </w:pPr>
      <w:r>
        <w:rPr>
          <w:noProof/>
        </w:rPr>
        <w:t xml:space="preserve">Позицията на Съвета отразява политическото споразумение, постигнато между него и Европейския парламент на 16 декември 2014 г., и включва елементи, предложени от двете институции. Комисията подкрепя това споразумение. </w:t>
      </w:r>
    </w:p>
    <w:p>
      <w:pPr>
        <w:widowControl w:val="0"/>
        <w:rPr>
          <w:noProof/>
        </w:rPr>
      </w:pPr>
      <w:r>
        <w:rPr>
          <w:noProof/>
        </w:rPr>
        <w:t xml:space="preserve">Вследствие на предимно технически процес на равнището на работната група на Съвета окончателният компромисен текст сега включва редица технически изменения на първоначалното предложение на Комисията, които според Комисията подобряват текста и отчитат в по-висока степен съответната препоръка на FATF. </w:t>
      </w:r>
    </w:p>
    <w:p>
      <w:pPr>
        <w:widowControl w:val="0"/>
        <w:rPr>
          <w:noProof/>
        </w:rPr>
      </w:pPr>
      <w:r>
        <w:rPr>
          <w:noProof/>
        </w:rPr>
        <w:t>Парламентът също подкрепи като цяло извършената техническа работа.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Заключение</w:t>
      </w:r>
    </w:p>
    <w:p>
      <w:pPr>
        <w:rPr>
          <w:noProof/>
        </w:rPr>
      </w:pPr>
      <w:r>
        <w:rPr>
          <w:noProof/>
        </w:rPr>
        <w:t>Комисията подкрепя резултатите от междуинституционалните преговори и следователно може да приеме позицията на Съвета на първо четене.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345, 8.12.2006 г., стр. 1.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FATF е международният орган, създаден на срещата на върха на Г-7 в Париж през 1989 г., натоварен с изготвянето на международни стандарти в борбата с изпирането на пари и финансирането на тероризма.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COM(2013) 45 final.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3C83D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5CCD4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54889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34E0C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B78C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018D1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35826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0D4CA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4-24 14:41:2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2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CF99FBC9002F446E8BF315F31BC87866"/>
    <w:docVar w:name="LW_CROSSREFERENCE" w:val="&lt;UNUSED&gt;"/>
    <w:docVar w:name="LW_DocType" w:val="COM"/>
    <w:docVar w:name="LW_EMISSION" w:val="27.4.2015"/>
    <w:docVar w:name="LW_EMISSION_ISODATE" w:val="2015-04-27"/>
    <w:docVar w:name="LW_EMISSION_LOCATION" w:val="BRX"/>
    <w:docVar w:name="LW_EMISSION_PREFIX" w:val="\u1041?\u1088?\u1102?\u1082?\u1089?\u1077?\u1083?, "/>
    <w:docVar w:name="LW_EMISSION_SUFFIX" w:val=" \u1075?."/>
    <w:docVar w:name="LW_ID_DOCMODEL" w:val="SJ-028"/>
    <w:docVar w:name="LW_ID_DOCSTRUCTURE" w:val="COM/PL/CODEC"/>
    <w:docVar w:name="LW_ID_DOCTYPE" w:val="SJ-028"/>
    <w:docVar w:name="LW_INTERETEEE.CP" w:val="(\u1090?\u1077?\u1082?\u1089?\u1090? \u1086?\u1090? \u1079?\u1085?\u1072?\u1095?\u1077?\u1085?\u1080?\u1077? \u1079?\u1072? \u1045?\u1048?\u1055?)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024"/>
    <w:docVar w:name="LW_REF.II.NEW.CP_YEAR" w:val="2013"/>
    <w:docVar w:name="LW_REF.INST.NEW" w:val="COM"/>
    <w:docVar w:name="LW_REF.INST.NEW_ADOPTED" w:val="final"/>
    <w:docVar w:name="LW_REF.INST.NEW_TEXT" w:val="(2015) 187"/>
    <w:docVar w:name="LW_REF.INTERNE" w:val="&lt;UNUSED&gt;"/>
    <w:docVar w:name="LW_SOUS.TITRE.OBJ.CP" w:val="&lt;UNUSED&gt;"/>
    <w:docVar w:name="LW_SUPERTITRE" w:val="&lt;UNUSED&gt;"/>
    <w:docVar w:name="LW_TITRE.OBJ.CP" w:val="\u1087?\u1086?\u1079?\u1080?\u1094?\u1080?\u1103?\u1090?\u1072? \u1085?\u1072? \u1057?\u1098?\u1074?\u1077?\u1090?\u1072? \u1074?\u1098?\u1074? \u1074?\u1088?\u1098?\u1079?\u1082?\u1072? \u1089? \u1087?\u1088?\u1080?\u1077?\u1084?\u1072?\u1085?\u1077?\u1090?\u1086? \u1085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 \u1086?\u1090?\u1085?\u1086?\u1089?\u1085?\u1086? \u1080?\u1085?\u1092?\u1086?\u1088?\u1084?\u1072?\u1094?\u1080?\u1103?\u1090?\u1072?, \u1087?\u1088?\u1080?\u1076?\u1088?\u1091?\u1078?\u1072?\u1074?\u1072?\u1097?\u1072? \u1087?\u1072?\u1088?\u1080?\u1095?\u1085?\u1080?\u1090?\u1077? \u1087?\u1088?\u1077?\u1074?\u1086?\u1076?\u1080?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_x000b__x000b_\u1089?\u1098?\u1075?\u1083?\u1072?\u1089?\u1085?\u1086? \u1095?\u1083?\u1077?\u1085? 294, \u1087?\u1072?\u1088?\u1072?\u1075?\u1088?\u1072?\u1092? 6 \u1086?\u1090? \u1044?\u1086?\u1075?\u1086?\u1074?\u1086?\u1088?\u1072? \u1079?\u1072? \u1092?\u1091?\u1085?\u1082?\u1094?\u1080?\u1086?\u1085?\u1080?\u1088?\u1072?\u1085?\u1077?\u1090?\u1086? \u1085?\u1072? \u1045?\u1074?\u1088?\u1086?\u1087?\u1077?\u1081?\u1089?\u1082?\u1080?\u1103? \u1089?\u1098?\u1102?\u1079?_x000b__x000b_\u1086?\u1090?\u1085?\u1086?\u1089?\u1085?\u1086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FD5B-7C87-490B-8A11-C676ECB7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3</Pages>
  <Words>445</Words>
  <Characters>2689</Characters>
  <Application>Microsoft Office Word</Application>
  <DocSecurity>0</DocSecurity>
  <Lines>62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cp:lastPrinted>2015-04-17T11:26:00Z</cp:lastPrinted>
  <dcterms:created xsi:type="dcterms:W3CDTF">2015-04-23T17:37:00Z</dcterms:created>
  <dcterms:modified xsi:type="dcterms:W3CDTF">2015-04-24T12:41:00Z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COM/PL/CODEC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SJ-028</vt:lpwstr>
  </property>
  <property fmtid="{D5CDD505-2E9C-101B-9397-08002B2CF9AE}" pid="10" name="_NewReviewCycle">
    <vt:lpwstr/>
  </property>
  <property fmtid="{D5CDD505-2E9C-101B-9397-08002B2CF9AE}" pid="11" name="DQCStatus">
    <vt:lpwstr>Green (DQC version 02)</vt:lpwstr>
  </property>
</Properties>
</file>