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D64" w:rsidRDefault="00C33FDE">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6A4E2C8464494912A958DDE0A457E95B" style="width:450.75pt;height:307.5pt">
            <v:imagedata r:id="rId9" o:title=""/>
          </v:shape>
        </w:pict>
      </w:r>
    </w:p>
    <w:bookmarkEnd w:id="0"/>
    <w:p w:rsidR="00F86D64" w:rsidRDefault="00F86D64">
      <w:pPr>
        <w:pStyle w:val="Pagedecouverture"/>
        <w:rPr>
          <w:noProof/>
        </w:rPr>
        <w:sectPr w:rsidR="00F86D64">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F86D64" w:rsidRDefault="00C33FDE">
      <w:pPr>
        <w:pStyle w:val="Typedudocument"/>
        <w:rPr>
          <w:noProof/>
        </w:rPr>
      </w:pPr>
      <w:r>
        <w:rPr>
          <w:noProof/>
        </w:rPr>
        <w:lastRenderedPageBreak/>
        <w:t>COMMUNICATION CONJOINTE AU PARLEMENT EUROPÉEN ET AU CONSEIL</w:t>
      </w:r>
    </w:p>
    <w:p w:rsidR="00F86D64" w:rsidRDefault="00C33FDE">
      <w:pPr>
        <w:pStyle w:val="Titreobjet"/>
        <w:rPr>
          <w:noProof/>
        </w:rPr>
      </w:pPr>
      <w:r>
        <w:rPr>
          <w:noProof/>
        </w:rPr>
        <w:t xml:space="preserve">Renforcer les capacités pour favoriser la sécurité et le développement – </w:t>
      </w:r>
      <w:r>
        <w:rPr>
          <w:noProof/>
        </w:rPr>
        <w:br/>
        <w:t>Donner à nos partenaires les moyens de prévenir et de gérer les crises</w:t>
      </w:r>
    </w:p>
    <w:p w:rsidR="00F86D64" w:rsidRDefault="00F86D64">
      <w:pPr>
        <w:rPr>
          <w:noProof/>
        </w:rPr>
      </w:pPr>
    </w:p>
    <w:p w:rsidR="00F86D64" w:rsidRDefault="00F86D64">
      <w:pPr>
        <w:rPr>
          <w:noProof/>
        </w:rPr>
      </w:pPr>
    </w:p>
    <w:p w:rsidR="00F86D64" w:rsidRDefault="00C33FDE">
      <w:pPr>
        <w:pStyle w:val="Heading1"/>
        <w:numPr>
          <w:ilvl w:val="0"/>
          <w:numId w:val="3"/>
        </w:numPr>
        <w:spacing w:after="240"/>
        <w:jc w:val="both"/>
        <w:rPr>
          <w:rFonts w:ascii="Times New Roman" w:hAnsi="Times New Roman" w:cs="Times New Roman"/>
          <w:noProof/>
          <w:color w:val="auto"/>
          <w:sz w:val="24"/>
        </w:rPr>
      </w:pPr>
      <w:bookmarkStart w:id="2" w:name="_Toc417233529"/>
      <w:r>
        <w:rPr>
          <w:rFonts w:ascii="Times New Roman" w:hAnsi="Times New Roman"/>
          <w:noProof/>
          <w:color w:val="auto"/>
          <w:sz w:val="24"/>
        </w:rPr>
        <w:t>Introduction</w:t>
      </w:r>
      <w:bookmarkEnd w:id="2"/>
    </w:p>
    <w:p w:rsidR="00F86D64" w:rsidRDefault="00C33FDE">
      <w:pPr>
        <w:jc w:val="both"/>
        <w:rPr>
          <w:rFonts w:ascii="Times New Roman" w:hAnsi="Times New Roman" w:cs="Times New Roman"/>
          <w:noProof/>
        </w:rPr>
      </w:pPr>
      <w:r>
        <w:rPr>
          <w:rFonts w:ascii="Times New Roman" w:hAnsi="Times New Roman"/>
          <w:noProof/>
        </w:rPr>
        <w:t>Les événements survenant en Afrique, dans les pays voisins de l’Europe et au-delà montrent que l</w:t>
      </w:r>
      <w:r>
        <w:rPr>
          <w:rFonts w:ascii="Times New Roman" w:hAnsi="Times New Roman"/>
          <w:noProof/>
        </w:rPr>
        <w:t>a sécurité se détériore dans le monde et que la situation à cet égard est dramatique. Sur notre planète, plus de 1,5 milliard de personnes vivent dans des régions fragiles ou touchées par des conflits. Si les tendances actuelles suivent leur cours, ce nomb</w:t>
      </w:r>
      <w:r>
        <w:rPr>
          <w:rFonts w:ascii="Times New Roman" w:hAnsi="Times New Roman"/>
          <w:noProof/>
        </w:rPr>
        <w:t>re devrait passer à 2 milliards d’ici à 2030. Les pays en situation de fragilité n’ont pas atteint les objectifs du millénaire pour le développement (OMD), ce qui fait des conflits violents et de la mauvaise gouvernance des freins déterminants et persistan</w:t>
      </w:r>
      <w:r>
        <w:rPr>
          <w:rFonts w:ascii="Times New Roman" w:hAnsi="Times New Roman"/>
          <w:noProof/>
        </w:rPr>
        <w:t>ts au développement. La fragilité et la violence sont également alimentées par de nouvelles menaces telles que le terrorisme et la criminalité organisée</w:t>
      </w:r>
      <w:r>
        <w:rPr>
          <w:rFonts w:ascii="Times New Roman" w:hAnsi="Times New Roman"/>
          <w:noProof/>
          <w:vertAlign w:val="superscript"/>
        </w:rPr>
        <w:footnoteReference w:id="1"/>
      </w:r>
      <w:r>
        <w:rPr>
          <w:rFonts w:ascii="Times New Roman" w:hAnsi="Times New Roman"/>
          <w:noProof/>
        </w:rPr>
        <w:t>.</w:t>
      </w:r>
    </w:p>
    <w:p w:rsidR="00F86D64" w:rsidRDefault="00C33FDE">
      <w:pPr>
        <w:jc w:val="both"/>
        <w:rPr>
          <w:rFonts w:ascii="Times New Roman" w:hAnsi="Times New Roman" w:cs="Times New Roman"/>
          <w:noProof/>
        </w:rPr>
      </w:pPr>
      <w:r>
        <w:rPr>
          <w:rFonts w:ascii="Times New Roman" w:hAnsi="Times New Roman"/>
          <w:noProof/>
        </w:rPr>
        <w:t>Pour rétablir la confiance et faire en sorte que les institutions de nos pays partenaires soient en m</w:t>
      </w:r>
      <w:r>
        <w:rPr>
          <w:rFonts w:ascii="Times New Roman" w:hAnsi="Times New Roman"/>
          <w:noProof/>
        </w:rPr>
        <w:t>esure de relever les défis auxquelles elles sont confrontées, il est essentiel de mener une action extérieure coordonnée, en recourant aux divers outils dont l’Union européenne (UE) dispose sur les plans de la diplomatie, de la sécurité, du développement e</w:t>
      </w:r>
      <w:r>
        <w:rPr>
          <w:rFonts w:ascii="Times New Roman" w:hAnsi="Times New Roman"/>
          <w:noProof/>
        </w:rPr>
        <w:t>t de l’aide humanitaire. Les instruments d’action extérieure de l’UE ont des rôles différents et complémentaires. Le lien entre la sécurité et le développement est un principe clé qui sous-tend l’approche globale de l’UE à l’égard des crises et conflits ex</w:t>
      </w:r>
      <w:r>
        <w:rPr>
          <w:rFonts w:ascii="Times New Roman" w:hAnsi="Times New Roman"/>
          <w:noProof/>
        </w:rPr>
        <w:t>térieurs</w:t>
      </w:r>
      <w:r>
        <w:rPr>
          <w:rFonts w:ascii="Times New Roman" w:hAnsi="Times New Roman"/>
          <w:noProof/>
          <w:vertAlign w:val="superscript"/>
        </w:rPr>
        <w:footnoteReference w:id="2"/>
      </w:r>
      <w:r>
        <w:rPr>
          <w:rFonts w:ascii="Times New Roman" w:hAnsi="Times New Roman"/>
          <w:noProof/>
        </w:rPr>
        <w:t xml:space="preserve"> et complète les politiques en matière de sécurité intérieure, de sécurité maritime et autre. Toutefois, cette approche globale doit être renforcée afin de combler les lacunes que présente actuellement la réaction de l’UE face à ces situations. Da</w:t>
      </w:r>
      <w:r>
        <w:rPr>
          <w:rFonts w:ascii="Times New Roman" w:hAnsi="Times New Roman"/>
          <w:noProof/>
        </w:rPr>
        <w:t>ns certains cas, par exemple, une formation est dispensée par les membres des missions relevant de la politique de sécurité et de défense commune (PSDC), mais le manque d’équipements de base dans le pays partenaire nuit à la durabilité et à l’efficacité de</w:t>
      </w:r>
      <w:r>
        <w:rPr>
          <w:rFonts w:ascii="Times New Roman" w:hAnsi="Times New Roman"/>
          <w:noProof/>
        </w:rPr>
        <w:t xml:space="preserve"> celle-ci.</w:t>
      </w:r>
    </w:p>
    <w:p w:rsidR="00F86D64" w:rsidRDefault="00C33FDE">
      <w:pPr>
        <w:jc w:val="both"/>
        <w:rPr>
          <w:rFonts w:ascii="Times New Roman" w:hAnsi="Times New Roman" w:cs="Times New Roman"/>
          <w:noProof/>
        </w:rPr>
      </w:pPr>
      <w:r>
        <w:rPr>
          <w:rFonts w:ascii="Times New Roman" w:hAnsi="Times New Roman"/>
          <w:noProof/>
        </w:rPr>
        <w:t>En outre, il est important de souligner dans ce contexte qu’il existe plusieurs cadres politiques importants touchant à la fois à la sécurité et au développement, dont certains sont en cours de révision. Il s’agit, par exemple, de la politique e</w:t>
      </w:r>
      <w:r>
        <w:rPr>
          <w:rFonts w:ascii="Times New Roman" w:hAnsi="Times New Roman"/>
          <w:noProof/>
        </w:rPr>
        <w:t>uropéenne de voisinage</w:t>
      </w:r>
      <w:r>
        <w:rPr>
          <w:rStyle w:val="FootnoteReference"/>
          <w:rFonts w:ascii="Times New Roman" w:hAnsi="Times New Roman"/>
          <w:noProof/>
        </w:rPr>
        <w:footnoteReference w:id="3"/>
      </w:r>
      <w:r>
        <w:rPr>
          <w:rFonts w:ascii="Times New Roman" w:hAnsi="Times New Roman"/>
          <w:noProof/>
        </w:rPr>
        <w:t>, du cadre de développement pour l’après-2015, du réexamen stratégique de la politique étrangère, mais aussi de la stratégie en matière de sécurité maritime et du programme européen pour la sécurité.</w:t>
      </w:r>
    </w:p>
    <w:p w:rsidR="00F86D64" w:rsidRDefault="00C33FDE">
      <w:pPr>
        <w:jc w:val="both"/>
        <w:rPr>
          <w:rFonts w:ascii="Times New Roman" w:hAnsi="Times New Roman" w:cs="Times New Roman"/>
          <w:noProof/>
        </w:rPr>
      </w:pPr>
      <w:r>
        <w:rPr>
          <w:rFonts w:ascii="Times New Roman" w:hAnsi="Times New Roman"/>
          <w:noProof/>
        </w:rPr>
        <w:lastRenderedPageBreak/>
        <w:t>Sur la base des conclusions du Co</w:t>
      </w:r>
      <w:r>
        <w:rPr>
          <w:rFonts w:ascii="Times New Roman" w:hAnsi="Times New Roman"/>
          <w:noProof/>
        </w:rPr>
        <w:t>nseil européen de décembre 2013</w:t>
      </w:r>
      <w:r>
        <w:rPr>
          <w:rStyle w:val="FootnoteReference"/>
          <w:rFonts w:ascii="Times New Roman" w:hAnsi="Times New Roman"/>
          <w:noProof/>
        </w:rPr>
        <w:footnoteReference w:id="4"/>
      </w:r>
      <w:r>
        <w:rPr>
          <w:rFonts w:ascii="Times New Roman" w:hAnsi="Times New Roman"/>
          <w:noProof/>
        </w:rPr>
        <w:t xml:space="preserve"> et de la déclaration du sommet UE-Union africaine (UA) d’avril 2014</w:t>
      </w:r>
      <w:r>
        <w:rPr>
          <w:rStyle w:val="FootnoteReference"/>
          <w:rFonts w:ascii="Times New Roman" w:hAnsi="Times New Roman"/>
          <w:noProof/>
        </w:rPr>
        <w:footnoteReference w:id="5"/>
      </w:r>
      <w:r>
        <w:rPr>
          <w:rFonts w:ascii="Times New Roman" w:hAnsi="Times New Roman"/>
          <w:noProof/>
        </w:rPr>
        <w:t>, la présente communication conjointe recense les lacunes et propose des mesures pour y remédier. Bien qu’elle traite de la question des équipements destin</w:t>
      </w:r>
      <w:r>
        <w:rPr>
          <w:rFonts w:ascii="Times New Roman" w:hAnsi="Times New Roman"/>
          <w:noProof/>
        </w:rPr>
        <w:t>és à soutenir le renforcement des capacités des pays partenaires en matière de sécurité, elle ne porte pas sur la fourniture d’armes létales. L’UE n’entend pas fournir ce type d’équipements.</w:t>
      </w:r>
    </w:p>
    <w:p w:rsidR="00F86D64" w:rsidRDefault="00C33FDE">
      <w:pPr>
        <w:pStyle w:val="Heading1"/>
        <w:numPr>
          <w:ilvl w:val="0"/>
          <w:numId w:val="3"/>
        </w:numPr>
        <w:spacing w:after="240"/>
        <w:jc w:val="both"/>
        <w:rPr>
          <w:rFonts w:ascii="Times New Roman" w:hAnsi="Times New Roman" w:cs="Times New Roman"/>
          <w:noProof/>
          <w:color w:val="auto"/>
          <w:sz w:val="24"/>
        </w:rPr>
      </w:pPr>
      <w:bookmarkStart w:id="3" w:name="_Toc417233530"/>
      <w:r>
        <w:rPr>
          <w:rFonts w:ascii="Times New Roman" w:hAnsi="Times New Roman"/>
          <w:noProof/>
          <w:color w:val="auto"/>
          <w:sz w:val="24"/>
        </w:rPr>
        <w:t>Le lien entre la sécurité et le développement dans les politiques</w:t>
      </w:r>
      <w:r>
        <w:rPr>
          <w:rFonts w:ascii="Times New Roman" w:hAnsi="Times New Roman"/>
          <w:noProof/>
          <w:color w:val="auto"/>
          <w:sz w:val="24"/>
        </w:rPr>
        <w:t xml:space="preserve"> de l’UE</w:t>
      </w:r>
    </w:p>
    <w:p w:rsidR="00F86D64" w:rsidRDefault="00C33FDE">
      <w:pPr>
        <w:jc w:val="both"/>
        <w:rPr>
          <w:rFonts w:ascii="Times New Roman" w:hAnsi="Times New Roman" w:cs="Times New Roman"/>
          <w:noProof/>
        </w:rPr>
      </w:pPr>
      <w:r>
        <w:rPr>
          <w:rFonts w:ascii="Times New Roman" w:hAnsi="Times New Roman"/>
          <w:noProof/>
        </w:rPr>
        <w:t xml:space="preserve">Comme indiqué dans les traités, </w:t>
      </w:r>
      <w:bookmarkEnd w:id="3"/>
      <w:r>
        <w:rPr>
          <w:rFonts w:ascii="Times New Roman" w:hAnsi="Times New Roman"/>
          <w:noProof/>
        </w:rPr>
        <w:t>les objectifs de l’action extérieure de l’UE sont, entre autres, «de préserver la paix, de prévenir les conflits et de renforcer la sécurité internationale [...]», ainsi que «de soutenir le développement durable sur</w:t>
      </w:r>
      <w:r>
        <w:rPr>
          <w:rFonts w:ascii="Times New Roman" w:hAnsi="Times New Roman"/>
          <w:noProof/>
        </w:rPr>
        <w:t xml:space="preserve"> le plan économique, social et environnemental des pays en développement dans le but essentiel d’éradiquer la pauvreté»</w:t>
      </w:r>
      <w:r>
        <w:rPr>
          <w:rFonts w:ascii="Times New Roman" w:hAnsi="Times New Roman"/>
          <w:noProof/>
          <w:vertAlign w:val="superscript"/>
        </w:rPr>
        <w:footnoteReference w:id="6"/>
      </w:r>
      <w:r>
        <w:rPr>
          <w:rFonts w:ascii="Times New Roman" w:hAnsi="Times New Roman"/>
          <w:noProof/>
        </w:rPr>
        <w:t>. Les traités imposent également une obligation de cohérence entre les différents domaines d’action relevant de ces objectifs</w:t>
      </w:r>
      <w:r>
        <w:rPr>
          <w:rFonts w:ascii="Times New Roman" w:hAnsi="Times New Roman"/>
          <w:noProof/>
          <w:vertAlign w:val="superscript"/>
        </w:rPr>
        <w:footnoteReference w:id="7"/>
      </w:r>
      <w:r>
        <w:rPr>
          <w:rFonts w:ascii="Times New Roman" w:hAnsi="Times New Roman"/>
          <w:noProof/>
        </w:rPr>
        <w:t>.</w:t>
      </w:r>
    </w:p>
    <w:p w:rsidR="00F86D64" w:rsidRDefault="00C33FDE">
      <w:pPr>
        <w:jc w:val="both"/>
        <w:rPr>
          <w:rFonts w:ascii="Times New Roman" w:hAnsi="Times New Roman" w:cs="Times New Roman"/>
          <w:noProof/>
        </w:rPr>
      </w:pPr>
      <w:r>
        <w:rPr>
          <w:rFonts w:ascii="Times New Roman" w:hAnsi="Times New Roman"/>
          <w:noProof/>
        </w:rPr>
        <w:t>L’object</w:t>
      </w:r>
      <w:r>
        <w:rPr>
          <w:rFonts w:ascii="Times New Roman" w:hAnsi="Times New Roman"/>
          <w:noProof/>
        </w:rPr>
        <w:t>if premier de la politique de développement de l’UE est la réduction et, à long terme, l’éradication de la pauvreté</w:t>
      </w:r>
      <w:r>
        <w:rPr>
          <w:rStyle w:val="FootnoteReference"/>
          <w:rFonts w:ascii="Times New Roman" w:hAnsi="Times New Roman"/>
          <w:noProof/>
        </w:rPr>
        <w:footnoteReference w:id="8"/>
      </w:r>
      <w:r>
        <w:rPr>
          <w:rFonts w:ascii="Times New Roman" w:hAnsi="Times New Roman"/>
          <w:noProof/>
        </w:rPr>
        <w:t xml:space="preserve">, mais cette politique s’attache aussi au développement durable, aux inégalités, aux injustices sociales et aux violations des droits de </w:t>
      </w:r>
      <w:r>
        <w:rPr>
          <w:rFonts w:ascii="Times New Roman" w:hAnsi="Times New Roman"/>
          <w:noProof/>
        </w:rPr>
        <w:t>l’homme. Il s’agit là d’éléments essentiels pour s’attaquer aux causes profondes de l’insécurité et des conflits. Dans le même temps, les objectifs de la coopération au développement doivent être pris en compte dans d’autres politiques de l’UE qui sont sus</w:t>
      </w:r>
      <w:r>
        <w:rPr>
          <w:rFonts w:ascii="Times New Roman" w:hAnsi="Times New Roman"/>
          <w:noProof/>
        </w:rPr>
        <w:t>ceptibles d’avoir des incidences sur les pays en développement. En ce sens, la communication de la Commission de 2011 intitulée «Accroître l’impact de la politique de développement de l’UE: un programme pour le changement»</w:t>
      </w:r>
      <w:r>
        <w:rPr>
          <w:rFonts w:ascii="Times New Roman" w:hAnsi="Times New Roman"/>
          <w:noProof/>
          <w:vertAlign w:val="superscript"/>
        </w:rPr>
        <w:footnoteReference w:id="9"/>
      </w:r>
      <w:r>
        <w:rPr>
          <w:rFonts w:ascii="Times New Roman" w:hAnsi="Times New Roman"/>
          <w:noProof/>
        </w:rPr>
        <w:t xml:space="preserve"> et les conclusions du Conseil de</w:t>
      </w:r>
      <w:r>
        <w:rPr>
          <w:rFonts w:ascii="Times New Roman" w:hAnsi="Times New Roman"/>
          <w:noProof/>
        </w:rPr>
        <w:t xml:space="preserve"> 2012 sur le même sujet</w:t>
      </w:r>
      <w:r>
        <w:rPr>
          <w:rFonts w:ascii="Times New Roman" w:hAnsi="Times New Roman"/>
          <w:noProof/>
          <w:vertAlign w:val="superscript"/>
        </w:rPr>
        <w:footnoteReference w:id="10"/>
      </w:r>
      <w:r>
        <w:rPr>
          <w:rFonts w:ascii="Times New Roman" w:hAnsi="Times New Roman"/>
          <w:noProof/>
        </w:rPr>
        <w:t xml:space="preserve"> ont rappelé la nécessité d’accorder une priorité élevée aux mesures destinées à relever les défis de la sécurité, de la fragilité et de la transition.</w:t>
      </w:r>
    </w:p>
    <w:p w:rsidR="00F86D64" w:rsidRDefault="00C33FDE">
      <w:pPr>
        <w:jc w:val="both"/>
        <w:rPr>
          <w:rFonts w:ascii="Times New Roman" w:hAnsi="Times New Roman" w:cs="Times New Roman"/>
          <w:noProof/>
        </w:rPr>
      </w:pPr>
      <w:r>
        <w:rPr>
          <w:rFonts w:ascii="Times New Roman" w:hAnsi="Times New Roman"/>
          <w:noProof/>
        </w:rPr>
        <w:t>L’UE est également chargée de définir et de mettre en œuvre la politique étrangè</w:t>
      </w:r>
      <w:r>
        <w:rPr>
          <w:rFonts w:ascii="Times New Roman" w:hAnsi="Times New Roman"/>
          <w:noProof/>
        </w:rPr>
        <w:t xml:space="preserve">re et de sécurité commune (PESC), ce qui comprend l’élaboration progressive d’une politique de défense commune. La PSDC, qui fait partie intégrante de la PESC, assure à l’UE des capacités de mise en œuvre opérationnelle. L’UE peut avoir recours aux moyens </w:t>
      </w:r>
      <w:r>
        <w:rPr>
          <w:rFonts w:ascii="Times New Roman" w:hAnsi="Times New Roman"/>
          <w:noProof/>
        </w:rPr>
        <w:t>de la PSDC dans le cadre de missions en dehors de son territoire visant le maintien de la paix, la prévention des conflits ou le renforcement de la sécurité internationale conformément aux principes de la charte des Nations unies</w:t>
      </w:r>
      <w:r>
        <w:rPr>
          <w:rFonts w:ascii="Times New Roman" w:hAnsi="Times New Roman"/>
          <w:noProof/>
          <w:vertAlign w:val="superscript"/>
        </w:rPr>
        <w:footnoteReference w:id="11"/>
      </w:r>
      <w:r>
        <w:rPr>
          <w:rFonts w:ascii="Times New Roman" w:hAnsi="Times New Roman"/>
          <w:noProof/>
        </w:rPr>
        <w:t xml:space="preserve"> et, dans ce cadre, exécut</w:t>
      </w:r>
      <w:r>
        <w:rPr>
          <w:rFonts w:ascii="Times New Roman" w:hAnsi="Times New Roman"/>
          <w:noProof/>
        </w:rPr>
        <w:t>er toute une série de tâches</w:t>
      </w:r>
      <w:r>
        <w:rPr>
          <w:rFonts w:ascii="Times New Roman" w:hAnsi="Times New Roman"/>
          <w:noProof/>
          <w:vertAlign w:val="superscript"/>
        </w:rPr>
        <w:footnoteReference w:id="12"/>
      </w:r>
      <w:r>
        <w:rPr>
          <w:rFonts w:ascii="Times New Roman" w:hAnsi="Times New Roman"/>
          <w:noProof/>
        </w:rPr>
        <w:t>.</w:t>
      </w:r>
    </w:p>
    <w:p w:rsidR="00F86D64" w:rsidRDefault="00C33FDE">
      <w:pPr>
        <w:jc w:val="both"/>
        <w:rPr>
          <w:rFonts w:ascii="Times New Roman" w:hAnsi="Times New Roman" w:cs="Times New Roman"/>
          <w:noProof/>
        </w:rPr>
      </w:pPr>
      <w:r>
        <w:rPr>
          <w:rFonts w:ascii="Times New Roman" w:hAnsi="Times New Roman"/>
          <w:noProof/>
        </w:rPr>
        <w:t>La nécessité de mener des interventions se renforçant mutuellement dans les domaines de la sécurité et du développement est claire. L’UE ne cesse de souligner que «la sécurité est une condition nécessaire du développement»</w:t>
      </w:r>
      <w:r>
        <w:rPr>
          <w:rFonts w:ascii="Times New Roman" w:hAnsi="Times New Roman"/>
          <w:noProof/>
          <w:vertAlign w:val="superscript"/>
        </w:rPr>
        <w:footnoteReference w:id="13"/>
      </w:r>
      <w:r>
        <w:rPr>
          <w:rFonts w:ascii="Times New Roman" w:hAnsi="Times New Roman"/>
          <w:noProof/>
        </w:rPr>
        <w:t xml:space="preserve"> e</w:t>
      </w:r>
      <w:r>
        <w:rPr>
          <w:rFonts w:ascii="Times New Roman" w:hAnsi="Times New Roman"/>
          <w:noProof/>
        </w:rPr>
        <w:t xml:space="preserve">t qu'«il n’y aura pas de paix durable sans développement et sans éradication de </w:t>
      </w:r>
      <w:r>
        <w:rPr>
          <w:rFonts w:ascii="Times New Roman" w:hAnsi="Times New Roman"/>
          <w:noProof/>
        </w:rPr>
        <w:lastRenderedPageBreak/>
        <w:t>la pauvreté»</w:t>
      </w:r>
      <w:r>
        <w:rPr>
          <w:rFonts w:ascii="Times New Roman" w:hAnsi="Times New Roman"/>
          <w:noProof/>
          <w:vertAlign w:val="superscript"/>
        </w:rPr>
        <w:footnoteReference w:id="14"/>
      </w:r>
      <w:r>
        <w:rPr>
          <w:rFonts w:ascii="Times New Roman" w:hAnsi="Times New Roman"/>
          <w:noProof/>
        </w:rPr>
        <w:t>. La mise en place et le maintien de conditions politiques, sociales et économiques propices à la stabilité sont essentiels pour la sécurité d’un pays et indispens</w:t>
      </w:r>
      <w:r>
        <w:rPr>
          <w:rFonts w:ascii="Times New Roman" w:hAnsi="Times New Roman"/>
          <w:noProof/>
        </w:rPr>
        <w:t>ables à son développement. Ce lien entre sécurité et développement est primordial pour maximiser l’efficacité de l’action extérieure de l’UE.</w:t>
      </w:r>
    </w:p>
    <w:p w:rsidR="00F86D64" w:rsidRDefault="00C33FDE">
      <w:pPr>
        <w:jc w:val="both"/>
        <w:rPr>
          <w:rFonts w:ascii="Times New Roman" w:hAnsi="Times New Roman" w:cs="Times New Roman"/>
          <w:noProof/>
        </w:rPr>
      </w:pPr>
      <w:r>
        <w:rPr>
          <w:rFonts w:ascii="Times New Roman" w:hAnsi="Times New Roman"/>
          <w:noProof/>
        </w:rPr>
        <w:t>Pour être en mesure d’assurer sa sécurité et son développement, tout pays doit avoir ou acquérir des capacités adé</w:t>
      </w:r>
      <w:r>
        <w:rPr>
          <w:rFonts w:ascii="Times New Roman" w:hAnsi="Times New Roman"/>
          <w:noProof/>
        </w:rPr>
        <w:t>quates dans tous les secteurs clés, y compris la sécurité et la défense. Il pourra ainsi non seulement se stabiliser, mais aussi contribuer de manière constructive à la paix, à la stabilité et à la prévention des crises dans sa région.</w:t>
      </w:r>
    </w:p>
    <w:p w:rsidR="00F86D64" w:rsidRDefault="00C33FDE">
      <w:pPr>
        <w:pStyle w:val="Heading2"/>
        <w:spacing w:after="120"/>
        <w:jc w:val="both"/>
        <w:rPr>
          <w:rFonts w:ascii="Times New Roman" w:hAnsi="Times New Roman" w:cs="Times New Roman"/>
          <w:noProof/>
          <w:color w:val="auto"/>
          <w:sz w:val="24"/>
        </w:rPr>
      </w:pPr>
      <w:bookmarkStart w:id="4" w:name="_Toc417233532"/>
      <w:r>
        <w:rPr>
          <w:rFonts w:ascii="Times New Roman" w:hAnsi="Times New Roman"/>
          <w:noProof/>
          <w:color w:val="auto"/>
          <w:sz w:val="24"/>
        </w:rPr>
        <w:t>2.1</w:t>
      </w:r>
      <w:r>
        <w:rPr>
          <w:noProof/>
        </w:rPr>
        <w:tab/>
      </w:r>
      <w:bookmarkStart w:id="5" w:name="_Toc417233535"/>
      <w:bookmarkEnd w:id="4"/>
      <w:r>
        <w:rPr>
          <w:rFonts w:ascii="Times New Roman" w:hAnsi="Times New Roman"/>
          <w:noProof/>
          <w:color w:val="auto"/>
          <w:sz w:val="24"/>
        </w:rPr>
        <w:t>Les efforts dépl</w:t>
      </w:r>
      <w:r>
        <w:rPr>
          <w:rFonts w:ascii="Times New Roman" w:hAnsi="Times New Roman"/>
          <w:noProof/>
          <w:color w:val="auto"/>
          <w:sz w:val="24"/>
        </w:rPr>
        <w:t>oyés actuellement pour renforcer les capacités</w:t>
      </w:r>
      <w:bookmarkEnd w:id="5"/>
    </w:p>
    <w:p w:rsidR="00F86D64" w:rsidRDefault="00C33FDE">
      <w:pPr>
        <w:jc w:val="both"/>
        <w:rPr>
          <w:rFonts w:ascii="Times New Roman" w:hAnsi="Times New Roman" w:cs="Times New Roman"/>
          <w:noProof/>
        </w:rPr>
      </w:pPr>
      <w:r>
        <w:rPr>
          <w:rFonts w:ascii="Times New Roman" w:hAnsi="Times New Roman"/>
          <w:noProof/>
        </w:rPr>
        <w:t>Les efforts déployés actuellement dans les pays partenaires pour renforcer leurs capacités en matière de sécurité relèvent de plusieurs domaines d’action. Ils font appel à différents instruments et sont centré</w:t>
      </w:r>
      <w:r>
        <w:rPr>
          <w:rFonts w:ascii="Times New Roman" w:hAnsi="Times New Roman"/>
          <w:noProof/>
        </w:rPr>
        <w:t>s sur l’édification d’institutions efficaces, légitimes et durables, et notamment l’efficacité dans les secteurs de la justice et de la sécurité, ainsi que des contrôles aux frontières et de la surveillance maritime. Les activités de renforcement des capac</w:t>
      </w:r>
      <w:r>
        <w:rPr>
          <w:rFonts w:ascii="Times New Roman" w:hAnsi="Times New Roman"/>
          <w:noProof/>
        </w:rPr>
        <w:t>ités englobent, entre autres, l’accès aux instruments internationaux, le dialogue politique, la coopération technique (y compris des travaux conjoints de recherche et d’innovation), la formation (le transfert de connaissances</w:t>
      </w:r>
      <w:r>
        <w:rPr>
          <w:rFonts w:ascii="Times New Roman" w:hAnsi="Times New Roman"/>
          <w:noProof/>
          <w:vertAlign w:val="superscript"/>
        </w:rPr>
        <w:footnoteReference w:id="15"/>
      </w:r>
      <w:r>
        <w:rPr>
          <w:rFonts w:ascii="Times New Roman" w:hAnsi="Times New Roman"/>
          <w:noProof/>
        </w:rPr>
        <w:t xml:space="preserve"> et le développement des compé</w:t>
      </w:r>
      <w:r>
        <w:rPr>
          <w:rFonts w:ascii="Times New Roman" w:hAnsi="Times New Roman"/>
          <w:noProof/>
        </w:rPr>
        <w:t>tences</w:t>
      </w:r>
      <w:r>
        <w:rPr>
          <w:rStyle w:val="FootnoteReference"/>
          <w:rFonts w:ascii="Times New Roman" w:hAnsi="Times New Roman"/>
          <w:noProof/>
        </w:rPr>
        <w:footnoteReference w:id="16"/>
      </w:r>
      <w:r>
        <w:rPr>
          <w:rFonts w:ascii="Times New Roman" w:hAnsi="Times New Roman"/>
          <w:noProof/>
        </w:rPr>
        <w:t>) et la fourniture d’équipements et de matériel essentiels. La formation dans le secteur de la sécurité vise à améliorer la capacité du partenaire à assurer la stabilité et la protection des citoyens. Il peut s’agir d’une formation préalable à l’ent</w:t>
      </w:r>
      <w:r>
        <w:rPr>
          <w:rFonts w:ascii="Times New Roman" w:hAnsi="Times New Roman"/>
          <w:noProof/>
        </w:rPr>
        <w:t>rée en service, mais la formation peut également être intégrée dans les phases opérationnelles sous la forme d’activités d’encadrement ou de formation/soutien en cours d’emploi. Les équipements mis à la disposition des partenaires peuvent aller de matériel</w:t>
      </w:r>
      <w:r>
        <w:rPr>
          <w:rFonts w:ascii="Times New Roman" w:hAnsi="Times New Roman"/>
          <w:noProof/>
        </w:rPr>
        <w:t xml:space="preserve"> de communication à des équipements destinés à la protection des forces en passant par des équipements de survie et des infrastructures de terrain ainsi que des installations médicales, de transport et autres.</w:t>
      </w:r>
    </w:p>
    <w:p w:rsidR="00F86D64" w:rsidRDefault="00C33FDE">
      <w:pPr>
        <w:jc w:val="both"/>
        <w:rPr>
          <w:rFonts w:ascii="Times New Roman" w:hAnsi="Times New Roman" w:cs="Times New Roman"/>
          <w:noProof/>
        </w:rPr>
      </w:pPr>
      <w:r>
        <w:rPr>
          <w:rFonts w:ascii="Times New Roman" w:hAnsi="Times New Roman"/>
          <w:noProof/>
        </w:rPr>
        <w:t>L’attachement de l’UE au couple sécurité-dével</w:t>
      </w:r>
      <w:r>
        <w:rPr>
          <w:rFonts w:ascii="Times New Roman" w:hAnsi="Times New Roman"/>
          <w:noProof/>
        </w:rPr>
        <w:t>oppement a grandi progressivement au fil des ans, ce qui s’est traduit pas des interventions faisant appel à différentes politiques et à divers instruments de l’UE.</w:t>
      </w:r>
    </w:p>
    <w:p w:rsidR="00F86D64" w:rsidRDefault="00C33FDE">
      <w:pPr>
        <w:jc w:val="both"/>
        <w:rPr>
          <w:rFonts w:ascii="Times New Roman" w:hAnsi="Times New Roman" w:cs="Times New Roman"/>
          <w:noProof/>
        </w:rPr>
      </w:pPr>
      <w:r>
        <w:rPr>
          <w:rFonts w:ascii="Times New Roman" w:hAnsi="Times New Roman"/>
          <w:noProof/>
        </w:rPr>
        <w:t>Le mandat de plusieurs des 34 missions et opérations menées à ce jour dans le cadre de la P</w:t>
      </w:r>
      <w:r>
        <w:rPr>
          <w:rFonts w:ascii="Times New Roman" w:hAnsi="Times New Roman"/>
          <w:noProof/>
        </w:rPr>
        <w:t>SDC comprenait le renforcement des capacités des acteurs de la paix et de la sécurité dans les pays partenaires. Par exemple, le renforcement des capacités est au cœur du mandat de trois missions de la PSDC lancées par l’UE en 2014. La mission de conseil d</w:t>
      </w:r>
      <w:r>
        <w:rPr>
          <w:rFonts w:ascii="Times New Roman" w:hAnsi="Times New Roman"/>
          <w:noProof/>
        </w:rPr>
        <w:t xml:space="preserve">e l’UE sur la réforme du secteur de la sécurité civile en Ukraine (EUAM Ukraine) apporte un appui stratégique, des conseils et un encadrement. La mission de conseil militaire de l’UE en République centrafricaine (EUMAM RCA) aide les autorités de ce pays à </w:t>
      </w:r>
      <w:r>
        <w:rPr>
          <w:rFonts w:ascii="Times New Roman" w:hAnsi="Times New Roman"/>
          <w:noProof/>
        </w:rPr>
        <w:t xml:space="preserve">préparer la réforme du secteur de la sécurité qui s’annonce. À cet effet, une assistance est fournie à l’armée nationale afin qu’elle renforce ses capacités, se conforme à des normes plus élevées et se rapproche de l’objectif consistant à devenir un corps </w:t>
      </w:r>
      <w:r>
        <w:rPr>
          <w:rFonts w:ascii="Times New Roman" w:hAnsi="Times New Roman"/>
          <w:noProof/>
        </w:rPr>
        <w:t>moderne, efficace et responsable. La mission PSDC civile de l’UE au Mali (EUCAP Sahel Mali) soutient la restructuration des forces de sécurité intérieure maliennes (c’est-à-dire la police, la gendarmerie et la garde nationale). L’objectif est d’aider les a</w:t>
      </w:r>
      <w:r>
        <w:rPr>
          <w:rFonts w:ascii="Times New Roman" w:hAnsi="Times New Roman"/>
          <w:noProof/>
        </w:rPr>
        <w:t>utorités maliennes à garantir l’ordre constitutionnel et démocratique et les conditions d’une paix durable. La mission combine des actions de formation et des conseils stratégiques.</w:t>
      </w:r>
    </w:p>
    <w:p w:rsidR="00F86D64" w:rsidRDefault="00C33FDE">
      <w:pPr>
        <w:jc w:val="both"/>
        <w:rPr>
          <w:rFonts w:ascii="Times New Roman" w:hAnsi="Times New Roman" w:cs="Times New Roman"/>
          <w:noProof/>
        </w:rPr>
      </w:pPr>
      <w:r>
        <w:rPr>
          <w:rFonts w:ascii="Times New Roman" w:hAnsi="Times New Roman"/>
          <w:noProof/>
        </w:rPr>
        <w:t>Ces dix dernières années, l’UE a considérablement augmenté les fonds affec</w:t>
      </w:r>
      <w:r>
        <w:rPr>
          <w:rFonts w:ascii="Times New Roman" w:hAnsi="Times New Roman"/>
          <w:noProof/>
        </w:rPr>
        <w:t>tés et les efforts déployés dans le cadre de la coopération au développement pour soutenir les secteurs de la justice et de la sécurité dans les pays partenaires, en recourant à un large éventail d’instruments aux quatre coins du monde.</w:t>
      </w:r>
    </w:p>
    <w:p w:rsidR="00F86D64" w:rsidRDefault="00C33FDE">
      <w:pPr>
        <w:jc w:val="both"/>
        <w:rPr>
          <w:rFonts w:ascii="Times New Roman" w:hAnsi="Times New Roman" w:cs="Times New Roman"/>
          <w:noProof/>
        </w:rPr>
      </w:pPr>
      <w:r>
        <w:rPr>
          <w:rFonts w:ascii="Times New Roman" w:hAnsi="Times New Roman"/>
          <w:noProof/>
        </w:rPr>
        <w:t>Les mesures actuell</w:t>
      </w:r>
      <w:r>
        <w:rPr>
          <w:rFonts w:ascii="Times New Roman" w:hAnsi="Times New Roman"/>
          <w:noProof/>
        </w:rPr>
        <w:t>es en faveur de la paix et de la sécurité sont financées par le budget de l’UE, par l’intermédiaire, entre autres, de l’instrument contribuant à la stabilité et à la paix</w:t>
      </w:r>
      <w:r>
        <w:rPr>
          <w:rStyle w:val="FootnoteReference"/>
          <w:rFonts w:ascii="Times New Roman" w:hAnsi="Times New Roman"/>
          <w:noProof/>
        </w:rPr>
        <w:footnoteReference w:id="17"/>
      </w:r>
      <w:r>
        <w:rPr>
          <w:rFonts w:ascii="Times New Roman" w:hAnsi="Times New Roman"/>
          <w:noProof/>
        </w:rPr>
        <w:t xml:space="preserve"> et de son prédécesseur, l’instrument de stabilité</w:t>
      </w:r>
      <w:r>
        <w:rPr>
          <w:rStyle w:val="FootnoteReference"/>
          <w:rFonts w:ascii="Times New Roman" w:hAnsi="Times New Roman"/>
          <w:noProof/>
        </w:rPr>
        <w:footnoteReference w:id="18"/>
      </w:r>
      <w:r>
        <w:rPr>
          <w:rFonts w:ascii="Times New Roman" w:hAnsi="Times New Roman"/>
          <w:noProof/>
        </w:rPr>
        <w:t>. Par exemple, l’instrument contri</w:t>
      </w:r>
      <w:r>
        <w:rPr>
          <w:rFonts w:ascii="Times New Roman" w:hAnsi="Times New Roman"/>
          <w:noProof/>
        </w:rPr>
        <w:t>buant à la stabilité et à la paix fournit, dans le cadre d’un projet plus vaste de renforcement des capacités, des équipements à la police du Cameroun pour l’aider à lutter contre le groupe Boko Haram (étant donné que ce dernier est un facteur de déstabili</w:t>
      </w:r>
      <w:r>
        <w:rPr>
          <w:rFonts w:ascii="Times New Roman" w:hAnsi="Times New Roman"/>
          <w:noProof/>
        </w:rPr>
        <w:t>sation en Afrique de l’Ouest et que, en tant que tel, il compromet le développement et la stabilité de l’UE et des pays partenaires).</w:t>
      </w:r>
    </w:p>
    <w:p w:rsidR="00F86D64" w:rsidRDefault="00C33FDE">
      <w:pPr>
        <w:jc w:val="both"/>
        <w:rPr>
          <w:rFonts w:ascii="Times New Roman" w:hAnsi="Times New Roman" w:cs="Times New Roman"/>
          <w:noProof/>
        </w:rPr>
      </w:pPr>
      <w:r>
        <w:rPr>
          <w:rFonts w:ascii="Times New Roman" w:hAnsi="Times New Roman"/>
          <w:noProof/>
        </w:rPr>
        <w:t>Dans le cadre plus large de l’approche de l’UE à l’égard de la région du Sahel, un vaste projet financé par l’instrument d</w:t>
      </w:r>
      <w:r>
        <w:rPr>
          <w:rFonts w:ascii="Times New Roman" w:hAnsi="Times New Roman"/>
          <w:noProof/>
        </w:rPr>
        <w:t>e stabilité a permis de fournir des équipements de base et un soutien (sous la forme de formation et d’encadrement) en vue de développer les capacités des forces de police au Niger et de les mettre en mesure de fonctionner de manière autonome. Ce projet s’</w:t>
      </w:r>
      <w:r>
        <w:rPr>
          <w:rFonts w:ascii="Times New Roman" w:hAnsi="Times New Roman"/>
          <w:noProof/>
        </w:rPr>
        <w:t>inscrit dans un large programme de soutien qui porte notamment sur la promotion des initiatives de paix et de réconciliation, le déminage et la réinsertion socio-économique.</w:t>
      </w:r>
    </w:p>
    <w:p w:rsidR="00F86D64" w:rsidRDefault="00C33FDE">
      <w:pPr>
        <w:jc w:val="both"/>
        <w:rPr>
          <w:rFonts w:ascii="Times New Roman" w:hAnsi="Times New Roman" w:cs="Times New Roman"/>
          <w:noProof/>
        </w:rPr>
      </w:pPr>
      <w:r>
        <w:rPr>
          <w:rFonts w:ascii="Times New Roman" w:hAnsi="Times New Roman"/>
          <w:noProof/>
        </w:rPr>
        <w:t>Dans le cadre du Fonds européen de développement</w:t>
      </w:r>
      <w:r>
        <w:rPr>
          <w:rFonts w:ascii="Times New Roman" w:hAnsi="Times New Roman"/>
          <w:noProof/>
          <w:vertAlign w:val="superscript"/>
        </w:rPr>
        <w:footnoteReference w:id="19"/>
      </w:r>
      <w:r>
        <w:rPr>
          <w:rFonts w:ascii="Times New Roman" w:hAnsi="Times New Roman"/>
          <w:noProof/>
        </w:rPr>
        <w:t xml:space="preserve"> (FED), la facilité de soutien à </w:t>
      </w:r>
      <w:r>
        <w:rPr>
          <w:rFonts w:ascii="Times New Roman" w:hAnsi="Times New Roman"/>
          <w:noProof/>
        </w:rPr>
        <w:t>la paix pour l’Afrique</w:t>
      </w:r>
      <w:r>
        <w:rPr>
          <w:rFonts w:ascii="Times New Roman" w:hAnsi="Times New Roman"/>
          <w:noProof/>
          <w:vertAlign w:val="superscript"/>
        </w:rPr>
        <w:footnoteReference w:id="20"/>
      </w:r>
      <w:r>
        <w:rPr>
          <w:rFonts w:ascii="Times New Roman" w:hAnsi="Times New Roman"/>
          <w:noProof/>
        </w:rPr>
        <w:t xml:space="preserve"> apporte un appui à l’Union africaine et aux communautés économiques régionales aux fins de la prévention et, le cas échéant, de la gestion des crises. Les fonds dégagés à ce titre servent entre autres à financer les coûts opérationn</w:t>
      </w:r>
      <w:r>
        <w:rPr>
          <w:rFonts w:ascii="Times New Roman" w:hAnsi="Times New Roman"/>
          <w:noProof/>
        </w:rPr>
        <w:t>els des opérations de maintien de la paix africaines (à l’exclusion des salaires), la formation et les exercices, les systèmes de commandement, de contrôle et de communication ou des missions d’information. Depuis la création de la facilité en 2003, plus d</w:t>
      </w:r>
      <w:r>
        <w:rPr>
          <w:rFonts w:ascii="Times New Roman" w:hAnsi="Times New Roman"/>
          <w:noProof/>
        </w:rPr>
        <w:t>e 1 200 000 000 EUR ont été consacrés aux efforts africains de consolidation de la paix par son intermédiaire.</w:t>
      </w:r>
    </w:p>
    <w:p w:rsidR="00F86D64" w:rsidRDefault="00C33FDE">
      <w:pPr>
        <w:jc w:val="both"/>
        <w:rPr>
          <w:rFonts w:ascii="Times New Roman" w:hAnsi="Times New Roman" w:cs="Times New Roman"/>
          <w:noProof/>
        </w:rPr>
      </w:pPr>
      <w:r>
        <w:rPr>
          <w:rFonts w:ascii="Times New Roman" w:hAnsi="Times New Roman"/>
          <w:noProof/>
        </w:rPr>
        <w:t>Parmi les exemples récents d’opérations de soutien de la paix menées par l’Afrique et bénéficiant d’un appui financier européen figure la mission</w:t>
      </w:r>
      <w:r>
        <w:rPr>
          <w:rFonts w:ascii="Times New Roman" w:hAnsi="Times New Roman"/>
          <w:noProof/>
        </w:rPr>
        <w:t xml:space="preserve"> de l’Union africaine en Somalie</w:t>
      </w:r>
      <w:r>
        <w:rPr>
          <w:rStyle w:val="FootnoteReference"/>
          <w:rFonts w:ascii="Times New Roman" w:hAnsi="Times New Roman"/>
          <w:noProof/>
        </w:rPr>
        <w:footnoteReference w:id="21"/>
      </w:r>
      <w:r>
        <w:rPr>
          <w:rFonts w:ascii="Times New Roman" w:hAnsi="Times New Roman"/>
          <w:noProof/>
        </w:rPr>
        <w:t xml:space="preserve"> (AMISOM). Depuis 2007, quelque 800 000 000 EUR ont été affectés à cette mission, qui joue un rôle déterminant dans la mise en place de conditions de sécurité minimales pour le processus politique en Somalie et la fournitur</w:t>
      </w:r>
      <w:r>
        <w:rPr>
          <w:rFonts w:ascii="Times New Roman" w:hAnsi="Times New Roman"/>
          <w:noProof/>
        </w:rPr>
        <w:t>e d’une aide humanitaire par les acteurs concernés, et qui contribue également à la création de conditions favorables à la reconstruction, à la réconciliation et au développement durable dans le pays.</w:t>
      </w:r>
    </w:p>
    <w:p w:rsidR="00F86D64" w:rsidRDefault="00C33FDE">
      <w:pPr>
        <w:jc w:val="both"/>
        <w:rPr>
          <w:rFonts w:ascii="Times New Roman" w:hAnsi="Times New Roman" w:cs="Times New Roman"/>
          <w:noProof/>
        </w:rPr>
      </w:pPr>
      <w:r>
        <w:rPr>
          <w:rFonts w:ascii="Times New Roman" w:hAnsi="Times New Roman"/>
          <w:noProof/>
        </w:rPr>
        <w:t>Enfin, l’aide financière de l’UE à l’architecture afric</w:t>
      </w:r>
      <w:r>
        <w:rPr>
          <w:rFonts w:ascii="Times New Roman" w:hAnsi="Times New Roman"/>
          <w:noProof/>
        </w:rPr>
        <w:t>aine de paix et de sécurité (AAPS) vise à renforcer les capacités et le bon fonctionnement de l’AAPS et à améliorer la coopération pour prévenir et, au besoin, gérer et régler les conflits en Afrique</w:t>
      </w:r>
      <w:r>
        <w:rPr>
          <w:rStyle w:val="FootnoteReference"/>
          <w:rFonts w:ascii="Times New Roman" w:hAnsi="Times New Roman"/>
          <w:noProof/>
        </w:rPr>
        <w:footnoteReference w:id="22"/>
      </w:r>
      <w:r>
        <w:rPr>
          <w:rFonts w:ascii="Times New Roman" w:hAnsi="Times New Roman"/>
          <w:noProof/>
        </w:rPr>
        <w:t>.</w:t>
      </w:r>
    </w:p>
    <w:p w:rsidR="00F86D64" w:rsidRDefault="00C33FDE">
      <w:pPr>
        <w:jc w:val="both"/>
        <w:rPr>
          <w:rFonts w:ascii="Times New Roman" w:hAnsi="Times New Roman" w:cs="Times New Roman"/>
          <w:noProof/>
        </w:rPr>
      </w:pPr>
      <w:r>
        <w:rPr>
          <w:rFonts w:ascii="Times New Roman" w:hAnsi="Times New Roman"/>
          <w:noProof/>
        </w:rPr>
        <w:t>Ces exemples montrent que le renforcement des capacité</w:t>
      </w:r>
      <w:r>
        <w:rPr>
          <w:rFonts w:ascii="Times New Roman" w:hAnsi="Times New Roman"/>
          <w:noProof/>
        </w:rPr>
        <w:t>s dans le secteur de la sécurité peut être axé sur les forces civiles et/ou de police, mais également sur l’armée. Les fonctions liées à la sécurité peuvent s’inscrire dans des structures organisationnelles différentes selon les pays. Par exemple, les fonc</w:t>
      </w:r>
      <w:r>
        <w:rPr>
          <w:rFonts w:ascii="Times New Roman" w:hAnsi="Times New Roman"/>
          <w:noProof/>
        </w:rPr>
        <w:t>tions de protection civile, de contrôle des frontières et de surveillance maritime peuvent être militaires, civiles ou hybrides.</w:t>
      </w:r>
    </w:p>
    <w:p w:rsidR="00F86D64" w:rsidRDefault="00C33FDE">
      <w:pPr>
        <w:pStyle w:val="Heading2"/>
        <w:spacing w:after="120"/>
        <w:rPr>
          <w:b w:val="0"/>
          <w:bCs w:val="0"/>
          <w:noProof/>
          <w:color w:val="auto"/>
        </w:rPr>
      </w:pPr>
      <w:bookmarkStart w:id="6" w:name="_Toc417233536"/>
      <w:r>
        <w:rPr>
          <w:rFonts w:ascii="Times New Roman" w:hAnsi="Times New Roman"/>
          <w:noProof/>
          <w:color w:val="auto"/>
          <w:sz w:val="24"/>
        </w:rPr>
        <w:t>2.2</w:t>
      </w:r>
      <w:r>
        <w:rPr>
          <w:noProof/>
        </w:rPr>
        <w:tab/>
      </w:r>
      <w:r>
        <w:rPr>
          <w:rFonts w:ascii="Times New Roman" w:hAnsi="Times New Roman"/>
          <w:noProof/>
          <w:color w:val="auto"/>
          <w:sz w:val="24"/>
        </w:rPr>
        <w:t>Les difficultés à surmonter en vue d’une mise en œuvre efficace sur le terrain</w:t>
      </w:r>
      <w:bookmarkEnd w:id="6"/>
      <w:r>
        <w:rPr>
          <w:rFonts w:ascii="Times New Roman" w:hAnsi="Times New Roman"/>
          <w:noProof/>
          <w:color w:val="auto"/>
          <w:sz w:val="24"/>
        </w:rPr>
        <w:t>: cas pilotes</w:t>
      </w:r>
    </w:p>
    <w:p w:rsidR="00F86D64" w:rsidRDefault="00C33FDE">
      <w:pPr>
        <w:jc w:val="both"/>
        <w:rPr>
          <w:rFonts w:ascii="Times New Roman" w:hAnsi="Times New Roman" w:cs="Times New Roman"/>
          <w:noProof/>
        </w:rPr>
      </w:pPr>
      <w:r>
        <w:rPr>
          <w:rFonts w:ascii="Times New Roman" w:hAnsi="Times New Roman"/>
          <w:noProof/>
        </w:rPr>
        <w:t xml:space="preserve">En ce qui concerne l’aide de </w:t>
      </w:r>
      <w:r>
        <w:rPr>
          <w:rFonts w:ascii="Times New Roman" w:hAnsi="Times New Roman"/>
          <w:noProof/>
        </w:rPr>
        <w:t xml:space="preserve">l’UE au renforcement des capacités de l’armée, des cas pilotes ont été choisis, au Mali et en Somalie, afin d’examiner les difficultés qui se présentent actuellement. Les premières constatations laissent entrevoir des besoins de formation et d’équipements </w:t>
      </w:r>
      <w:r>
        <w:rPr>
          <w:rFonts w:ascii="Times New Roman" w:hAnsi="Times New Roman"/>
          <w:noProof/>
        </w:rPr>
        <w:t>ainsi que la nécessité d’améliorer la coordination, au niveau tant opérationnel que stratégique</w:t>
      </w:r>
      <w:r>
        <w:rPr>
          <w:rStyle w:val="FootnoteReference"/>
          <w:rFonts w:ascii="Times New Roman" w:hAnsi="Times New Roman"/>
          <w:noProof/>
        </w:rPr>
        <w:footnoteReference w:id="23"/>
      </w:r>
      <w:r>
        <w:rPr>
          <w:rFonts w:ascii="Times New Roman" w:hAnsi="Times New Roman"/>
          <w:noProof/>
        </w:rPr>
        <w:t>.</w:t>
      </w:r>
    </w:p>
    <w:p w:rsidR="00F86D64" w:rsidRDefault="00C33FDE">
      <w:pPr>
        <w:pStyle w:val="Heading3"/>
        <w:spacing w:after="120"/>
        <w:jc w:val="both"/>
        <w:rPr>
          <w:rFonts w:ascii="Times New Roman" w:hAnsi="Times New Roman" w:cs="Times New Roman"/>
          <w:b w:val="0"/>
          <w:noProof/>
          <w:color w:val="auto"/>
        </w:rPr>
      </w:pPr>
      <w:r>
        <w:rPr>
          <w:rFonts w:ascii="Times New Roman" w:hAnsi="Times New Roman"/>
          <w:noProof/>
          <w:color w:val="auto"/>
        </w:rPr>
        <w:t>Le cas pilote du Mali</w:t>
      </w:r>
    </w:p>
    <w:p w:rsidR="00F86D64" w:rsidRDefault="00C33FDE">
      <w:pPr>
        <w:jc w:val="both"/>
        <w:rPr>
          <w:rFonts w:ascii="Times New Roman" w:hAnsi="Times New Roman" w:cs="Times New Roman"/>
          <w:noProof/>
        </w:rPr>
      </w:pPr>
      <w:r>
        <w:rPr>
          <w:rFonts w:ascii="Times New Roman" w:hAnsi="Times New Roman"/>
          <w:noProof/>
        </w:rPr>
        <w:t>L’objectif de la mission de formation de l’UE au Mali</w:t>
      </w:r>
      <w:r>
        <w:rPr>
          <w:rStyle w:val="FootnoteReference"/>
          <w:rFonts w:ascii="Times New Roman" w:hAnsi="Times New Roman"/>
          <w:noProof/>
        </w:rPr>
        <w:footnoteReference w:id="24"/>
      </w:r>
      <w:r>
        <w:rPr>
          <w:rFonts w:ascii="Times New Roman" w:hAnsi="Times New Roman"/>
          <w:noProof/>
        </w:rPr>
        <w:t xml:space="preserve"> (EUTM Mali), financée par des contributions des États membres et le mécanisme Ath</w:t>
      </w:r>
      <w:r>
        <w:rPr>
          <w:rFonts w:ascii="Times New Roman" w:hAnsi="Times New Roman"/>
          <w:noProof/>
        </w:rPr>
        <w:t>ena</w:t>
      </w:r>
      <w:r>
        <w:rPr>
          <w:rStyle w:val="FootnoteReference"/>
          <w:rFonts w:ascii="Times New Roman" w:hAnsi="Times New Roman"/>
          <w:noProof/>
        </w:rPr>
        <w:footnoteReference w:id="25"/>
      </w:r>
      <w:r>
        <w:rPr>
          <w:rFonts w:ascii="Times New Roman" w:hAnsi="Times New Roman"/>
          <w:noProof/>
        </w:rPr>
        <w:t>, consiste à former les soldats maliens pour leur permettre de constituer une armée nationale efficace et démocratiquement responsable, capable de contribuer à stabiliser le pays. Les conseils en matière militaire et en ce qui concerne la formation son</w:t>
      </w:r>
      <w:r>
        <w:rPr>
          <w:rFonts w:ascii="Times New Roman" w:hAnsi="Times New Roman"/>
          <w:noProof/>
        </w:rPr>
        <w:t>t ciblés sur la formation opérationnelle, le commandement et le contrôle, les chaînes logistiques et les ressources humaines. Une formation est également dispensée sur le droit humanitaire international, la protection des civils et les droits de l’homme. L</w:t>
      </w:r>
      <w:r>
        <w:rPr>
          <w:rFonts w:ascii="Times New Roman" w:hAnsi="Times New Roman"/>
          <w:noProof/>
        </w:rPr>
        <w:t>’aide au renforcement des capacités est apportée aux forces armées maliennes qui opèrent sous le contrôle des autorités civiles légitimes dans le sud. Une fois formés, les bataillons sont déployés dans le nord du pays pendant au moins six mois.</w:t>
      </w:r>
    </w:p>
    <w:p w:rsidR="00F86D64" w:rsidRDefault="00C33FDE">
      <w:pPr>
        <w:jc w:val="both"/>
        <w:rPr>
          <w:rFonts w:ascii="Times New Roman" w:hAnsi="Times New Roman" w:cs="Times New Roman"/>
          <w:noProof/>
        </w:rPr>
      </w:pPr>
      <w:r>
        <w:rPr>
          <w:rFonts w:ascii="Times New Roman" w:hAnsi="Times New Roman"/>
          <w:noProof/>
        </w:rPr>
        <w:t xml:space="preserve">Toutefois, </w:t>
      </w:r>
      <w:r>
        <w:rPr>
          <w:rFonts w:ascii="Times New Roman" w:hAnsi="Times New Roman"/>
          <w:noProof/>
        </w:rPr>
        <w:t>les unités formées manquent de matériel de communication, ce qui entrave le commandement et le contrôle. Les soldats ne disposent pas d’équipements de protection contre les mines et les engins explosifs. De plus, des ambulances, des réservoirs d’eau et des</w:t>
      </w:r>
      <w:r>
        <w:rPr>
          <w:rFonts w:ascii="Times New Roman" w:hAnsi="Times New Roman"/>
          <w:noProof/>
        </w:rPr>
        <w:t xml:space="preserve"> camions de ravitaillement en carburant sont nécessaires pour garantir leur autonomie et leur capacité à opérer de manière indépendante. Des biens de première nécessité (hébergement, alimentation, assistance médicale, etc.) font également défaut. Il convie</w:t>
      </w:r>
      <w:r>
        <w:rPr>
          <w:rFonts w:ascii="Times New Roman" w:hAnsi="Times New Roman"/>
          <w:noProof/>
        </w:rPr>
        <w:t>nt d’aider les bataillons formés à se doter de ces équipements et à s’assurer cet appui afin qu’ils n’aient pas à compter sur le soutien de la population locale.</w:t>
      </w:r>
    </w:p>
    <w:p w:rsidR="00F86D64" w:rsidRDefault="00C33FDE">
      <w:pPr>
        <w:jc w:val="both"/>
        <w:rPr>
          <w:rFonts w:ascii="Times New Roman" w:hAnsi="Times New Roman" w:cs="Times New Roman"/>
          <w:noProof/>
        </w:rPr>
      </w:pPr>
      <w:r>
        <w:rPr>
          <w:rFonts w:ascii="Times New Roman" w:hAnsi="Times New Roman"/>
          <w:noProof/>
        </w:rPr>
        <w:t xml:space="preserve">Dans certains cas, des solutions ponctuelles ont été trouvées, comme la mise à disposition de </w:t>
      </w:r>
      <w:r>
        <w:rPr>
          <w:rFonts w:ascii="Times New Roman" w:hAnsi="Times New Roman"/>
          <w:noProof/>
        </w:rPr>
        <w:t>véhicules par d’autres donateurs au Mali, mais ce n’est pas systématique et il ne s’agit pas d’une solution viable à long terme. En l’absence d’un tel financement ad hoc, aucune autre source de financement n’a pu être trouvée pour combler les lacunes.</w:t>
      </w:r>
    </w:p>
    <w:p w:rsidR="00F86D64" w:rsidRDefault="00C33FDE">
      <w:pPr>
        <w:pStyle w:val="Heading3"/>
        <w:spacing w:after="120"/>
        <w:jc w:val="both"/>
        <w:rPr>
          <w:rFonts w:ascii="Times New Roman" w:hAnsi="Times New Roman" w:cs="Times New Roman"/>
          <w:b w:val="0"/>
          <w:noProof/>
          <w:color w:val="auto"/>
        </w:rPr>
      </w:pPr>
      <w:r>
        <w:rPr>
          <w:rFonts w:ascii="Times New Roman" w:hAnsi="Times New Roman"/>
          <w:noProof/>
          <w:color w:val="auto"/>
        </w:rPr>
        <w:t>Le c</w:t>
      </w:r>
      <w:r>
        <w:rPr>
          <w:rFonts w:ascii="Times New Roman" w:hAnsi="Times New Roman"/>
          <w:noProof/>
          <w:color w:val="auto"/>
        </w:rPr>
        <w:t>as pilote de la Somalie</w:t>
      </w:r>
    </w:p>
    <w:p w:rsidR="00F86D64" w:rsidRDefault="00C33FDE">
      <w:pPr>
        <w:jc w:val="both"/>
        <w:rPr>
          <w:rFonts w:ascii="Times New Roman" w:hAnsi="Times New Roman" w:cs="Times New Roman"/>
          <w:noProof/>
        </w:rPr>
      </w:pPr>
      <w:r>
        <w:rPr>
          <w:rFonts w:ascii="Times New Roman" w:hAnsi="Times New Roman"/>
          <w:noProof/>
        </w:rPr>
        <w:t>En Somalie, l’action de l’UE passe par divers instruments. Par l’intermédiaire de la facilité de soutien à la paix pour l’Afrique, l’UE est le principal contributeur financier à la mission AMISOM, une opération dirigée par l’Union a</w:t>
      </w:r>
      <w:r>
        <w:rPr>
          <w:rFonts w:ascii="Times New Roman" w:hAnsi="Times New Roman"/>
          <w:noProof/>
        </w:rPr>
        <w:t>fricaine. En outre, l’UE mène trois missions PSDC en Somalie et dans l’ensemble de la région, axées sur la formation militaire, la lutte contre la piraterie et le renforcement des capacités maritimes.</w:t>
      </w:r>
    </w:p>
    <w:p w:rsidR="00F86D64" w:rsidRDefault="00C33FDE">
      <w:pPr>
        <w:jc w:val="both"/>
        <w:rPr>
          <w:rFonts w:ascii="Times New Roman" w:hAnsi="Times New Roman" w:cs="Times New Roman"/>
          <w:noProof/>
        </w:rPr>
      </w:pPr>
      <w:r>
        <w:rPr>
          <w:rFonts w:ascii="Times New Roman" w:hAnsi="Times New Roman"/>
          <w:noProof/>
        </w:rPr>
        <w:t xml:space="preserve">La mission PSDC EUTM Somalia, ciblée sur la formation </w:t>
      </w:r>
      <w:r>
        <w:rPr>
          <w:rFonts w:ascii="Times New Roman" w:hAnsi="Times New Roman"/>
          <w:noProof/>
        </w:rPr>
        <w:t>militaire en Somalie, a été lancée en avril 2010 pour soutenir et développer le secteur de la sécurité, en renforçant les forces armées du pays par la fourniture d’une formation militaire ciblée</w:t>
      </w:r>
      <w:r>
        <w:rPr>
          <w:rFonts w:ascii="Times New Roman" w:hAnsi="Times New Roman"/>
          <w:noProof/>
          <w:vertAlign w:val="superscript"/>
        </w:rPr>
        <w:footnoteReference w:id="26"/>
      </w:r>
      <w:r>
        <w:rPr>
          <w:rFonts w:ascii="Times New Roman" w:hAnsi="Times New Roman"/>
          <w:noProof/>
        </w:rPr>
        <w:t>. En 2014, les activités de conseil, d’encadrement et de form</w:t>
      </w:r>
      <w:r>
        <w:rPr>
          <w:rFonts w:ascii="Times New Roman" w:hAnsi="Times New Roman"/>
          <w:noProof/>
        </w:rPr>
        <w:t xml:space="preserve">ation de la mission EUTM ont été transférées à Mogadiscio, où la formation se déroule dans le camp d’entraînement de Jazeera, géré par la mission AMISOM. </w:t>
      </w:r>
    </w:p>
    <w:p w:rsidR="00F86D64" w:rsidRDefault="00C33FDE">
      <w:pPr>
        <w:jc w:val="both"/>
        <w:rPr>
          <w:rFonts w:ascii="Times New Roman" w:hAnsi="Times New Roman" w:cs="Times New Roman"/>
          <w:noProof/>
        </w:rPr>
      </w:pPr>
      <w:r>
        <w:rPr>
          <w:rFonts w:ascii="Times New Roman" w:hAnsi="Times New Roman"/>
          <w:noProof/>
        </w:rPr>
        <w:t>Les conditions de vie et les infrastructures de formation ont longtemps été inadéquates dans le camp.</w:t>
      </w:r>
      <w:r>
        <w:rPr>
          <w:rFonts w:ascii="Times New Roman" w:hAnsi="Times New Roman"/>
          <w:noProof/>
        </w:rPr>
        <w:t xml:space="preserve"> Leur amélioration, y compris les travaux de construction, a pris beaucoup de temps, tandis qu’un soutien de base (eau, nourriture, lits, matelas et couvertures) faisait défaut. Ces insuffisances ont eu une incidence négative sur l’efficacité de la formati</w:t>
      </w:r>
      <w:r>
        <w:rPr>
          <w:rFonts w:ascii="Times New Roman" w:hAnsi="Times New Roman"/>
          <w:noProof/>
        </w:rPr>
        <w:t>on et un coût pour l’UE en termes d’image.</w:t>
      </w:r>
    </w:p>
    <w:p w:rsidR="00F86D64" w:rsidRDefault="00C33FDE">
      <w:pPr>
        <w:jc w:val="both"/>
        <w:rPr>
          <w:rFonts w:ascii="Times New Roman" w:hAnsi="Times New Roman" w:cs="Times New Roman"/>
          <w:noProof/>
        </w:rPr>
      </w:pPr>
      <w:r>
        <w:rPr>
          <w:rFonts w:ascii="Times New Roman" w:hAnsi="Times New Roman"/>
          <w:noProof/>
        </w:rPr>
        <w:t>En tant qu’opération PSDC militaire, la mission EUTM est financée et dotée en personnel par les États membres contributeurs, auxquels vient s’ajouter le mécanisme Athena pour ce qui est des coûts communs</w:t>
      </w:r>
      <w:r>
        <w:rPr>
          <w:rStyle w:val="FootnoteReference"/>
          <w:rFonts w:ascii="Times New Roman" w:hAnsi="Times New Roman"/>
          <w:noProof/>
        </w:rPr>
        <w:footnoteReference w:id="27"/>
      </w:r>
      <w:r>
        <w:rPr>
          <w:rFonts w:ascii="Times New Roman" w:hAnsi="Times New Roman"/>
          <w:noProof/>
        </w:rPr>
        <w:t>. Le camp</w:t>
      </w:r>
      <w:r>
        <w:rPr>
          <w:rFonts w:ascii="Times New Roman" w:hAnsi="Times New Roman"/>
          <w:noProof/>
        </w:rPr>
        <w:t xml:space="preserve"> d’entraînement de Jazeera est considéré comme une infrastructure de la mission AMISOM destinée à la formation des forces de sécurité somaliennes en conformité avec le mandat de ladite mission. En effet, la facilité de soutien à la paix pour l’Afrique a un</w:t>
      </w:r>
      <w:r>
        <w:rPr>
          <w:rFonts w:ascii="Times New Roman" w:hAnsi="Times New Roman"/>
          <w:noProof/>
        </w:rPr>
        <w:t>e dimension exclusivement régionale et ne permet pas d’apporter un soutien au niveau national. Il est supposé que, si les fonds avaient été mis à disposition directement, une plus grande priorité aurait été accordée à la qualité du camp d’entraînement et l</w:t>
      </w:r>
      <w:r>
        <w:rPr>
          <w:rFonts w:ascii="Times New Roman" w:hAnsi="Times New Roman"/>
          <w:noProof/>
        </w:rPr>
        <w:t>es progrès auraient été plus rapides.</w:t>
      </w:r>
    </w:p>
    <w:p w:rsidR="00F86D64" w:rsidRDefault="00C33FDE">
      <w:pPr>
        <w:jc w:val="both"/>
        <w:rPr>
          <w:rFonts w:ascii="Times New Roman" w:hAnsi="Times New Roman" w:cs="Times New Roman"/>
          <w:noProof/>
        </w:rPr>
      </w:pPr>
      <w:r>
        <w:rPr>
          <w:rFonts w:ascii="Times New Roman" w:hAnsi="Times New Roman"/>
          <w:noProof/>
        </w:rPr>
        <w:t>Ces cas pilotes ne mettent en évidence que certaines des difficultés qu’il faudra surmonter: le manque de fonds disponibles, les limites imposées au financement au titre de la facilité de soutien à la paix pour l’Afriq</w:t>
      </w:r>
      <w:r>
        <w:rPr>
          <w:rFonts w:ascii="Times New Roman" w:hAnsi="Times New Roman"/>
          <w:noProof/>
        </w:rPr>
        <w:t>ue, en particulier, et les problèmes pratiques découlant du recours à une multitude d’instruments différents dans le même contexte.</w:t>
      </w:r>
    </w:p>
    <w:p w:rsidR="00F86D64" w:rsidRDefault="00C33FDE">
      <w:pPr>
        <w:pStyle w:val="Heading1"/>
        <w:numPr>
          <w:ilvl w:val="0"/>
          <w:numId w:val="3"/>
        </w:numPr>
        <w:spacing w:after="240"/>
        <w:jc w:val="both"/>
        <w:rPr>
          <w:rFonts w:ascii="Times New Roman" w:hAnsi="Times New Roman" w:cs="Times New Roman"/>
          <w:noProof/>
          <w:color w:val="auto"/>
          <w:sz w:val="24"/>
        </w:rPr>
      </w:pPr>
      <w:bookmarkStart w:id="7" w:name="_Toc417233537"/>
      <w:r>
        <w:rPr>
          <w:rFonts w:ascii="Times New Roman" w:hAnsi="Times New Roman"/>
          <w:noProof/>
          <w:color w:val="auto"/>
          <w:sz w:val="24"/>
        </w:rPr>
        <w:t xml:space="preserve">Améliorer le renforcement des capacités </w:t>
      </w:r>
      <w:bookmarkEnd w:id="7"/>
      <w:r>
        <w:rPr>
          <w:rFonts w:ascii="Times New Roman" w:hAnsi="Times New Roman"/>
          <w:noProof/>
          <w:color w:val="auto"/>
          <w:sz w:val="24"/>
        </w:rPr>
        <w:t>en vue de promouvoir la sécurité et le développement</w:t>
      </w:r>
    </w:p>
    <w:p w:rsidR="00F86D64" w:rsidRDefault="00C33FDE">
      <w:pPr>
        <w:pStyle w:val="Heading2"/>
        <w:spacing w:after="120"/>
        <w:jc w:val="both"/>
        <w:rPr>
          <w:rFonts w:ascii="Times New Roman" w:hAnsi="Times New Roman" w:cs="Times New Roman"/>
          <w:noProof/>
          <w:color w:val="auto"/>
          <w:sz w:val="24"/>
        </w:rPr>
      </w:pPr>
      <w:r>
        <w:rPr>
          <w:rFonts w:ascii="Times New Roman" w:hAnsi="Times New Roman"/>
          <w:noProof/>
          <w:color w:val="auto"/>
          <w:sz w:val="24"/>
        </w:rPr>
        <w:t>3.1</w:t>
      </w:r>
      <w:r>
        <w:rPr>
          <w:noProof/>
        </w:rPr>
        <w:tab/>
      </w:r>
      <w:r>
        <w:rPr>
          <w:rFonts w:ascii="Times New Roman" w:hAnsi="Times New Roman"/>
          <w:noProof/>
          <w:color w:val="auto"/>
          <w:sz w:val="24"/>
        </w:rPr>
        <w:t>Le cadre</w:t>
      </w:r>
    </w:p>
    <w:p w:rsidR="00F86D64" w:rsidRDefault="00C33FDE">
      <w:pPr>
        <w:jc w:val="both"/>
        <w:rPr>
          <w:rFonts w:ascii="Times New Roman" w:hAnsi="Times New Roman" w:cs="Times New Roman"/>
          <w:noProof/>
        </w:rPr>
      </w:pPr>
      <w:r>
        <w:rPr>
          <w:rFonts w:ascii="Times New Roman" w:hAnsi="Times New Roman"/>
          <w:noProof/>
        </w:rPr>
        <w:t>Du point de vue du</w:t>
      </w:r>
      <w:r>
        <w:rPr>
          <w:rFonts w:ascii="Times New Roman" w:hAnsi="Times New Roman"/>
          <w:noProof/>
        </w:rPr>
        <w:t xml:space="preserve"> droit primaire, deux principes fondamentaux sont à prendre en considération. </w:t>
      </w:r>
    </w:p>
    <w:p w:rsidR="00F86D64" w:rsidRDefault="00C33FDE">
      <w:pPr>
        <w:jc w:val="both"/>
        <w:rPr>
          <w:rFonts w:ascii="Times New Roman" w:hAnsi="Times New Roman" w:cs="Times New Roman"/>
          <w:noProof/>
        </w:rPr>
      </w:pPr>
      <w:r>
        <w:rPr>
          <w:rFonts w:ascii="Times New Roman" w:hAnsi="Times New Roman"/>
          <w:noProof/>
        </w:rPr>
        <w:t>Une même action ne peut être financée à la fois par une mesure relevant de la PESC et un instrument fondé sur les articles 209 et 212 TFUE. Cela signifie, par exemple, que le re</w:t>
      </w:r>
      <w:r>
        <w:rPr>
          <w:rFonts w:ascii="Times New Roman" w:hAnsi="Times New Roman"/>
          <w:noProof/>
        </w:rPr>
        <w:t>nforcement des capacités en matière de sécurité au titre d'un nouvel instrument éventuel peut se faire dans le cadre de la politique de coopération au développement de l’UE, à condition que l'objectif et le contenu de l'instrument entrent dans le champ d’a</w:t>
      </w:r>
      <w:r>
        <w:rPr>
          <w:rFonts w:ascii="Times New Roman" w:hAnsi="Times New Roman"/>
          <w:noProof/>
        </w:rPr>
        <w:t>pplication de la politique de développement.</w:t>
      </w:r>
    </w:p>
    <w:p w:rsidR="00F86D64" w:rsidRDefault="00C33FDE">
      <w:pPr>
        <w:jc w:val="both"/>
        <w:rPr>
          <w:rFonts w:ascii="Times New Roman" w:hAnsi="Times New Roman" w:cs="Times New Roman"/>
          <w:noProof/>
        </w:rPr>
      </w:pPr>
      <w:r>
        <w:rPr>
          <w:rFonts w:ascii="Times New Roman" w:hAnsi="Times New Roman"/>
          <w:noProof/>
        </w:rPr>
        <w:t>Les traités excluent que le budget de l'UE puisse être utilisé pour des dépenses afférentes à des opérations ayant des implications militaires ou dans le domaine de la défense (voir l'article 41, paragraphe 2, T</w:t>
      </w:r>
      <w:r>
        <w:rPr>
          <w:rFonts w:ascii="Times New Roman" w:hAnsi="Times New Roman"/>
          <w:noProof/>
        </w:rPr>
        <w:t>UE). C'est ce qui fait l'intérêt particulier du Fonds européen de développement et de la facilité de soutien à la paix pour l'Afrique dans le cadre des efforts actuellement entrepris pour «combler le fossé» entre la PESC et divers instruments de développem</w:t>
      </w:r>
      <w:r>
        <w:rPr>
          <w:rFonts w:ascii="Times New Roman" w:hAnsi="Times New Roman"/>
          <w:noProof/>
        </w:rPr>
        <w:t>ent, en vue de parvenir à une approche globale des questions relevant du couple sécurité-développement. En outre, le financement du renforcement des capacités dans le secteur de la sécurité au titre des articles 209 et 212 TFUE n’est pas exclu en soi, indé</w:t>
      </w:r>
      <w:r>
        <w:rPr>
          <w:rFonts w:ascii="Times New Roman" w:hAnsi="Times New Roman"/>
          <w:noProof/>
        </w:rPr>
        <w:t>pendamment de la nature civile ou militaire du bénéficiaire, mais nécessite une évaluation au cas par cas.</w:t>
      </w:r>
    </w:p>
    <w:p w:rsidR="00F86D64" w:rsidRDefault="00C33FDE">
      <w:pPr>
        <w:spacing w:after="0"/>
        <w:jc w:val="both"/>
        <w:rPr>
          <w:rFonts w:ascii="Times New Roman" w:hAnsi="Times New Roman" w:cs="Times New Roman"/>
          <w:noProof/>
        </w:rPr>
      </w:pPr>
      <w:r>
        <w:rPr>
          <w:rFonts w:ascii="Times New Roman" w:hAnsi="Times New Roman"/>
          <w:noProof/>
        </w:rPr>
        <w:t xml:space="preserve">Au-delà de droit primaire, le cadre applicable à l’action extérieure de l’UE dans le domaine du renforcement des capacités en matière de sécurité se </w:t>
      </w:r>
      <w:r>
        <w:rPr>
          <w:rFonts w:ascii="Times New Roman" w:hAnsi="Times New Roman"/>
          <w:noProof/>
        </w:rPr>
        <w:t xml:space="preserve">compose du cadre financier pluriannuel (CFP) et des bases juridiques des instruments de financement extérieur. Les instruments pertinents relevant du budget de l’UE comprennent: </w:t>
      </w:r>
    </w:p>
    <w:p w:rsidR="00F86D64" w:rsidRDefault="00C33FDE">
      <w:pPr>
        <w:pStyle w:val="ListParagraph"/>
        <w:numPr>
          <w:ilvl w:val="0"/>
          <w:numId w:val="6"/>
        </w:numPr>
        <w:spacing w:after="0"/>
        <w:jc w:val="both"/>
        <w:rPr>
          <w:rFonts w:ascii="Times New Roman" w:hAnsi="Times New Roman" w:cs="Times New Roman"/>
          <w:noProof/>
        </w:rPr>
      </w:pPr>
      <w:r>
        <w:rPr>
          <w:rFonts w:ascii="Times New Roman" w:hAnsi="Times New Roman"/>
          <w:noProof/>
        </w:rPr>
        <w:t>l'instrument contribuant à la stabilité et à la paix</w:t>
      </w:r>
      <w:r>
        <w:rPr>
          <w:rStyle w:val="FootnoteReference"/>
          <w:rFonts w:ascii="Times New Roman" w:hAnsi="Times New Roman"/>
          <w:noProof/>
        </w:rPr>
        <w:footnoteReference w:id="28"/>
      </w:r>
      <w:r>
        <w:rPr>
          <w:rFonts w:ascii="Times New Roman" w:hAnsi="Times New Roman"/>
          <w:noProof/>
        </w:rPr>
        <w:t xml:space="preserve"> (ICsP);</w:t>
      </w:r>
    </w:p>
    <w:p w:rsidR="00F86D64" w:rsidRDefault="00C33FDE">
      <w:pPr>
        <w:pStyle w:val="ListParagraph"/>
        <w:numPr>
          <w:ilvl w:val="0"/>
          <w:numId w:val="6"/>
        </w:numPr>
        <w:spacing w:after="0"/>
        <w:jc w:val="both"/>
        <w:rPr>
          <w:rFonts w:ascii="Times New Roman" w:hAnsi="Times New Roman" w:cs="Times New Roman"/>
          <w:noProof/>
        </w:rPr>
      </w:pPr>
      <w:r>
        <w:rPr>
          <w:rFonts w:ascii="Times New Roman" w:hAnsi="Times New Roman"/>
          <w:noProof/>
        </w:rPr>
        <w:t>l'instrument d'</w:t>
      </w:r>
      <w:r>
        <w:rPr>
          <w:rFonts w:ascii="Times New Roman" w:hAnsi="Times New Roman"/>
          <w:noProof/>
        </w:rPr>
        <w:t>aide de préadhésion</w:t>
      </w:r>
      <w:r>
        <w:rPr>
          <w:rStyle w:val="FootnoteReference"/>
          <w:rFonts w:ascii="Times New Roman" w:hAnsi="Times New Roman"/>
          <w:noProof/>
        </w:rPr>
        <w:footnoteReference w:id="29"/>
      </w:r>
      <w:r>
        <w:rPr>
          <w:rFonts w:ascii="Times New Roman" w:hAnsi="Times New Roman"/>
          <w:noProof/>
        </w:rPr>
        <w:t xml:space="preserve"> (IAP);</w:t>
      </w:r>
    </w:p>
    <w:p w:rsidR="00F86D64" w:rsidRDefault="00C33FDE">
      <w:pPr>
        <w:pStyle w:val="ListParagraph"/>
        <w:numPr>
          <w:ilvl w:val="0"/>
          <w:numId w:val="6"/>
        </w:numPr>
        <w:spacing w:after="0"/>
        <w:jc w:val="both"/>
        <w:rPr>
          <w:rFonts w:ascii="Times New Roman" w:hAnsi="Times New Roman" w:cs="Times New Roman"/>
          <w:noProof/>
        </w:rPr>
      </w:pPr>
      <w:r>
        <w:rPr>
          <w:rFonts w:ascii="Times New Roman" w:hAnsi="Times New Roman"/>
          <w:noProof/>
        </w:rPr>
        <w:t>l'instrument européen de voisinage</w:t>
      </w:r>
      <w:r>
        <w:rPr>
          <w:rFonts w:ascii="Times New Roman" w:hAnsi="Times New Roman"/>
          <w:noProof/>
          <w:vertAlign w:val="superscript"/>
        </w:rPr>
        <w:footnoteReference w:id="30"/>
      </w:r>
      <w:r>
        <w:rPr>
          <w:rFonts w:ascii="Times New Roman" w:hAnsi="Times New Roman"/>
          <w:noProof/>
        </w:rPr>
        <w:t xml:space="preserve"> (IEV);</w:t>
      </w:r>
    </w:p>
    <w:p w:rsidR="00F86D64" w:rsidRDefault="00C33FDE">
      <w:pPr>
        <w:pStyle w:val="ListParagraph"/>
        <w:numPr>
          <w:ilvl w:val="0"/>
          <w:numId w:val="6"/>
        </w:numPr>
        <w:spacing w:after="0"/>
        <w:jc w:val="both"/>
        <w:rPr>
          <w:rFonts w:ascii="Times New Roman" w:hAnsi="Times New Roman" w:cs="Times New Roman"/>
          <w:noProof/>
        </w:rPr>
      </w:pPr>
      <w:r>
        <w:rPr>
          <w:rFonts w:ascii="Times New Roman" w:hAnsi="Times New Roman"/>
          <w:noProof/>
        </w:rPr>
        <w:t>l’instrument de coopération au développement</w:t>
      </w:r>
      <w:r>
        <w:rPr>
          <w:rStyle w:val="FootnoteReference"/>
          <w:rFonts w:ascii="Times New Roman" w:hAnsi="Times New Roman"/>
          <w:noProof/>
        </w:rPr>
        <w:footnoteReference w:id="31"/>
      </w:r>
      <w:r>
        <w:rPr>
          <w:rFonts w:ascii="Times New Roman" w:hAnsi="Times New Roman"/>
          <w:noProof/>
        </w:rPr>
        <w:t xml:space="preserve"> (ICD); et</w:t>
      </w:r>
    </w:p>
    <w:p w:rsidR="00F86D64" w:rsidRDefault="00C33FDE">
      <w:pPr>
        <w:pStyle w:val="ListParagraph"/>
        <w:numPr>
          <w:ilvl w:val="0"/>
          <w:numId w:val="6"/>
        </w:numPr>
        <w:spacing w:after="0"/>
        <w:jc w:val="both"/>
        <w:rPr>
          <w:rFonts w:ascii="Times New Roman" w:hAnsi="Times New Roman" w:cs="Times New Roman"/>
          <w:noProof/>
        </w:rPr>
      </w:pPr>
      <w:r>
        <w:rPr>
          <w:rFonts w:ascii="Times New Roman" w:hAnsi="Times New Roman"/>
          <w:noProof/>
        </w:rPr>
        <w:t>l'instrument européen pour la démocratie et les droits de l’homme</w:t>
      </w:r>
      <w:r>
        <w:rPr>
          <w:rStyle w:val="FootnoteReference"/>
          <w:rFonts w:ascii="Times New Roman" w:hAnsi="Times New Roman"/>
          <w:noProof/>
        </w:rPr>
        <w:footnoteReference w:id="32"/>
      </w:r>
      <w:r>
        <w:rPr>
          <w:rFonts w:ascii="Times New Roman" w:hAnsi="Times New Roman"/>
          <w:noProof/>
        </w:rPr>
        <w:t xml:space="preserve"> (IEDDH);</w:t>
      </w:r>
    </w:p>
    <w:p w:rsidR="00F86D64" w:rsidRDefault="00C33FDE">
      <w:pPr>
        <w:pStyle w:val="ListParagraph"/>
        <w:numPr>
          <w:ilvl w:val="0"/>
          <w:numId w:val="6"/>
        </w:numPr>
        <w:spacing w:after="120"/>
        <w:ind w:left="714" w:hanging="357"/>
        <w:jc w:val="both"/>
        <w:rPr>
          <w:rFonts w:ascii="Times New Roman" w:hAnsi="Times New Roman" w:cs="Times New Roman"/>
          <w:noProof/>
        </w:rPr>
      </w:pPr>
      <w:r>
        <w:rPr>
          <w:rFonts w:ascii="Times New Roman" w:hAnsi="Times New Roman"/>
          <w:noProof/>
        </w:rPr>
        <w:t xml:space="preserve">le budget de la politique étrangère et de sécurité </w:t>
      </w:r>
      <w:r>
        <w:rPr>
          <w:rFonts w:ascii="Times New Roman" w:hAnsi="Times New Roman"/>
          <w:noProof/>
        </w:rPr>
        <w:t>commune (PESC).</w:t>
      </w:r>
    </w:p>
    <w:p w:rsidR="00F86D64" w:rsidRDefault="00C33FDE">
      <w:pPr>
        <w:jc w:val="both"/>
        <w:rPr>
          <w:rFonts w:ascii="Times New Roman" w:hAnsi="Times New Roman" w:cs="Times New Roman"/>
          <w:noProof/>
        </w:rPr>
      </w:pPr>
      <w:r>
        <w:rPr>
          <w:rFonts w:ascii="Times New Roman" w:hAnsi="Times New Roman"/>
          <w:noProof/>
        </w:rPr>
        <w:t>Enfin, la définition de l’aide publique au développement</w:t>
      </w:r>
      <w:r>
        <w:rPr>
          <w:rStyle w:val="FootnoteReference"/>
          <w:rFonts w:ascii="Times New Roman" w:hAnsi="Times New Roman"/>
          <w:noProof/>
        </w:rPr>
        <w:footnoteReference w:id="33"/>
      </w:r>
      <w:r>
        <w:rPr>
          <w:rFonts w:ascii="Times New Roman" w:hAnsi="Times New Roman"/>
          <w:noProof/>
        </w:rPr>
        <w:t xml:space="preserve"> (APD) limite potentiellement le financement du renforcement des capacités en matière de sécurité, dans la mesure où les critères régissant l'APD excluent généralement les dépenses mi</w:t>
      </w:r>
      <w:r>
        <w:rPr>
          <w:rFonts w:ascii="Times New Roman" w:hAnsi="Times New Roman"/>
          <w:noProof/>
        </w:rPr>
        <w:t>litaires. Cette restriction entre particulièrement en ligne de compte dans le contexte du CFP, qui prévoit que l'UE doit, au cours de la période 2014-2020, s'efforcer de faire en sorte qu'au moins 90 % de son aide globale extérieure soit considérée comme u</w:t>
      </w:r>
      <w:r>
        <w:rPr>
          <w:rFonts w:ascii="Times New Roman" w:hAnsi="Times New Roman"/>
          <w:noProof/>
        </w:rPr>
        <w:t>ne APD</w:t>
      </w:r>
      <w:r>
        <w:rPr>
          <w:rStyle w:val="FootnoteReference"/>
          <w:rFonts w:ascii="Times New Roman" w:hAnsi="Times New Roman"/>
          <w:noProof/>
        </w:rPr>
        <w:footnoteReference w:id="34"/>
      </w:r>
      <w:r>
        <w:rPr>
          <w:rFonts w:ascii="Times New Roman" w:hAnsi="Times New Roman"/>
          <w:noProof/>
        </w:rPr>
        <w:t>. En outre, l’ICD prévoit des objectifs spécifiques en matière d'APD</w:t>
      </w:r>
      <w:r>
        <w:rPr>
          <w:rStyle w:val="FootnoteReference"/>
          <w:rFonts w:ascii="Times New Roman" w:hAnsi="Times New Roman"/>
          <w:noProof/>
        </w:rPr>
        <w:footnoteReference w:id="35"/>
      </w:r>
      <w:r>
        <w:rPr>
          <w:rFonts w:ascii="Times New Roman" w:hAnsi="Times New Roman"/>
          <w:noProof/>
        </w:rPr>
        <w:t xml:space="preserve"> et une restriction portant sur les marchés publics d'armes ou de munitions et les opérations ayant des implications militaires ou en matière de défense</w:t>
      </w:r>
      <w:r>
        <w:rPr>
          <w:rFonts w:ascii="Times New Roman" w:hAnsi="Times New Roman"/>
          <w:noProof/>
          <w:vertAlign w:val="superscript"/>
        </w:rPr>
        <w:footnoteReference w:id="36"/>
      </w:r>
      <w:r>
        <w:rPr>
          <w:rFonts w:ascii="Times New Roman" w:hAnsi="Times New Roman"/>
          <w:noProof/>
        </w:rPr>
        <w:t>. Le FED exige que la progr</w:t>
      </w:r>
      <w:r>
        <w:rPr>
          <w:rFonts w:ascii="Times New Roman" w:hAnsi="Times New Roman"/>
          <w:noProof/>
        </w:rPr>
        <w:t>ammation soit conçue de manière à satisfaire, dans la mesure du possible, aux critères applicables à l’APD</w:t>
      </w:r>
      <w:r>
        <w:rPr>
          <w:rStyle w:val="FootnoteReference"/>
          <w:rFonts w:ascii="Times New Roman" w:hAnsi="Times New Roman"/>
          <w:noProof/>
        </w:rPr>
        <w:footnoteReference w:id="37"/>
      </w:r>
      <w:r>
        <w:rPr>
          <w:rFonts w:ascii="Times New Roman" w:hAnsi="Times New Roman"/>
          <w:noProof/>
        </w:rPr>
        <w:t>. En outre, les États membres déclarent que leur contribution au FED est conforme auxdits critères.</w:t>
      </w:r>
    </w:p>
    <w:p w:rsidR="00F86D64" w:rsidRDefault="00C33FDE">
      <w:pPr>
        <w:pStyle w:val="Heading2"/>
        <w:spacing w:after="120"/>
        <w:jc w:val="both"/>
        <w:rPr>
          <w:rFonts w:ascii="Times New Roman" w:hAnsi="Times New Roman" w:cs="Times New Roman"/>
          <w:b w:val="0"/>
          <w:noProof/>
          <w:sz w:val="24"/>
        </w:rPr>
      </w:pPr>
      <w:r>
        <w:rPr>
          <w:rFonts w:ascii="Times New Roman" w:hAnsi="Times New Roman"/>
          <w:noProof/>
          <w:color w:val="auto"/>
          <w:sz w:val="24"/>
        </w:rPr>
        <w:t>3.2</w:t>
      </w:r>
      <w:r>
        <w:rPr>
          <w:noProof/>
        </w:rPr>
        <w:tab/>
      </w:r>
      <w:r>
        <w:rPr>
          <w:rFonts w:ascii="Times New Roman" w:hAnsi="Times New Roman"/>
          <w:noProof/>
          <w:color w:val="auto"/>
          <w:sz w:val="24"/>
        </w:rPr>
        <w:t>Tirer un meilleur parti des instruments exist</w:t>
      </w:r>
      <w:r>
        <w:rPr>
          <w:rFonts w:ascii="Times New Roman" w:hAnsi="Times New Roman"/>
          <w:noProof/>
          <w:color w:val="auto"/>
          <w:sz w:val="24"/>
        </w:rPr>
        <w:t>ants</w:t>
      </w:r>
    </w:p>
    <w:p w:rsidR="00F86D64" w:rsidRDefault="00C33FDE">
      <w:pPr>
        <w:pStyle w:val="Heading3"/>
        <w:spacing w:after="120"/>
        <w:jc w:val="both"/>
        <w:rPr>
          <w:rFonts w:ascii="Times New Roman" w:hAnsi="Times New Roman" w:cs="Times New Roman"/>
          <w:noProof/>
        </w:rPr>
      </w:pPr>
      <w:r>
        <w:rPr>
          <w:rFonts w:ascii="Times New Roman" w:hAnsi="Times New Roman"/>
          <w:noProof/>
          <w:color w:val="auto"/>
        </w:rPr>
        <w:t>Instruments existants dans le cadre du budget de l'UE</w:t>
      </w:r>
    </w:p>
    <w:p w:rsidR="00F86D64" w:rsidRDefault="00C33FDE">
      <w:pPr>
        <w:jc w:val="both"/>
        <w:rPr>
          <w:rFonts w:ascii="Times New Roman" w:hAnsi="Times New Roman" w:cs="Times New Roman"/>
          <w:noProof/>
        </w:rPr>
      </w:pPr>
      <w:r>
        <w:rPr>
          <w:rFonts w:ascii="Times New Roman" w:hAnsi="Times New Roman"/>
          <w:noProof/>
        </w:rPr>
        <w:t>Une partie importante des programmes d’aide extérieure financés par les instruments de coopération au développement et de coopération technique de l'UE vise déjà à faire face à des défis en matière</w:t>
      </w:r>
      <w:r>
        <w:rPr>
          <w:rFonts w:ascii="Times New Roman" w:hAnsi="Times New Roman"/>
          <w:noProof/>
        </w:rPr>
        <w:t xml:space="preserve"> de sécurité et de développement</w:t>
      </w:r>
      <w:r>
        <w:rPr>
          <w:rStyle w:val="FootnoteReference"/>
          <w:rFonts w:ascii="Times New Roman" w:hAnsi="Times New Roman"/>
          <w:noProof/>
        </w:rPr>
        <w:footnoteReference w:id="38"/>
      </w:r>
      <w:r>
        <w:rPr>
          <w:rFonts w:ascii="Times New Roman" w:hAnsi="Times New Roman"/>
          <w:noProof/>
        </w:rPr>
        <w:t>. Le CFP actuel comporte neuf programmes nationaux et huit programmes régionaux ou thématiques visant à soutenir la prévention et la résolution des conflits et à appuyer des activités liées à la paix et à la sécurité. En ou</w:t>
      </w:r>
      <w:r>
        <w:rPr>
          <w:rFonts w:ascii="Times New Roman" w:hAnsi="Times New Roman"/>
          <w:noProof/>
        </w:rPr>
        <w:t xml:space="preserve">tre, des programmes plus largement axés sur la gouvernance et l'État de droit, prévoyant éventuellement de soutenir la transition des missions et opérations de la PESC vers d'autres instruments, sont en cours d'élaboration dans 45 pays. </w:t>
      </w:r>
    </w:p>
    <w:p w:rsidR="00F86D64" w:rsidRDefault="00C33FDE">
      <w:pPr>
        <w:jc w:val="both"/>
        <w:rPr>
          <w:rFonts w:ascii="Times New Roman" w:hAnsi="Times New Roman" w:cs="Times New Roman"/>
          <w:noProof/>
        </w:rPr>
      </w:pPr>
      <w:r>
        <w:rPr>
          <w:rFonts w:ascii="Times New Roman" w:hAnsi="Times New Roman"/>
          <w:noProof/>
        </w:rPr>
        <w:t>Toutefois, dans le</w:t>
      </w:r>
      <w:r>
        <w:rPr>
          <w:rFonts w:ascii="Times New Roman" w:hAnsi="Times New Roman"/>
          <w:noProof/>
        </w:rPr>
        <w:t xml:space="preserve"> cadre de l’IcSP, de l’IAP, de l’IEV, de l’ICD et de l’IEDDH, l'aide financière au renforcement des capacités dans le secteur de la sécurité est soumise à diverses restrictions, exposées ci</w:t>
      </w:r>
      <w:r>
        <w:rPr>
          <w:rFonts w:ascii="Times New Roman" w:hAnsi="Times New Roman"/>
          <w:noProof/>
        </w:rPr>
        <w:noBreakHyphen/>
        <w:t xml:space="preserve">dessus. Par conséquent, il n’existe actuellement aucun instrument </w:t>
      </w:r>
      <w:r>
        <w:rPr>
          <w:rFonts w:ascii="Times New Roman" w:hAnsi="Times New Roman"/>
          <w:noProof/>
        </w:rPr>
        <w:t xml:space="preserve">budgétaire de l’UE permettant un financement global du renforcement des capacités en matière de sécurité dans les pays partenaires, en particulier de sa composante militaire. </w:t>
      </w:r>
    </w:p>
    <w:p w:rsidR="00F86D64" w:rsidRDefault="00C33FDE">
      <w:pPr>
        <w:jc w:val="both"/>
        <w:rPr>
          <w:rFonts w:ascii="Times New Roman" w:hAnsi="Times New Roman" w:cs="Times New Roman"/>
          <w:noProof/>
        </w:rPr>
      </w:pPr>
      <w:r>
        <w:rPr>
          <w:rFonts w:ascii="Times New Roman" w:hAnsi="Times New Roman"/>
          <w:noProof/>
        </w:rPr>
        <w:t>Cette situation existe depuis une décennie. Lorsque la Commission européenne a s</w:t>
      </w:r>
      <w:r>
        <w:rPr>
          <w:rFonts w:ascii="Times New Roman" w:hAnsi="Times New Roman"/>
          <w:noProof/>
        </w:rPr>
        <w:t>oumis sa proposition initiale d'instrument de stabilité en 2004</w:t>
      </w:r>
      <w:r>
        <w:rPr>
          <w:rStyle w:val="FootnoteReference"/>
          <w:rFonts w:ascii="Times New Roman" w:hAnsi="Times New Roman"/>
          <w:noProof/>
        </w:rPr>
        <w:footnoteReference w:id="39"/>
      </w:r>
      <w:r>
        <w:rPr>
          <w:rFonts w:ascii="Times New Roman" w:hAnsi="Times New Roman"/>
          <w:noProof/>
        </w:rPr>
        <w:t xml:space="preserve">, elle a suggéré d'étendre la base juridique au financement d'une aide à long terme au renforcement des capacités dans le domaine des opérations militaires de soutien à la paix. Toutefois, en </w:t>
      </w:r>
      <w:r>
        <w:rPr>
          <w:rFonts w:ascii="Times New Roman" w:hAnsi="Times New Roman"/>
          <w:noProof/>
        </w:rPr>
        <w:t xml:space="preserve">raison de l'opposition des colégislateurs, aucune mention n'a été faite d'opérations militaires ou de soutien de la paix dans le texte final. Des objections s'étaient également élevées des rangs de la société civile. </w:t>
      </w:r>
    </w:p>
    <w:p w:rsidR="00F86D64" w:rsidRDefault="00C33FDE">
      <w:pPr>
        <w:pStyle w:val="Heading3"/>
        <w:spacing w:after="120"/>
        <w:jc w:val="both"/>
        <w:rPr>
          <w:rFonts w:ascii="Times New Roman" w:hAnsi="Times New Roman" w:cs="Times New Roman"/>
          <w:noProof/>
          <w:color w:val="auto"/>
        </w:rPr>
      </w:pPr>
      <w:r>
        <w:rPr>
          <w:rFonts w:ascii="Times New Roman" w:hAnsi="Times New Roman"/>
          <w:noProof/>
          <w:color w:val="auto"/>
        </w:rPr>
        <w:t xml:space="preserve">Instruments existants hors du cadre </w:t>
      </w:r>
      <w:r>
        <w:rPr>
          <w:rFonts w:ascii="Times New Roman" w:hAnsi="Times New Roman"/>
          <w:noProof/>
          <w:color w:val="auto"/>
        </w:rPr>
        <w:t>budgétaire de l'UE</w:t>
      </w:r>
    </w:p>
    <w:p w:rsidR="00F86D64" w:rsidRDefault="00C33FDE">
      <w:pPr>
        <w:jc w:val="both"/>
        <w:rPr>
          <w:rFonts w:ascii="Times New Roman" w:hAnsi="Times New Roman" w:cs="Times New Roman"/>
          <w:noProof/>
        </w:rPr>
      </w:pPr>
      <w:r>
        <w:rPr>
          <w:rFonts w:ascii="Times New Roman" w:hAnsi="Times New Roman"/>
          <w:noProof/>
        </w:rPr>
        <w:t xml:space="preserve">En dehors du budget de l’UE, le FED octroie également des moyens opérationnels pour la mise en œuvre de la politique de coopération au développement de l’UE en direction du groupe des États d'Afrique, des Caraïbes et du Pacifique (ACP), </w:t>
      </w:r>
      <w:r>
        <w:rPr>
          <w:rFonts w:ascii="Times New Roman" w:hAnsi="Times New Roman"/>
          <w:noProof/>
        </w:rPr>
        <w:t>dans le cadre de l’accord de partenariat de Cotonou</w:t>
      </w:r>
      <w:r>
        <w:rPr>
          <w:rFonts w:ascii="Times New Roman" w:hAnsi="Times New Roman"/>
          <w:noProof/>
          <w:vertAlign w:val="superscript"/>
        </w:rPr>
        <w:footnoteReference w:id="40"/>
      </w:r>
      <w:r>
        <w:rPr>
          <w:rFonts w:ascii="Times New Roman" w:hAnsi="Times New Roman"/>
          <w:noProof/>
        </w:rPr>
        <w:t xml:space="preserve">. </w:t>
      </w:r>
    </w:p>
    <w:p w:rsidR="00F86D64" w:rsidRDefault="00C33FDE">
      <w:pPr>
        <w:jc w:val="both"/>
        <w:rPr>
          <w:rFonts w:ascii="Times New Roman" w:hAnsi="Times New Roman" w:cs="Times New Roman"/>
          <w:noProof/>
        </w:rPr>
      </w:pPr>
      <w:r>
        <w:rPr>
          <w:rFonts w:ascii="Times New Roman" w:hAnsi="Times New Roman"/>
          <w:noProof/>
        </w:rPr>
        <w:t>L'APF a été créée en 2003 au titre du FED et constitue à ce jour l'instrument le plus ambitieux pour faire face aux problématiques interdépendantes de paix et de sécurité, en fournissant également un a</w:t>
      </w:r>
      <w:r>
        <w:rPr>
          <w:rFonts w:ascii="Times New Roman" w:hAnsi="Times New Roman"/>
          <w:noProof/>
        </w:rPr>
        <w:t xml:space="preserve">ppui à des activités militaires. </w:t>
      </w:r>
    </w:p>
    <w:p w:rsidR="00F86D64" w:rsidRDefault="00C33FDE">
      <w:pPr>
        <w:jc w:val="both"/>
        <w:rPr>
          <w:rFonts w:ascii="Times New Roman" w:hAnsi="Times New Roman" w:cs="Times New Roman"/>
          <w:noProof/>
        </w:rPr>
      </w:pPr>
      <w:r>
        <w:rPr>
          <w:rFonts w:ascii="Times New Roman" w:hAnsi="Times New Roman"/>
          <w:noProof/>
        </w:rPr>
        <w:t>L'APF reste toutefois un outil exceptionnel et temporaire. Les États membres ont soulevé à plusieurs reprises la question de sa viabilité financière et de la nécessité d'envisager d'autres sources de financement que le FED</w:t>
      </w:r>
      <w:r>
        <w:rPr>
          <w:rStyle w:val="FootnoteReference"/>
          <w:rFonts w:ascii="Times New Roman" w:hAnsi="Times New Roman"/>
          <w:noProof/>
        </w:rPr>
        <w:footnoteReference w:id="41"/>
      </w:r>
      <w:r>
        <w:rPr>
          <w:rFonts w:ascii="Times New Roman" w:hAnsi="Times New Roman"/>
          <w:noProof/>
        </w:rPr>
        <w:t>. De plus, le programme d’action pluriannuel 2014-2016 de l'APF</w:t>
      </w:r>
      <w:r>
        <w:rPr>
          <w:rFonts w:ascii="Times New Roman" w:hAnsi="Times New Roman"/>
          <w:noProof/>
          <w:vertAlign w:val="superscript"/>
        </w:rPr>
        <w:footnoteReference w:id="42"/>
      </w:r>
      <w:r>
        <w:rPr>
          <w:rFonts w:ascii="Times New Roman" w:hAnsi="Times New Roman"/>
          <w:noProof/>
        </w:rPr>
        <w:t xml:space="preserve"> exclut le financement «des munitions, des armes et du matériel militaire spécifique, des pièces de rechange pour les armes et le matériel militaire, ainsi que des salaires et de l'entraîneme</w:t>
      </w:r>
      <w:r>
        <w:rPr>
          <w:rFonts w:ascii="Times New Roman" w:hAnsi="Times New Roman"/>
          <w:noProof/>
        </w:rPr>
        <w:t>nt militaire des soldats. Une autre des limitations auxquelles est soumis cet instrument réside dans l'obligation légale de déclarer «dans toute la mesure du possible» les actions financées au titre du 11</w:t>
      </w:r>
      <w:r>
        <w:rPr>
          <w:rFonts w:ascii="Times New Roman" w:hAnsi="Times New Roman"/>
          <w:noProof/>
          <w:vertAlign w:val="superscript"/>
        </w:rPr>
        <w:t>e</w:t>
      </w:r>
      <w:r>
        <w:rPr>
          <w:rFonts w:ascii="Times New Roman" w:hAnsi="Times New Roman"/>
          <w:noProof/>
        </w:rPr>
        <w:t xml:space="preserve"> FED en tant qu'APD</w:t>
      </w:r>
      <w:r>
        <w:rPr>
          <w:rFonts w:ascii="Times New Roman" w:hAnsi="Times New Roman"/>
          <w:noProof/>
          <w:vertAlign w:val="superscript"/>
        </w:rPr>
        <w:footnoteReference w:id="43"/>
      </w:r>
      <w:r>
        <w:rPr>
          <w:rFonts w:ascii="Times New Roman" w:hAnsi="Times New Roman"/>
          <w:noProof/>
        </w:rPr>
        <w:t xml:space="preserve">. Enfin, étant donné que le </w:t>
      </w:r>
      <w:r>
        <w:rPr>
          <w:rFonts w:ascii="Times New Roman" w:hAnsi="Times New Roman"/>
          <w:noProof/>
        </w:rPr>
        <w:t xml:space="preserve">champ d'intervention de l'AFP est exclusivement régional et géographique (l'Union africaine et les communautés économiques régionales), elle ne permet pas de financer des mesures de soutien au niveau national ou hors d'Afrique. Toutefois, l’UE et les pays </w:t>
      </w:r>
      <w:r>
        <w:rPr>
          <w:rFonts w:ascii="Times New Roman" w:hAnsi="Times New Roman"/>
          <w:noProof/>
        </w:rPr>
        <w:t>et régions partenaires ont défini la paix et la sécurité ou la réforme du secteur de la sécurité comme des domaines d'intervention prioritaires dans le cadre de plusieurs programmes indicatifs régionaux et nationaux au titre du FED.</w:t>
      </w:r>
    </w:p>
    <w:p w:rsidR="00F86D64" w:rsidRDefault="00C33FDE">
      <w:pPr>
        <w:jc w:val="both"/>
        <w:rPr>
          <w:rFonts w:ascii="Times New Roman" w:hAnsi="Times New Roman" w:cs="Times New Roman"/>
          <w:noProof/>
        </w:rPr>
      </w:pPr>
      <w:r>
        <w:rPr>
          <w:rFonts w:ascii="Times New Roman" w:hAnsi="Times New Roman"/>
          <w:noProof/>
        </w:rPr>
        <w:t>Si le financement du re</w:t>
      </w:r>
      <w:r>
        <w:rPr>
          <w:rFonts w:ascii="Times New Roman" w:hAnsi="Times New Roman"/>
          <w:noProof/>
        </w:rPr>
        <w:t>nforcement des capacités en matière de sécurité, y compris de son volet militaire, est possible au titre de l'APF, il est soumis à plusieurs autres restrictions qui peuvent faire obstacle à son utilisation effective dans toutes les situations auxquelles l'</w:t>
      </w:r>
      <w:r>
        <w:rPr>
          <w:rFonts w:ascii="Times New Roman" w:hAnsi="Times New Roman"/>
          <w:noProof/>
        </w:rPr>
        <w:t xml:space="preserve">UE est confrontée. </w:t>
      </w:r>
    </w:p>
    <w:p w:rsidR="00F86D64" w:rsidRDefault="00C33FDE">
      <w:pPr>
        <w:jc w:val="both"/>
        <w:rPr>
          <w:rFonts w:ascii="Times New Roman" w:hAnsi="Times New Roman" w:cs="Times New Roman"/>
          <w:noProof/>
        </w:rPr>
      </w:pPr>
      <w:r>
        <w:rPr>
          <w:rFonts w:ascii="Times New Roman" w:hAnsi="Times New Roman"/>
          <w:noProof/>
        </w:rPr>
        <w:t>Enfin, dernier point mais non le moindre, les États membres affectent également des ressources aux opérations militaires de l’UE en dehors du budget de l’UE, que ce soit directement au titre de leur participation à la PESC/PSDC ou par l</w:t>
      </w:r>
      <w:r>
        <w:rPr>
          <w:rFonts w:ascii="Times New Roman" w:hAnsi="Times New Roman"/>
          <w:noProof/>
        </w:rPr>
        <w:t>e biais du mécanisme ATHENA. Ce dernier gère le financement des coûts communs des opérations militaires de l’UE menées dans le cadre de la PSDC. Ces coûts concernent, entre autres, l'établissement et les dépenses de fonctionnement des quartiers généraux, l</w:t>
      </w:r>
      <w:r>
        <w:rPr>
          <w:rFonts w:ascii="Times New Roman" w:hAnsi="Times New Roman"/>
          <w:noProof/>
        </w:rPr>
        <w:t>es infrastructures, la logistique et le soutien aux missions. À l’heure actuelle, le mécanisme ATHENA ne couvre pas les coûts supportés par un pays partenaire bénéficiant d’une mission ou d'une opération de soutien. Le Conseil a récemment approuvé un réexa</w:t>
      </w:r>
      <w:r>
        <w:rPr>
          <w:rFonts w:ascii="Times New Roman" w:hAnsi="Times New Roman"/>
          <w:noProof/>
        </w:rPr>
        <w:t>men de la décision du Conseil relative à ATHENA, qui permet notamment à ce mécanisme de mettre en œuvre des ressources budgétaires de l'UE, conformément aux règles et procédures existantes</w:t>
      </w:r>
      <w:r>
        <w:rPr>
          <w:rStyle w:val="FootnoteReference"/>
          <w:rFonts w:ascii="Times New Roman" w:hAnsi="Times New Roman"/>
          <w:noProof/>
        </w:rPr>
        <w:footnoteReference w:id="44"/>
      </w:r>
      <w:r>
        <w:rPr>
          <w:rFonts w:ascii="Times New Roman" w:hAnsi="Times New Roman"/>
          <w:noProof/>
        </w:rPr>
        <w:t xml:space="preserve">. </w:t>
      </w:r>
    </w:p>
    <w:p w:rsidR="00F86D64" w:rsidRDefault="00C33FDE">
      <w:pPr>
        <w:pStyle w:val="Heading3"/>
        <w:spacing w:after="120"/>
        <w:jc w:val="both"/>
        <w:rPr>
          <w:rFonts w:ascii="Times New Roman" w:hAnsi="Times New Roman" w:cs="Times New Roman"/>
          <w:noProof/>
        </w:rPr>
      </w:pPr>
      <w:r>
        <w:rPr>
          <w:rFonts w:ascii="Times New Roman" w:hAnsi="Times New Roman"/>
          <w:noProof/>
          <w:color w:val="auto"/>
        </w:rPr>
        <w:t>Coordination et cohérence</w:t>
      </w:r>
    </w:p>
    <w:p w:rsidR="00F86D64" w:rsidRDefault="00C33FDE">
      <w:pPr>
        <w:jc w:val="both"/>
        <w:rPr>
          <w:rFonts w:ascii="Times New Roman" w:hAnsi="Times New Roman" w:cs="Times New Roman"/>
          <w:noProof/>
        </w:rPr>
      </w:pPr>
      <w:r>
        <w:rPr>
          <w:rFonts w:ascii="Times New Roman" w:hAnsi="Times New Roman"/>
          <w:noProof/>
        </w:rPr>
        <w:t>Malgré les restrictions décrites ci-de</w:t>
      </w:r>
      <w:r>
        <w:rPr>
          <w:rFonts w:ascii="Times New Roman" w:hAnsi="Times New Roman"/>
          <w:noProof/>
        </w:rPr>
        <w:t xml:space="preserve">ssus, il serait possible d’obtenir de meilleurs résultats dans le cadre existant, grâce à une approche plus cohérente et mieux coordonnée. </w:t>
      </w:r>
    </w:p>
    <w:p w:rsidR="00F86D64" w:rsidRDefault="00C33FDE">
      <w:pPr>
        <w:jc w:val="both"/>
        <w:rPr>
          <w:rFonts w:ascii="Times New Roman" w:hAnsi="Times New Roman" w:cs="Times New Roman"/>
          <w:noProof/>
        </w:rPr>
      </w:pPr>
      <w:r>
        <w:rPr>
          <w:rFonts w:ascii="Times New Roman" w:hAnsi="Times New Roman"/>
          <w:noProof/>
        </w:rPr>
        <w:t>Le soutien de l’UE au renforcement des capacités en matière de sécurité doit reposer sur des principes présidant à l</w:t>
      </w:r>
      <w:r>
        <w:rPr>
          <w:rFonts w:ascii="Times New Roman" w:hAnsi="Times New Roman"/>
          <w:noProof/>
        </w:rPr>
        <w:t>’action extérieure de l’UE, notamment: i) l'adhésion du pays partenaire aux mesures proposées et l'alignement sur les stratégies de développement à long terme de celui-ci; ii) le respect des droits de l'homme et du droit international humanitaire; et iii) </w:t>
      </w:r>
      <w:r>
        <w:rPr>
          <w:rFonts w:ascii="Times New Roman" w:hAnsi="Times New Roman"/>
          <w:noProof/>
        </w:rPr>
        <w:t>la cohérence par rapport aux autres actions de l'UE, dans le cadre plus large d'une approche globale de l'UE à l'égard des conflits et crises extérieurs</w:t>
      </w:r>
      <w:r>
        <w:rPr>
          <w:rFonts w:ascii="Times New Roman" w:hAnsi="Times New Roman"/>
          <w:noProof/>
          <w:vertAlign w:val="superscript"/>
        </w:rPr>
        <w:footnoteReference w:id="45"/>
      </w:r>
      <w:r>
        <w:rPr>
          <w:rFonts w:ascii="Times New Roman" w:hAnsi="Times New Roman"/>
          <w:noProof/>
        </w:rPr>
        <w:t xml:space="preserve">. Il importe en outre de procéder à une analyse des contextes afin d'éviter que l'aide au renforcement </w:t>
      </w:r>
      <w:r>
        <w:rPr>
          <w:rFonts w:ascii="Times New Roman" w:hAnsi="Times New Roman"/>
          <w:noProof/>
        </w:rPr>
        <w:t xml:space="preserve">des capacités ne soit axée sur l'offre, de développer une méthode de gestion des risques, de s'assurer un large soutien de la part de la communauté internationale et de veiller à la coordination avec d’autres acteurs sur le terrain. </w:t>
      </w:r>
    </w:p>
    <w:p w:rsidR="00F86D64" w:rsidRDefault="00C33FDE">
      <w:pPr>
        <w:jc w:val="both"/>
        <w:rPr>
          <w:rFonts w:ascii="Times New Roman" w:hAnsi="Times New Roman" w:cs="Times New Roman"/>
          <w:noProof/>
        </w:rPr>
      </w:pPr>
      <w:r>
        <w:rPr>
          <w:rFonts w:ascii="Times New Roman" w:hAnsi="Times New Roman"/>
          <w:noProof/>
        </w:rPr>
        <w:t>Tout en respectant les</w:t>
      </w:r>
      <w:r>
        <w:rPr>
          <w:rFonts w:ascii="Times New Roman" w:hAnsi="Times New Roman"/>
          <w:noProof/>
        </w:rPr>
        <w:t xml:space="preserve"> cadres institutionnels et juridiques existants, les mesures concrètes suivantes pourraient permettre d'améliorer la coordination au sein de l’UE, y compris avec et entre les États membres, sur les plans stratégique et opérationnel: </w:t>
      </w:r>
    </w:p>
    <w:p w:rsidR="00F86D64" w:rsidRDefault="00C33FDE">
      <w:pPr>
        <w:jc w:val="both"/>
        <w:rPr>
          <w:rFonts w:ascii="Times New Roman" w:hAnsi="Times New Roman" w:cs="Times New Roman"/>
          <w:noProof/>
        </w:rPr>
      </w:pPr>
      <w:r>
        <w:rPr>
          <w:rFonts w:ascii="Times New Roman" w:hAnsi="Times New Roman"/>
          <w:noProof/>
        </w:rPr>
        <w:t>i)</w:t>
      </w:r>
      <w:r>
        <w:rPr>
          <w:noProof/>
        </w:rPr>
        <w:tab/>
      </w:r>
      <w:r>
        <w:rPr>
          <w:rFonts w:ascii="Times New Roman" w:hAnsi="Times New Roman"/>
          <w:noProof/>
        </w:rPr>
        <w:t>Renforcer les échan</w:t>
      </w:r>
      <w:r>
        <w:rPr>
          <w:rFonts w:ascii="Times New Roman" w:hAnsi="Times New Roman"/>
          <w:noProof/>
        </w:rPr>
        <w:t>ges d'informations sur les activités en cours et planifiées visant au renforcement des capacités dans les grands domaines de gestion de la prévention des crises (y compris l'appui aux secteurs de la justice et de la sécurité), menées dans le cadre de la co</w:t>
      </w:r>
      <w:r>
        <w:rPr>
          <w:rFonts w:ascii="Times New Roman" w:hAnsi="Times New Roman"/>
          <w:noProof/>
        </w:rPr>
        <w:t xml:space="preserve">opération bilatérale des États membres, des instruments de coopération au développement et de coopération technique de l'UE et de la PSDC. </w:t>
      </w:r>
    </w:p>
    <w:p w:rsidR="00F86D64" w:rsidRDefault="00C33FDE">
      <w:pPr>
        <w:jc w:val="both"/>
        <w:rPr>
          <w:rFonts w:ascii="Times New Roman" w:hAnsi="Times New Roman" w:cs="Times New Roman"/>
          <w:noProof/>
        </w:rPr>
      </w:pPr>
      <w:r>
        <w:rPr>
          <w:rFonts w:ascii="Times New Roman" w:hAnsi="Times New Roman"/>
          <w:noProof/>
        </w:rPr>
        <w:t>ii)</w:t>
      </w:r>
      <w:r>
        <w:rPr>
          <w:noProof/>
        </w:rPr>
        <w:tab/>
      </w:r>
      <w:r>
        <w:rPr>
          <w:rFonts w:ascii="Times New Roman" w:hAnsi="Times New Roman"/>
          <w:noProof/>
        </w:rPr>
        <w:t xml:space="preserve">Étendre le partage d’informations aux partenaires multilatéraux de l’UE (notamment les Nations unies, l’OTAN et </w:t>
      </w:r>
      <w:r>
        <w:rPr>
          <w:rFonts w:ascii="Times New Roman" w:hAnsi="Times New Roman"/>
          <w:noProof/>
        </w:rPr>
        <w:t>l’OSCE) et à d’autres pays tiers et partenaires stratégiques avec lesquels l’UE partage des priorités convergentes et complémentaires.</w:t>
      </w:r>
    </w:p>
    <w:p w:rsidR="00F86D64" w:rsidRDefault="00C33FDE">
      <w:pPr>
        <w:jc w:val="both"/>
        <w:rPr>
          <w:rFonts w:ascii="Times New Roman" w:hAnsi="Times New Roman" w:cs="Times New Roman"/>
          <w:noProof/>
        </w:rPr>
      </w:pPr>
      <w:r>
        <w:rPr>
          <w:rFonts w:ascii="Times New Roman" w:hAnsi="Times New Roman" w:cs="Times New Roman"/>
          <w:noProof/>
        </w:rPr>
        <w:t>iii)</w:t>
      </w:r>
      <w:r>
        <w:rPr>
          <w:rFonts w:ascii="Times New Roman" w:hAnsi="Times New Roman" w:cs="Times New Roman"/>
          <w:noProof/>
        </w:rPr>
        <w:tab/>
        <w:t>Mettre à profit l'introduction du cadre politique pour la gestion des crises afin de renforcer les liens entre les s</w:t>
      </w:r>
      <w:r>
        <w:rPr>
          <w:rFonts w:ascii="Times New Roman" w:hAnsi="Times New Roman" w:cs="Times New Roman"/>
          <w:noProof/>
        </w:rPr>
        <w:t>ervices s'occupant de coopération au développement et de questions de sécurité.</w:t>
      </w:r>
      <w:r>
        <w:rPr>
          <w:rFonts w:ascii="Times New Roman" w:hAnsi="Times New Roman"/>
          <w:noProof/>
        </w:rPr>
        <w:t xml:space="preserve"> Cela favorisera une analyse globale de l'engagement de l’UE dans un contexte donné, avant l'adoption de toute nouvelle mesure relevant ou non de la PSDC. </w:t>
      </w:r>
    </w:p>
    <w:p w:rsidR="00F86D64" w:rsidRDefault="00C33FDE">
      <w:pPr>
        <w:jc w:val="both"/>
        <w:rPr>
          <w:rFonts w:ascii="Times New Roman" w:hAnsi="Times New Roman" w:cs="Times New Roman"/>
          <w:noProof/>
        </w:rPr>
      </w:pPr>
      <w:r>
        <w:rPr>
          <w:rFonts w:ascii="Times New Roman" w:hAnsi="Times New Roman"/>
          <w:noProof/>
        </w:rPr>
        <w:t>iv)</w:t>
      </w:r>
      <w:r>
        <w:rPr>
          <w:noProof/>
        </w:rPr>
        <w:tab/>
      </w:r>
      <w:r>
        <w:rPr>
          <w:rFonts w:ascii="Times New Roman" w:hAnsi="Times New Roman"/>
          <w:noProof/>
        </w:rPr>
        <w:t>Les actions menée</w:t>
      </w:r>
      <w:r>
        <w:rPr>
          <w:rFonts w:ascii="Times New Roman" w:hAnsi="Times New Roman"/>
          <w:noProof/>
        </w:rPr>
        <w:t>s au titre de la PSDC devraient mieux exploiter l'expertise en matière de coopération au développement. De même, les programmes de développement peuvent bénéficier de l'expertise acquise dans le cadre de la PSDC et par les États membres, ce qui permettrait</w:t>
      </w:r>
      <w:r>
        <w:rPr>
          <w:rFonts w:ascii="Times New Roman" w:hAnsi="Times New Roman"/>
          <w:noProof/>
        </w:rPr>
        <w:t xml:space="preserve"> également de garantir la cohérence, notamment entre les travaux des comités de gestion spécifiques aux différents instruments et les travaux des groupes de travail du Conseil s'occupant de la politique de sécurité et de défense commune.</w:t>
      </w:r>
    </w:p>
    <w:p w:rsidR="00F86D64" w:rsidRDefault="00C33FDE">
      <w:pPr>
        <w:jc w:val="both"/>
        <w:rPr>
          <w:rFonts w:ascii="Times New Roman" w:hAnsi="Times New Roman" w:cs="Times New Roman"/>
          <w:noProof/>
        </w:rPr>
      </w:pPr>
      <w:r>
        <w:rPr>
          <w:rFonts w:ascii="Times New Roman" w:hAnsi="Times New Roman"/>
          <w:noProof/>
        </w:rPr>
        <w:t>v)</w:t>
      </w:r>
      <w:r>
        <w:rPr>
          <w:noProof/>
        </w:rPr>
        <w:tab/>
      </w:r>
      <w:r>
        <w:rPr>
          <w:rFonts w:ascii="Times New Roman" w:hAnsi="Times New Roman"/>
          <w:noProof/>
        </w:rPr>
        <w:t>Organiser des é</w:t>
      </w:r>
      <w:r>
        <w:rPr>
          <w:rFonts w:ascii="Times New Roman" w:hAnsi="Times New Roman"/>
          <w:noProof/>
        </w:rPr>
        <w:t>changes plus réguliers et systématiques entre les délégations de l'UE et les missions et/opérations de la PSDC au niveau des pays partenaires. Prévoir un système de rapports conjoints aux hiérarchies respectives des différents quartiers généraux. Harmonise</w:t>
      </w:r>
      <w:r>
        <w:rPr>
          <w:rFonts w:ascii="Times New Roman" w:hAnsi="Times New Roman"/>
          <w:noProof/>
        </w:rPr>
        <w:t>r les procédures de détachement des agents de liaison des missions et opérations de la PSDC dans les délégations de l'UE et les intégrer au système de recrutement et d'appels à contribution pour ces missions et opérations.</w:t>
      </w:r>
    </w:p>
    <w:p w:rsidR="00F86D64" w:rsidRDefault="00C33FDE">
      <w:pPr>
        <w:jc w:val="both"/>
        <w:rPr>
          <w:rFonts w:ascii="Times New Roman" w:hAnsi="Times New Roman" w:cs="Times New Roman"/>
          <w:noProof/>
        </w:rPr>
      </w:pPr>
      <w:r>
        <w:rPr>
          <w:rFonts w:ascii="Times New Roman" w:hAnsi="Times New Roman"/>
          <w:noProof/>
        </w:rPr>
        <w:t>Pour appuyer et mettre en œuvre c</w:t>
      </w:r>
      <w:r>
        <w:rPr>
          <w:rFonts w:ascii="Times New Roman" w:hAnsi="Times New Roman"/>
          <w:noProof/>
        </w:rPr>
        <w:t>es engagements, les initiatives suivantes devraient, en outre, être développées sur la base de propositions de la Commission européenne et de la haute représentante de l’Union pour les affaires étrangères et la politique de sécurité (la haute représentante</w:t>
      </w:r>
      <w:r>
        <w:rPr>
          <w:rFonts w:ascii="Times New Roman" w:hAnsi="Times New Roman"/>
          <w:noProof/>
        </w:rPr>
        <w:t>):</w:t>
      </w:r>
    </w:p>
    <w:p w:rsidR="00F86D64" w:rsidRDefault="00C33FDE">
      <w:pPr>
        <w:jc w:val="both"/>
        <w:rPr>
          <w:rFonts w:ascii="Times New Roman" w:hAnsi="Times New Roman" w:cs="Times New Roman"/>
          <w:noProof/>
        </w:rPr>
      </w:pPr>
      <w:r>
        <w:rPr>
          <w:rFonts w:ascii="Times New Roman" w:hAnsi="Times New Roman"/>
          <w:noProof/>
        </w:rPr>
        <w:t>i)</w:t>
      </w:r>
      <w:r>
        <w:rPr>
          <w:noProof/>
        </w:rPr>
        <w:tab/>
      </w:r>
      <w:r>
        <w:rPr>
          <w:rFonts w:ascii="Times New Roman" w:hAnsi="Times New Roman"/>
          <w:noProof/>
        </w:rPr>
        <w:t>un cadre stratégique pour la réforme du secteur de la sécurité à l'échelle de l'UE, commun à la PSDC et à la politique de coopération au développement. Ce cadre commun devrait respecter les exigences réglementaires des instruments existants. Il pourr</w:t>
      </w:r>
      <w:r>
        <w:rPr>
          <w:rFonts w:ascii="Times New Roman" w:hAnsi="Times New Roman"/>
          <w:noProof/>
        </w:rPr>
        <w:t>ait s'appuyer utilement sur les enseignements tirés des programmes/missions/opérations menés en Bosnie-Herzégovine, en République démocratique du Congo et en Afghanistan en ce qui concerne la transition de la PSDC vers d’autres instruments.</w:t>
      </w:r>
    </w:p>
    <w:p w:rsidR="00F86D64" w:rsidRDefault="00C33FDE">
      <w:pPr>
        <w:jc w:val="both"/>
        <w:rPr>
          <w:rFonts w:ascii="Times New Roman" w:hAnsi="Times New Roman" w:cs="Times New Roman"/>
          <w:noProof/>
        </w:rPr>
      </w:pPr>
      <w:r>
        <w:rPr>
          <w:rFonts w:ascii="Times New Roman" w:hAnsi="Times New Roman"/>
          <w:noProof/>
        </w:rPr>
        <w:t>ii)</w:t>
      </w:r>
      <w:r>
        <w:rPr>
          <w:noProof/>
        </w:rPr>
        <w:tab/>
      </w:r>
      <w:r>
        <w:rPr>
          <w:rFonts w:ascii="Times New Roman" w:hAnsi="Times New Roman"/>
          <w:noProof/>
        </w:rPr>
        <w:t>Un cadre pa</w:t>
      </w:r>
      <w:r>
        <w:rPr>
          <w:rFonts w:ascii="Times New Roman" w:hAnsi="Times New Roman"/>
          <w:noProof/>
        </w:rPr>
        <w:t xml:space="preserve">rtagé d'évaluation, de suivi et de résultats pour les activités liées au renforcement des capacités et aux réformes dans le secteur de la sécurité, quel que soit le domaine d'action dont elles relèvent. </w:t>
      </w:r>
    </w:p>
    <w:p w:rsidR="00F86D64" w:rsidRDefault="00C33FDE">
      <w:pPr>
        <w:jc w:val="both"/>
        <w:rPr>
          <w:rFonts w:ascii="Times New Roman" w:hAnsi="Times New Roman" w:cs="Times New Roman"/>
          <w:noProof/>
        </w:rPr>
      </w:pPr>
      <w:r>
        <w:rPr>
          <w:rFonts w:ascii="Times New Roman" w:hAnsi="Times New Roman"/>
          <w:noProof/>
        </w:rPr>
        <w:t xml:space="preserve">iii) </w:t>
      </w:r>
      <w:r>
        <w:rPr>
          <w:noProof/>
        </w:rPr>
        <w:tab/>
      </w:r>
      <w:r>
        <w:rPr>
          <w:rFonts w:ascii="Times New Roman" w:hAnsi="Times New Roman"/>
          <w:noProof/>
        </w:rPr>
        <w:t>Une méthode de gestion des risques spécifiques</w:t>
      </w:r>
      <w:r>
        <w:rPr>
          <w:rFonts w:ascii="Times New Roman" w:hAnsi="Times New Roman"/>
          <w:noProof/>
        </w:rPr>
        <w:t xml:space="preserve"> au soutien apporté par l'UE à des pays ou organisations partenaires en matière de sécurité. Celle-ci pourrait, par exemple, s’appuyer sur la politique de diligence voulue en matière de droits de l’homme</w:t>
      </w:r>
      <w:r>
        <w:rPr>
          <w:rStyle w:val="FootnoteReference"/>
          <w:rFonts w:ascii="Times New Roman" w:hAnsi="Times New Roman"/>
          <w:noProof/>
        </w:rPr>
        <w:footnoteReference w:id="46"/>
      </w:r>
      <w:r>
        <w:rPr>
          <w:rFonts w:ascii="Times New Roman" w:hAnsi="Times New Roman"/>
          <w:noProof/>
        </w:rPr>
        <w:t xml:space="preserve"> des Nations unies, qui a été mise au point pour ori</w:t>
      </w:r>
      <w:r>
        <w:rPr>
          <w:rFonts w:ascii="Times New Roman" w:hAnsi="Times New Roman"/>
          <w:noProof/>
        </w:rPr>
        <w:t>enter l'action des Nations unies en faveur du secteur de la sécurité, et sur le cadre de gestion des risques mis en place pour les opérations d'appui budgétaire de l'UE</w:t>
      </w:r>
      <w:r>
        <w:rPr>
          <w:rStyle w:val="FootnoteReference"/>
          <w:rFonts w:ascii="Times New Roman" w:hAnsi="Times New Roman"/>
          <w:noProof/>
        </w:rPr>
        <w:footnoteReference w:id="47"/>
      </w:r>
      <w:r>
        <w:rPr>
          <w:rFonts w:ascii="Times New Roman" w:hAnsi="Times New Roman"/>
          <w:noProof/>
        </w:rPr>
        <w:t>.</w:t>
      </w:r>
    </w:p>
    <w:p w:rsidR="00F86D64" w:rsidRDefault="00C33FDE">
      <w:pPr>
        <w:pStyle w:val="Heading1"/>
        <w:numPr>
          <w:ilvl w:val="0"/>
          <w:numId w:val="3"/>
        </w:numPr>
        <w:spacing w:after="240"/>
        <w:jc w:val="both"/>
        <w:rPr>
          <w:rFonts w:ascii="Times New Roman" w:hAnsi="Times New Roman" w:cs="Times New Roman"/>
          <w:noProof/>
          <w:color w:val="auto"/>
          <w:sz w:val="24"/>
        </w:rPr>
      </w:pPr>
      <w:bookmarkStart w:id="8" w:name="_Toc417233538"/>
      <w:r>
        <w:rPr>
          <w:rFonts w:ascii="Times New Roman" w:hAnsi="Times New Roman"/>
          <w:noProof/>
          <w:color w:val="auto"/>
          <w:sz w:val="24"/>
        </w:rPr>
        <w:t>Aller de l'avant</w:t>
      </w:r>
      <w:bookmarkEnd w:id="8"/>
      <w:r>
        <w:rPr>
          <w:rFonts w:ascii="Times New Roman" w:hAnsi="Times New Roman"/>
          <w:noProof/>
          <w:color w:val="auto"/>
          <w:sz w:val="24"/>
        </w:rPr>
        <w:t>: un nouvel engagement à agir efficacement en faveur de la paix et de</w:t>
      </w:r>
      <w:r>
        <w:rPr>
          <w:rFonts w:ascii="Times New Roman" w:hAnsi="Times New Roman"/>
          <w:noProof/>
          <w:color w:val="auto"/>
          <w:sz w:val="24"/>
        </w:rPr>
        <w:t xml:space="preserve"> la stabilité avec nos partenaires</w:t>
      </w:r>
    </w:p>
    <w:p w:rsidR="00F86D64" w:rsidRDefault="00C33FDE">
      <w:pPr>
        <w:jc w:val="both"/>
        <w:rPr>
          <w:rFonts w:ascii="Times New Roman" w:hAnsi="Times New Roman" w:cs="Times New Roman"/>
          <w:noProof/>
        </w:rPr>
      </w:pPr>
      <w:r>
        <w:rPr>
          <w:rFonts w:ascii="Times New Roman" w:hAnsi="Times New Roman"/>
          <w:noProof/>
        </w:rPr>
        <w:t>L’UE demeure déterminée à jouer un rôle essentiel dans le maintien de la paix et de la stabilité internationales, la prévention des conflits et la mise en place des conditions d’un développement durable au niveau mondial.</w:t>
      </w:r>
      <w:r>
        <w:rPr>
          <w:rFonts w:ascii="Times New Roman" w:hAnsi="Times New Roman"/>
          <w:noProof/>
        </w:rPr>
        <w:t xml:space="preserve"> </w:t>
      </w:r>
    </w:p>
    <w:p w:rsidR="00F86D64" w:rsidRDefault="00C33FDE">
      <w:pPr>
        <w:jc w:val="both"/>
        <w:rPr>
          <w:rFonts w:ascii="Times New Roman" w:hAnsi="Times New Roman" w:cs="Times New Roman"/>
          <w:noProof/>
        </w:rPr>
      </w:pPr>
      <w:r>
        <w:rPr>
          <w:rFonts w:ascii="Times New Roman" w:hAnsi="Times New Roman"/>
          <w:noProof/>
        </w:rPr>
        <w:t>L'un des manières essentielles d'y parvenir consiste à faire en sorte que les pays partenaires et les organisations régionales soient de plus en plus à même de prévenir et de gérer les crises eux-mêmes, en bénéficiant de la part de l'UE d'une aide effica</w:t>
      </w:r>
      <w:r>
        <w:rPr>
          <w:rFonts w:ascii="Times New Roman" w:hAnsi="Times New Roman"/>
          <w:noProof/>
        </w:rPr>
        <w:t xml:space="preserve">ce au renforcement de leurs capacités en matière de sécurité. </w:t>
      </w:r>
    </w:p>
    <w:p w:rsidR="00F86D64" w:rsidRDefault="00C33FDE">
      <w:pPr>
        <w:jc w:val="both"/>
        <w:rPr>
          <w:rFonts w:ascii="Times New Roman" w:hAnsi="Times New Roman" w:cs="Times New Roman"/>
          <w:noProof/>
        </w:rPr>
      </w:pPr>
      <w:r>
        <w:rPr>
          <w:rFonts w:ascii="Times New Roman" w:hAnsi="Times New Roman"/>
          <w:noProof/>
        </w:rPr>
        <w:t xml:space="preserve">Il est temps de redoubler d’efforts en prenant appui sur l'expérience acquise jusqu'ici. Nous attendons du Conseil européen de juin 2015 un engagement politique plus marqué et des orientations </w:t>
      </w:r>
      <w:r>
        <w:rPr>
          <w:rFonts w:ascii="Times New Roman" w:hAnsi="Times New Roman"/>
          <w:noProof/>
        </w:rPr>
        <w:t>précises pour mieux aborder la question du couple sécurité-développement.</w:t>
      </w:r>
    </w:p>
    <w:p w:rsidR="00F86D64" w:rsidRDefault="00C33FDE">
      <w:pPr>
        <w:jc w:val="both"/>
        <w:rPr>
          <w:rFonts w:ascii="Times New Roman" w:hAnsi="Times New Roman" w:cs="Times New Roman"/>
          <w:noProof/>
        </w:rPr>
      </w:pPr>
      <w:r>
        <w:rPr>
          <w:rFonts w:ascii="Times New Roman" w:hAnsi="Times New Roman"/>
          <w:noProof/>
        </w:rPr>
        <w:t>La Commission européenne et la haute représentante s’engagent à mettre en œuvre les mesures présentées dans la présente communication conjointe en vue de favoriser la coordination et</w:t>
      </w:r>
      <w:r>
        <w:rPr>
          <w:rFonts w:ascii="Times New Roman" w:hAnsi="Times New Roman"/>
          <w:noProof/>
        </w:rPr>
        <w:t xml:space="preserve"> la cohérence des instruments existants. Dans le cadre d'une approche globale des conflits et crises extérieurs, ces efforts ne seront pleinement efficaces que s'ils s'accompagnent d'actions correspondantes menées avec et entre les États membres pour améli</w:t>
      </w:r>
      <w:r>
        <w:rPr>
          <w:rFonts w:ascii="Times New Roman" w:hAnsi="Times New Roman"/>
          <w:noProof/>
        </w:rPr>
        <w:t xml:space="preserve">orer leurs propres instruments aux niveaux stratégique et opérationnel. Une «unité d’action» est nécessaire pour garantir la capacité collective de l’UE à s’engager en temps utile, avec les mécanismes et les ressources appropriés à un contexte spécifique, </w:t>
      </w:r>
      <w:r>
        <w:rPr>
          <w:rFonts w:ascii="Times New Roman" w:hAnsi="Times New Roman"/>
          <w:noProof/>
        </w:rPr>
        <w:t xml:space="preserve">dans un pays partenaire ou aux côtés d'une organisation régionale. </w:t>
      </w:r>
    </w:p>
    <w:p w:rsidR="00F86D64" w:rsidRDefault="00C33FDE">
      <w:pPr>
        <w:jc w:val="both"/>
        <w:rPr>
          <w:rFonts w:ascii="Times New Roman" w:hAnsi="Times New Roman" w:cs="Times New Roman"/>
          <w:noProof/>
        </w:rPr>
      </w:pPr>
      <w:r>
        <w:rPr>
          <w:rFonts w:ascii="Times New Roman" w:hAnsi="Times New Roman"/>
          <w:noProof/>
        </w:rPr>
        <w:t>Compte tenu de l’ampleur du défi à relever, les limitations existantes ne devraient pas seulement faire l'objet d'arrangements ad hoc. La Commission européenne et la haute représentante es</w:t>
      </w:r>
      <w:r>
        <w:rPr>
          <w:rFonts w:ascii="Times New Roman" w:hAnsi="Times New Roman"/>
          <w:noProof/>
        </w:rPr>
        <w:t>timent qu'il conviendrait plutôt d'étudier la faisabilité pratique des trois mesures suivantes:</w:t>
      </w:r>
    </w:p>
    <w:p w:rsidR="00F86D64" w:rsidRDefault="00C33FDE">
      <w:pPr>
        <w:jc w:val="both"/>
        <w:rPr>
          <w:rFonts w:ascii="Times New Roman" w:hAnsi="Times New Roman" w:cs="Times New Roman"/>
          <w:noProof/>
        </w:rPr>
      </w:pPr>
      <w:r>
        <w:rPr>
          <w:rFonts w:ascii="Times New Roman" w:hAnsi="Times New Roman"/>
          <w:noProof/>
        </w:rPr>
        <w:t>i)</w:t>
      </w:r>
      <w:r>
        <w:rPr>
          <w:noProof/>
        </w:rPr>
        <w:tab/>
      </w:r>
      <w:r>
        <w:rPr>
          <w:rFonts w:ascii="Times New Roman" w:hAnsi="Times New Roman"/>
          <w:noProof/>
        </w:rPr>
        <w:t>une proposition d'adaptation de la facilité de soutien à la paix pour l'Afrique afin d'en revoir les limitations;</w:t>
      </w:r>
    </w:p>
    <w:p w:rsidR="00F86D64" w:rsidRDefault="00C33FDE">
      <w:pPr>
        <w:ind w:left="720" w:hanging="720"/>
        <w:jc w:val="both"/>
        <w:rPr>
          <w:rFonts w:ascii="Times New Roman" w:hAnsi="Times New Roman" w:cs="Times New Roman"/>
          <w:noProof/>
        </w:rPr>
      </w:pPr>
      <w:r>
        <w:rPr>
          <w:rFonts w:ascii="Times New Roman" w:hAnsi="Times New Roman"/>
          <w:noProof/>
        </w:rPr>
        <w:t>ii)</w:t>
      </w:r>
      <w:r>
        <w:rPr>
          <w:noProof/>
        </w:rPr>
        <w:tab/>
      </w:r>
      <w:r>
        <w:rPr>
          <w:rFonts w:ascii="Times New Roman" w:hAnsi="Times New Roman"/>
          <w:noProof/>
        </w:rPr>
        <w:t xml:space="preserve">la création d'un dispositif liant les </w:t>
      </w:r>
      <w:r>
        <w:rPr>
          <w:rFonts w:ascii="Times New Roman" w:hAnsi="Times New Roman"/>
          <w:noProof/>
        </w:rPr>
        <w:t>questions de paix, de sécurité et de développement dans le cadre d'un ou plusieurs instruments existants;</w:t>
      </w:r>
    </w:p>
    <w:p w:rsidR="00F86D64" w:rsidRDefault="00C33FDE">
      <w:pPr>
        <w:jc w:val="both"/>
        <w:rPr>
          <w:rFonts w:ascii="Times New Roman" w:hAnsi="Times New Roman" w:cs="Times New Roman"/>
          <w:noProof/>
        </w:rPr>
      </w:pPr>
      <w:r>
        <w:rPr>
          <w:rFonts w:ascii="Times New Roman" w:hAnsi="Times New Roman"/>
          <w:noProof/>
        </w:rPr>
        <w:t>iii)</w:t>
      </w:r>
      <w:r>
        <w:rPr>
          <w:noProof/>
        </w:rPr>
        <w:tab/>
      </w:r>
      <w:r>
        <w:rPr>
          <w:rFonts w:ascii="Times New Roman" w:hAnsi="Times New Roman"/>
          <w:noProof/>
        </w:rPr>
        <w:t xml:space="preserve">un instrument spécifique à cet effet. </w:t>
      </w:r>
    </w:p>
    <w:p w:rsidR="00F86D64" w:rsidRDefault="00C33FDE">
      <w:pPr>
        <w:jc w:val="both"/>
        <w:rPr>
          <w:rFonts w:ascii="Times New Roman" w:hAnsi="Times New Roman" w:cs="Times New Roman"/>
          <w:noProof/>
        </w:rPr>
      </w:pPr>
      <w:r>
        <w:rPr>
          <w:rFonts w:ascii="Times New Roman" w:hAnsi="Times New Roman"/>
          <w:noProof/>
        </w:rPr>
        <w:t xml:space="preserve">Toute proposition en ce sens devrait faire l'objet d'une analyse d'impact préalable qui devrait examiner, </w:t>
      </w:r>
      <w:r>
        <w:rPr>
          <w:rFonts w:ascii="Times New Roman" w:hAnsi="Times New Roman"/>
          <w:noProof/>
        </w:rPr>
        <w:t>entre autres, les conséquences politiques, en termes d'image, et budgétaires, et l'incidence sur les droits fondamentaux. L'engagement politique de la Commission de proposer une budgétisation des besoins du FED devra être pris en compte dans le contexte de</w:t>
      </w:r>
      <w:r>
        <w:rPr>
          <w:rFonts w:ascii="Times New Roman" w:hAnsi="Times New Roman"/>
          <w:noProof/>
        </w:rPr>
        <w:t xml:space="preserve"> ce débat.</w:t>
      </w:r>
    </w:p>
    <w:p w:rsidR="00F86D64" w:rsidRDefault="00C33FDE">
      <w:pPr>
        <w:jc w:val="both"/>
        <w:rPr>
          <w:rFonts w:ascii="Times New Roman" w:hAnsi="Times New Roman" w:cs="Times New Roman"/>
          <w:noProof/>
        </w:rPr>
      </w:pPr>
      <w:r>
        <w:rPr>
          <w:rFonts w:ascii="Times New Roman" w:hAnsi="Times New Roman"/>
          <w:noProof/>
        </w:rPr>
        <w:t>Les États membres sont également invités à réfléchir à un éventuel élargissement du mécanisme ATHENA afin d'y inclure le renforcement des capacités dans les pays partenaires.</w:t>
      </w:r>
    </w:p>
    <w:p w:rsidR="00F86D64" w:rsidRDefault="00C33FDE">
      <w:pPr>
        <w:jc w:val="both"/>
        <w:rPr>
          <w:rFonts w:ascii="Times New Roman" w:hAnsi="Times New Roman" w:cs="Times New Roman"/>
          <w:noProof/>
        </w:rPr>
      </w:pPr>
      <w:r>
        <w:rPr>
          <w:rFonts w:ascii="Times New Roman" w:hAnsi="Times New Roman"/>
          <w:noProof/>
        </w:rPr>
        <w:t>Il est important qu'un large éventail de parties prenantes des domaine</w:t>
      </w:r>
      <w:r>
        <w:rPr>
          <w:rFonts w:ascii="Times New Roman" w:hAnsi="Times New Roman"/>
          <w:noProof/>
        </w:rPr>
        <w:t>s de la politique étrangère, de la défense, du développement et de l’aide humanitaire soient associées au suivi de la présente communication conjointe.</w:t>
      </w:r>
    </w:p>
    <w:p w:rsidR="00F86D64" w:rsidRDefault="00C33FDE">
      <w:pPr>
        <w:jc w:val="both"/>
        <w:rPr>
          <w:rFonts w:ascii="Times New Roman" w:hAnsi="Times New Roman" w:cs="Times New Roman"/>
          <w:noProof/>
        </w:rPr>
      </w:pPr>
      <w:r>
        <w:rPr>
          <w:rFonts w:ascii="Times New Roman" w:hAnsi="Times New Roman"/>
          <w:noProof/>
        </w:rPr>
        <w:t>La Commission européenne et la haute représentante invitent le Parlement européen et le Conseil à souten</w:t>
      </w:r>
      <w:r>
        <w:rPr>
          <w:rFonts w:ascii="Times New Roman" w:hAnsi="Times New Roman"/>
          <w:noProof/>
        </w:rPr>
        <w:t xml:space="preserve">ir l’approche exposée dans la présente communication conjointe et à s'engager résolument dans la voie d'une action plus cohérente et plus efficace de l’UE pour le renforcement des capacités à l’appui de la sécurité et du développement. </w:t>
      </w:r>
    </w:p>
    <w:p w:rsidR="00F86D64" w:rsidRDefault="00F86D64">
      <w:pPr>
        <w:jc w:val="both"/>
        <w:rPr>
          <w:rFonts w:ascii="Times New Roman" w:hAnsi="Times New Roman" w:cs="Times New Roman"/>
          <w:noProof/>
        </w:rPr>
      </w:pPr>
    </w:p>
    <w:sectPr w:rsidR="00F86D64">
      <w:headerReference w:type="even" r:id="rId16"/>
      <w:headerReference w:type="default" r:id="rId17"/>
      <w:footerReference w:type="even" r:id="rId18"/>
      <w:footerReference w:type="default" r:id="rId19"/>
      <w:headerReference w:type="first" r:id="rId20"/>
      <w:footerReference w:type="first" r:id="rId21"/>
      <w:pgSz w:w="11906" w:h="16838"/>
      <w:pgMar w:top="1418" w:right="1418" w:bottom="1418" w:left="1418"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D64" w:rsidRDefault="00C33FDE">
      <w:pPr>
        <w:spacing w:after="0" w:line="240" w:lineRule="auto"/>
      </w:pPr>
      <w:r>
        <w:separator/>
      </w:r>
    </w:p>
  </w:endnote>
  <w:endnote w:type="continuationSeparator" w:id="0">
    <w:p w:rsidR="00F86D64" w:rsidRDefault="00C33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D64" w:rsidRDefault="00F86D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D64" w:rsidRDefault="00C33FDE">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D64" w:rsidRDefault="00F86D64">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D64" w:rsidRDefault="00F86D6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880798"/>
      <w:docPartObj>
        <w:docPartGallery w:val="Page Numbers (Bottom of Page)"/>
        <w:docPartUnique/>
      </w:docPartObj>
    </w:sdtPr>
    <w:sdtEndPr>
      <w:rPr>
        <w:noProof/>
      </w:rPr>
    </w:sdtEndPr>
    <w:sdtContent>
      <w:p w:rsidR="00F86D64" w:rsidRDefault="00C33FDE">
        <w:pPr>
          <w:pStyle w:val="Footer"/>
          <w:jc w:val="right"/>
        </w:pPr>
        <w:r>
          <w:fldChar w:fldCharType="begin"/>
        </w:r>
        <w:r>
          <w:instrText xml:space="preserve"> PAGE   \* MERG</w:instrText>
        </w:r>
        <w:r>
          <w:instrText xml:space="preserve">EFORMAT </w:instrText>
        </w:r>
        <w:r>
          <w:fldChar w:fldCharType="separate"/>
        </w:r>
        <w:r>
          <w:rPr>
            <w:noProof/>
          </w:rPr>
          <w:t>2</w:t>
        </w:r>
        <w:r>
          <w:rPr>
            <w:noProof/>
          </w:rPr>
          <w:fldChar w:fldCharType="end"/>
        </w:r>
      </w:p>
    </w:sdtContent>
  </w:sdt>
  <w:p w:rsidR="00F86D64" w:rsidRDefault="00F86D6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D64" w:rsidRDefault="00F86D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D64" w:rsidRDefault="00C33FDE">
      <w:pPr>
        <w:spacing w:after="0" w:line="240" w:lineRule="auto"/>
      </w:pPr>
      <w:r>
        <w:separator/>
      </w:r>
    </w:p>
  </w:footnote>
  <w:footnote w:type="continuationSeparator" w:id="0">
    <w:p w:rsidR="00F86D64" w:rsidRDefault="00C33FDE">
      <w:pPr>
        <w:spacing w:after="0" w:line="240" w:lineRule="auto"/>
      </w:pPr>
      <w:r>
        <w:continuationSeparator/>
      </w:r>
    </w:p>
  </w:footnote>
  <w:footnote w:id="1">
    <w:p w:rsidR="00F86D64" w:rsidRDefault="00C33FDE">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Banque mondiale, </w:t>
      </w:r>
      <w:r>
        <w:rPr>
          <w:rFonts w:ascii="Times New Roman" w:hAnsi="Times New Roman"/>
          <w:i/>
        </w:rPr>
        <w:t>Rapport sur le développement dans le monde, Conflits, sécurité et développement</w:t>
      </w:r>
      <w:r>
        <w:rPr>
          <w:rFonts w:ascii="Times New Roman" w:hAnsi="Times New Roman"/>
        </w:rPr>
        <w:t>, Washington D.C., 2011.</w:t>
      </w:r>
    </w:p>
  </w:footnote>
  <w:footnote w:id="2">
    <w:p w:rsidR="00F86D64" w:rsidRDefault="00C33FDE">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Communication conjointe, «L’approche globale de l’UE à l’égard des crises et conflits extérieurs» [document </w:t>
      </w:r>
      <w:r>
        <w:rPr>
          <w:rFonts w:ascii="Times New Roman" w:hAnsi="Times New Roman"/>
        </w:rPr>
        <w:t>JOIN(2013) 30 final du 11.12.2013]; conclusions du Conseil sur l’approche globale de l’UE (document 9644/14 du Conseil du 12.5.2014); document de travail conjoint des services [document SWD(2015) 85 final du 10.5.2015].</w:t>
      </w:r>
    </w:p>
  </w:footnote>
  <w:footnote w:id="3">
    <w:p w:rsidR="00F86D64" w:rsidRDefault="00C33FDE">
      <w:pPr>
        <w:pStyle w:val="FootnoteText"/>
        <w:jc w:val="both"/>
        <w:rPr>
          <w:rFonts w:ascii="Times New Roman" w:hAnsi="Times New Roman" w:cs="Times New Roman"/>
        </w:rPr>
      </w:pPr>
      <w:r>
        <w:rPr>
          <w:rStyle w:val="FootnoteReference"/>
          <w:rFonts w:ascii="Times New Roman" w:eastAsiaTheme="majorEastAsia" w:hAnsi="Times New Roman"/>
        </w:rPr>
        <w:footnoteRef/>
      </w:r>
      <w:r>
        <w:rPr>
          <w:rFonts w:ascii="Times New Roman" w:hAnsi="Times New Roman"/>
        </w:rPr>
        <w:t xml:space="preserve"> Document de consultation conjoint,</w:t>
      </w:r>
      <w:r>
        <w:rPr>
          <w:rFonts w:ascii="Times New Roman" w:hAnsi="Times New Roman"/>
        </w:rPr>
        <w:t xml:space="preserve"> «Vers une nouvelle politique européenne de voisinage» [document JOIN(2015) 6 final du 4.3.2015].</w:t>
      </w:r>
    </w:p>
  </w:footnote>
  <w:footnote w:id="4">
    <w:p w:rsidR="00F86D64" w:rsidRDefault="00C33FDE">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Conclusions du Conseil européen des 19 et 20 décembre 2013 (document EUCO 217/13 du 20.12.2013).</w:t>
      </w:r>
    </w:p>
  </w:footnote>
  <w:footnote w:id="5">
    <w:p w:rsidR="00F86D64" w:rsidRDefault="00C33FDE">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Déclaration du quatrième sommet UE-Afrique des 2 et 3 avr</w:t>
      </w:r>
      <w:r>
        <w:rPr>
          <w:rFonts w:ascii="Times New Roman" w:hAnsi="Times New Roman"/>
        </w:rPr>
        <w:t>il 2014 (document 8370/14 du Conseil du 2.4.2014, annexe 1).</w:t>
      </w:r>
    </w:p>
  </w:footnote>
  <w:footnote w:id="6">
    <w:p w:rsidR="00F86D64" w:rsidRDefault="00C33FDE">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Article 21, paragraphe 2, du traité sur l’Union européenne (traité UE).</w:t>
      </w:r>
    </w:p>
  </w:footnote>
  <w:footnote w:id="7">
    <w:p w:rsidR="00F86D64" w:rsidRDefault="00C33FDE">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Article 21, paragraphe 3, du traité UE; article 205 du traité sur le fonctionnement l’Union européenne (TFUE).</w:t>
      </w:r>
    </w:p>
  </w:footnote>
  <w:footnote w:id="8">
    <w:p w:rsidR="00F86D64" w:rsidRDefault="00C33FDE">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Articl</w:t>
      </w:r>
      <w:r>
        <w:rPr>
          <w:rFonts w:ascii="Times New Roman" w:hAnsi="Times New Roman"/>
        </w:rPr>
        <w:t>e 208 du TFUE.</w:t>
      </w:r>
    </w:p>
  </w:footnote>
  <w:footnote w:id="9">
    <w:p w:rsidR="00F86D64" w:rsidRDefault="00C33FDE">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«Accroître l’impact de la politique de développement de l’UE: un programme pour le changement» [document COM(2011) 637 final du 13.10.2011].</w:t>
      </w:r>
    </w:p>
  </w:footnote>
  <w:footnote w:id="10">
    <w:p w:rsidR="00F86D64" w:rsidRDefault="00C33FDE">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Conclusions du Conseil, «Accroître l’impact de la politique de développement de l’UE: un programme pour le changement» (document 9369/12 du Conseil du 14.5.2012).</w:t>
      </w:r>
    </w:p>
  </w:footnote>
  <w:footnote w:id="11">
    <w:p w:rsidR="00F86D64" w:rsidRDefault="00C33FDE">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Article 42 du traité UE.</w:t>
      </w:r>
    </w:p>
  </w:footnote>
  <w:footnote w:id="12">
    <w:p w:rsidR="00F86D64" w:rsidRDefault="00C33FDE">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Article 43 du traité UE.</w:t>
      </w:r>
    </w:p>
  </w:footnote>
  <w:footnote w:id="13">
    <w:p w:rsidR="00F86D64" w:rsidRDefault="00C33FDE">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Stratégie européenne de sécurité (do</w:t>
      </w:r>
      <w:r>
        <w:rPr>
          <w:rFonts w:ascii="Times New Roman" w:hAnsi="Times New Roman"/>
        </w:rPr>
        <w:t>cument 15895/03 du Conseil du 8.12.2003).</w:t>
      </w:r>
    </w:p>
  </w:footnote>
  <w:footnote w:id="14">
    <w:p w:rsidR="00F86D64" w:rsidRDefault="00C33FDE">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Sécurité et développement – Conclusions du Conseil et des représentants des gouvernements des États membres, réunis au sein du Conseil (document 15097/07 du Conseil du 20.11.2007). Rapport du Parlement européen (</w:t>
      </w:r>
      <w:r>
        <w:rPr>
          <w:rFonts w:ascii="Times New Roman" w:hAnsi="Times New Roman"/>
        </w:rPr>
        <w:t>A8-0039/2015) du 3.3.2015 sur le rapport annuel de la haute représentante de l’Union pour les affaires étrangères et la politique de sécurité au Parlement européen [2014/2219(INI)].</w:t>
      </w:r>
    </w:p>
  </w:footnote>
  <w:footnote w:id="15">
    <w:p w:rsidR="00F86D64" w:rsidRDefault="00C33FDE">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Y compris concernant les poursuites, l’assistance juridique mutuelle, l’</w:t>
      </w:r>
      <w:r>
        <w:rPr>
          <w:rFonts w:ascii="Times New Roman" w:hAnsi="Times New Roman"/>
        </w:rPr>
        <w:t>aide aux victimes et les procès équitables.</w:t>
      </w:r>
    </w:p>
  </w:footnote>
  <w:footnote w:id="16">
    <w:p w:rsidR="00F86D64" w:rsidRDefault="00C33FDE">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Y compris en matière de gestion et de gouvernance.</w:t>
      </w:r>
    </w:p>
  </w:footnote>
  <w:footnote w:id="17">
    <w:p w:rsidR="00F86D64" w:rsidRDefault="00C33FDE">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Règlement (UE) n° 230/2014 du Parlement européen et du Conseil du 11 mars 2014 instituant un instrument contribuant à la stabilité et à la paix (JO L 77 du 1</w:t>
      </w:r>
      <w:r>
        <w:rPr>
          <w:rFonts w:ascii="Times New Roman" w:hAnsi="Times New Roman"/>
        </w:rPr>
        <w:t>5.3.2014).</w:t>
      </w:r>
    </w:p>
  </w:footnote>
  <w:footnote w:id="18">
    <w:p w:rsidR="00F86D64" w:rsidRDefault="00C33FDE">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Règlement (CE) n° 1717/2006 du Parlement européen et du Conseil du 15 novembre 2006 instituant un instrument de stabilité (JO L 327 du 24.11.2006).</w:t>
      </w:r>
    </w:p>
  </w:footnote>
  <w:footnote w:id="19">
    <w:p w:rsidR="00F86D64" w:rsidRDefault="00C33FDE">
      <w:pPr>
        <w:pStyle w:val="FootnoteText"/>
        <w:jc w:val="both"/>
        <w:rPr>
          <w:rFonts w:ascii="Times New Roman" w:hAnsi="Times New Roman" w:cs="Times New Roman"/>
          <w:highlight w:val="yellow"/>
        </w:rPr>
      </w:pPr>
      <w:r>
        <w:rPr>
          <w:rStyle w:val="FootnoteReference"/>
          <w:rFonts w:ascii="Times New Roman" w:hAnsi="Times New Roman"/>
        </w:rPr>
        <w:footnoteRef/>
      </w:r>
      <w:r>
        <w:rPr>
          <w:rFonts w:ascii="Times New Roman" w:hAnsi="Times New Roman"/>
        </w:rPr>
        <w:t xml:space="preserve"> Article 15 du règlement (UE) 2015/322 du Conseil du 2 mars 2015 relatif à la mise en œuvre du</w:t>
      </w:r>
      <w:r>
        <w:rPr>
          <w:rFonts w:ascii="Times New Roman" w:hAnsi="Times New Roman"/>
        </w:rPr>
        <w:t xml:space="preserve"> 11</w:t>
      </w:r>
      <w:r>
        <w:rPr>
          <w:rFonts w:ascii="Times New Roman" w:hAnsi="Times New Roman"/>
          <w:vertAlign w:val="superscript"/>
        </w:rPr>
        <w:t>e</w:t>
      </w:r>
      <w:r>
        <w:rPr>
          <w:rFonts w:ascii="Times New Roman" w:hAnsi="Times New Roman"/>
        </w:rPr>
        <w:t xml:space="preserve"> Fonds européen de développement (JO L 58 du 3.3.2015).</w:t>
      </w:r>
    </w:p>
  </w:footnote>
  <w:footnote w:id="20">
    <w:p w:rsidR="00F86D64" w:rsidRDefault="00C33FDE">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L’article 11 de l’accord de partenariat de Cotonou, intitulé «Politiques en faveur de la paix, prévention et résolution des conflits», et les conclusions du Conseil à ce sujet constituent la bas</w:t>
      </w:r>
      <w:r>
        <w:rPr>
          <w:rFonts w:ascii="Times New Roman" w:hAnsi="Times New Roman"/>
        </w:rPr>
        <w:t>e juridique de la facilité de soutien à la paix pour l’Afrique; décision n° 3/2003 du Conseil des ministres ACP-CE du 11 décembre 2003 concernant l’utilisation des ressources de l’enveloppe du 9</w:t>
      </w:r>
      <w:r>
        <w:rPr>
          <w:rFonts w:ascii="Times New Roman" w:hAnsi="Times New Roman"/>
          <w:vertAlign w:val="superscript"/>
        </w:rPr>
        <w:t>e</w:t>
      </w:r>
      <w:r>
        <w:rPr>
          <w:rFonts w:ascii="Times New Roman" w:hAnsi="Times New Roman"/>
        </w:rPr>
        <w:t xml:space="preserve"> Fonds européen de développement consacrée au développement à</w:t>
      </w:r>
      <w:r>
        <w:rPr>
          <w:rFonts w:ascii="Times New Roman" w:hAnsi="Times New Roman"/>
        </w:rPr>
        <w:t xml:space="preserve"> long terme pour créer une facilité de soutien à la paix pour l’Afrique (JO L 345 du 31.12.2003).</w:t>
      </w:r>
    </w:p>
  </w:footnote>
  <w:footnote w:id="21">
    <w:p w:rsidR="00F86D64" w:rsidRDefault="00C33FDE">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Un appui financier a également été apporté à la mission internationale de soutien au Mali sous conduite africaine (MISMA) et à la mission internationale de </w:t>
      </w:r>
      <w:r>
        <w:rPr>
          <w:rFonts w:ascii="Times New Roman" w:hAnsi="Times New Roman"/>
        </w:rPr>
        <w:t>soutien à la République centrafricaine sous conduite africaine (MISCA).</w:t>
      </w:r>
    </w:p>
  </w:footnote>
  <w:footnote w:id="22">
    <w:p w:rsidR="00F86D64" w:rsidRDefault="00C33FDE">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Cela passe notamment par un soutien aux structures et initiatives de médiation africaines, un appui au Groupe des sages, au Conseil de paix et de sécurité, au Système continental d’a</w:t>
      </w:r>
      <w:r>
        <w:rPr>
          <w:rFonts w:ascii="Times New Roman" w:hAnsi="Times New Roman"/>
        </w:rPr>
        <w:t>lerte rapide et à la Force africaine en attente, ainsi que le renforcement des capacités de l’Union africaine et des organisations régionales africaines dans les domaines de la gestion financière des opérations de soutien de la paix, de la planification, d</w:t>
      </w:r>
      <w:r>
        <w:rPr>
          <w:rFonts w:ascii="Times New Roman" w:hAnsi="Times New Roman"/>
        </w:rPr>
        <w:t>es ressources humaines, de l’échange d’informations et de l’analyse.</w:t>
      </w:r>
    </w:p>
  </w:footnote>
  <w:footnote w:id="23">
    <w:p w:rsidR="00F86D64" w:rsidRDefault="00C33FDE">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Les processus d’analyse des lacunes et de gestion des risques sont en cours et pourraient conduire à la définition de différentes possibilités d’amélioration concrète, compte tenu du ca</w:t>
      </w:r>
      <w:r>
        <w:rPr>
          <w:rFonts w:ascii="Times New Roman" w:hAnsi="Times New Roman"/>
        </w:rPr>
        <w:t>dre juridique et institutionnel actuel.</w:t>
      </w:r>
    </w:p>
  </w:footnote>
  <w:footnote w:id="24">
    <w:p w:rsidR="00F86D64" w:rsidRDefault="00C33FDE">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Décision 2013/34/PESC du Conseil du 17 janvier 2013 relative à une mission militaire de l’Union européenne visant à contribuer à la formation des forces armées maliennes (EUTM Mali) (JO L 14 du 18.1.2013).</w:t>
      </w:r>
    </w:p>
  </w:footnote>
  <w:footnote w:id="25">
    <w:p w:rsidR="00F86D64" w:rsidRDefault="00C33FDE">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L’arti</w:t>
      </w:r>
      <w:r>
        <w:rPr>
          <w:rFonts w:ascii="Times New Roman" w:hAnsi="Times New Roman"/>
        </w:rPr>
        <w:t xml:space="preserve">cle 41 du traité UE fixe les principes régissant le financement des opérations de gestion de crises civiles et militaires de l’UE. Les opérations ayant des implications militaires ou dans le domaine de la défense ne peuvent pas être </w:t>
      </w:r>
      <w:proofErr w:type="gramStart"/>
      <w:r>
        <w:rPr>
          <w:rFonts w:ascii="Times New Roman" w:hAnsi="Times New Roman"/>
        </w:rPr>
        <w:t>financées</w:t>
      </w:r>
      <w:proofErr w:type="gramEnd"/>
      <w:r>
        <w:rPr>
          <w:rFonts w:ascii="Times New Roman" w:hAnsi="Times New Roman"/>
        </w:rPr>
        <w:t xml:space="preserve"> par le budget</w:t>
      </w:r>
      <w:r>
        <w:rPr>
          <w:rFonts w:ascii="Times New Roman" w:hAnsi="Times New Roman"/>
        </w:rPr>
        <w:t xml:space="preserve"> de l’Union. Les coûts communs de ce type d’opérations sont actuellement financés conformément à la décision (PESC) 2015/528 du Conseil du 27 mars 2015 créant un mécanisme de gestion du financement des coûts communs des opérations de l’Union européenne aya</w:t>
      </w:r>
      <w:r>
        <w:rPr>
          <w:rFonts w:ascii="Times New Roman" w:hAnsi="Times New Roman"/>
        </w:rPr>
        <w:t>nt des implications militaires ou dans le domaine de la défense (</w:t>
      </w:r>
      <w:proofErr w:type="spellStart"/>
      <w:r>
        <w:rPr>
          <w:rFonts w:ascii="Times New Roman" w:hAnsi="Times New Roman"/>
        </w:rPr>
        <w:t>Athena</w:t>
      </w:r>
      <w:proofErr w:type="spellEnd"/>
      <w:r>
        <w:rPr>
          <w:rFonts w:ascii="Times New Roman" w:hAnsi="Times New Roman"/>
        </w:rPr>
        <w:t xml:space="preserve">), et abrogeant la décision 2011/871/PESC (JO L 84 du 28.3.2015). À l’heure actuelle, tous les États membres à l’exception du Danemark contribuent à </w:t>
      </w:r>
      <w:proofErr w:type="spellStart"/>
      <w:r>
        <w:rPr>
          <w:rFonts w:ascii="Times New Roman" w:hAnsi="Times New Roman"/>
        </w:rPr>
        <w:t>Athena</w:t>
      </w:r>
      <w:proofErr w:type="spellEnd"/>
      <w:r>
        <w:rPr>
          <w:rFonts w:ascii="Times New Roman" w:hAnsi="Times New Roman"/>
        </w:rPr>
        <w:t>.</w:t>
      </w:r>
    </w:p>
  </w:footnote>
  <w:footnote w:id="26">
    <w:p w:rsidR="00F86D64" w:rsidRDefault="00C33FDE">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Décision 2010/96/PESC du C</w:t>
      </w:r>
      <w:r>
        <w:rPr>
          <w:rFonts w:ascii="Times New Roman" w:hAnsi="Times New Roman"/>
        </w:rPr>
        <w:t>onseil du 15 février 2010 relative à une mission militaire de l’Union européenne visant à contribuer à la formation des forces de sécurité somaliennes (JO L 44 du 19.2.2010). En janvier 2013, le mandat de la mission EUTM a été prolongé pour la troisième fo</w:t>
      </w:r>
      <w:r>
        <w:rPr>
          <w:rFonts w:ascii="Times New Roman" w:hAnsi="Times New Roman"/>
        </w:rPr>
        <w:t>is, jusqu’en mars 2015, et élargi aux conseils stratégiques et à l’encadrement. Depuis 2010, près de 4000 membres de l’armée somalienne ont été formés dans le cadre de cette mission. La mission compte actuellement 125 personnes (formateurs et personnel aux</w:t>
      </w:r>
      <w:r>
        <w:rPr>
          <w:rFonts w:ascii="Times New Roman" w:hAnsi="Times New Roman"/>
        </w:rPr>
        <w:t>iliaire) (mises à disposition par dix États membres et la Serbie).</w:t>
      </w:r>
    </w:p>
  </w:footnote>
  <w:footnote w:id="27">
    <w:p w:rsidR="00F86D64" w:rsidRDefault="00C33FDE">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Jusqu’en août 2011, 4 800 000 EUR ont été consacrés aux coûts communs de la mission; d’août 2011 à décembre 2012, ce budget s’est élevé à 4 800 000 EUR; pour la période allant de février </w:t>
      </w:r>
      <w:r>
        <w:rPr>
          <w:rFonts w:ascii="Times New Roman" w:hAnsi="Times New Roman"/>
        </w:rPr>
        <w:t>2013 à mars 2015, il atteindra 11 600 000 EUR. L’augmentation des coûts est due en grande partie au déménagement vers Mogadiscio, et notamment aux coûts liés à l’installation et à la protection des forces.</w:t>
      </w:r>
    </w:p>
  </w:footnote>
  <w:footnote w:id="28">
    <w:p w:rsidR="00F86D64" w:rsidRDefault="00C33FDE">
      <w:pPr>
        <w:pStyle w:val="FootnoteText"/>
      </w:pPr>
      <w:r>
        <w:rPr>
          <w:rStyle w:val="FootnoteReference"/>
        </w:rPr>
        <w:footnoteRef/>
      </w:r>
      <w:r>
        <w:t xml:space="preserve"> </w:t>
      </w:r>
      <w:r>
        <w:rPr>
          <w:rFonts w:ascii="Times New Roman" w:hAnsi="Times New Roman"/>
        </w:rPr>
        <w:t>Règlement (UE) nº 230/2014 du Parlement européen</w:t>
      </w:r>
      <w:r>
        <w:rPr>
          <w:rFonts w:ascii="Times New Roman" w:hAnsi="Times New Roman"/>
        </w:rPr>
        <w:t xml:space="preserve"> et du Conseil du 11 mars 2014 instituant un instrument contribuant à la stabilité et à la paix, JO L 77 du 15.3.2014.</w:t>
      </w:r>
    </w:p>
  </w:footnote>
  <w:footnote w:id="29">
    <w:p w:rsidR="00F86D64" w:rsidRDefault="00C33FDE">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Règlement (UE) n °231/2014 du Parlement européen et du Conseil du 11 mars 2014 instituant un instrument d'aide de préadhésion (IAP II),</w:t>
      </w:r>
      <w:r>
        <w:rPr>
          <w:rFonts w:ascii="Times New Roman" w:hAnsi="Times New Roman"/>
        </w:rPr>
        <w:t xml:space="preserve"> JO L 77 du 15.3.2014.</w:t>
      </w:r>
    </w:p>
  </w:footnote>
  <w:footnote w:id="30">
    <w:p w:rsidR="00F86D64" w:rsidRDefault="00C33FDE">
      <w:pPr>
        <w:pStyle w:val="FootnoteText"/>
        <w:rPr>
          <w:rFonts w:ascii="Times New Roman" w:hAnsi="Times New Roman" w:cs="Times New Roman"/>
        </w:rPr>
      </w:pPr>
      <w:r>
        <w:rPr>
          <w:rStyle w:val="FootnoteReference"/>
          <w:rFonts w:ascii="Times New Roman" w:hAnsi="Times New Roman"/>
        </w:rPr>
        <w:footnoteRef/>
      </w:r>
      <w:r>
        <w:rPr>
          <w:rStyle w:val="FootnoteReference"/>
          <w:rFonts w:ascii="Times New Roman" w:hAnsi="Times New Roman"/>
        </w:rPr>
        <w:t xml:space="preserve"> </w:t>
      </w:r>
      <w:r>
        <w:rPr>
          <w:rFonts w:ascii="Times New Roman" w:hAnsi="Times New Roman"/>
        </w:rPr>
        <w:t>Règlement (UE) nº 232/2014 du Parlement européen et du Conseil du 11 mars 2014 instituant un instrument européen de voisinage, JO L 77 du 15.3.2014.</w:t>
      </w:r>
    </w:p>
  </w:footnote>
  <w:footnote w:id="31">
    <w:p w:rsidR="00F86D64" w:rsidRDefault="00C33FDE">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Règlement (UE) nº 233/2014 du Parlement européen et du Conseil du 11 mars 2014 i</w:t>
      </w:r>
      <w:r>
        <w:rPr>
          <w:rFonts w:ascii="Times New Roman" w:hAnsi="Times New Roman"/>
        </w:rPr>
        <w:t>nstituant un instrument de financement de la coopération au développement pour la période 2014-2020, JO L 77 du 15.3.2014.</w:t>
      </w:r>
    </w:p>
  </w:footnote>
  <w:footnote w:id="32">
    <w:p w:rsidR="00F86D64" w:rsidRDefault="00C33FDE">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Règlement (UE) n °235/2014 du Parlement européen et du Conseil du 11 mars 2014 instituant un instrument financier pour la démocrati</w:t>
      </w:r>
      <w:r>
        <w:rPr>
          <w:rFonts w:ascii="Times New Roman" w:hAnsi="Times New Roman"/>
        </w:rPr>
        <w:t>e et les droits de l'homme dans le monde, JO L 77 du 15.3.2014.</w:t>
      </w:r>
    </w:p>
  </w:footnote>
  <w:footnote w:id="33">
    <w:p w:rsidR="00F86D64" w:rsidRDefault="00C33FDE">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Le Comité d'aide au développement (CAD) de l'Organisation de coopération et de développement économiques (OCDE) est un cadre de concertation pour une coordination de l'aide. Il a établi une définition de l’APD internationalement reconnue, qui permet aux d</w:t>
      </w:r>
      <w:r>
        <w:rPr>
          <w:rFonts w:ascii="Times New Roman" w:hAnsi="Times New Roman"/>
        </w:rPr>
        <w:t xml:space="preserve">onateurs de faire la distinction entre les opérations d'organismes publics effectuées au titre de l'APD et les autres apports publics. Des discussions sur un éventuel réexamen des définitions de l’APD sont actuellement en cours. </w:t>
      </w:r>
    </w:p>
  </w:footnote>
  <w:footnote w:id="34">
    <w:p w:rsidR="00F86D64" w:rsidRDefault="00C33FDE">
      <w:pPr>
        <w:pStyle w:val="FootnoteText"/>
      </w:pPr>
      <w:r>
        <w:rPr>
          <w:rStyle w:val="FootnoteReference"/>
        </w:rPr>
        <w:footnoteRef/>
      </w:r>
      <w:r>
        <w:t xml:space="preserve"> </w:t>
      </w:r>
      <w:r>
        <w:rPr>
          <w:rFonts w:ascii="Times New Roman" w:hAnsi="Times New Roman"/>
        </w:rPr>
        <w:t>Conclusions du Conseil e</w:t>
      </w:r>
      <w:r>
        <w:rPr>
          <w:rFonts w:ascii="Times New Roman" w:hAnsi="Times New Roman"/>
        </w:rPr>
        <w:t>uropéen des 7 et 8 février 2013 (document EUCO 37/13 du 8 février 2013).</w:t>
      </w:r>
    </w:p>
  </w:footnote>
  <w:footnote w:id="35">
    <w:p w:rsidR="00F86D64" w:rsidRDefault="00C33FDE">
      <w:pPr>
        <w:pStyle w:val="FootnoteText"/>
      </w:pPr>
      <w:r>
        <w:rPr>
          <w:rStyle w:val="FootnoteReference"/>
        </w:rPr>
        <w:footnoteRef/>
      </w:r>
      <w:r>
        <w:t xml:space="preserve"> Article 2, paragraphes 3 et 4, du règlement (UE) n° 233/2014 du Parlement européen et du Conseil.</w:t>
      </w:r>
    </w:p>
  </w:footnote>
  <w:footnote w:id="36">
    <w:p w:rsidR="00F86D64" w:rsidRDefault="00C33FDE">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 xml:space="preserve">Article 3, paragraphe 13, du règlement (UE) n° 233/2014 du Parlement européen et </w:t>
      </w:r>
      <w:r>
        <w:t>du Conseil.</w:t>
      </w:r>
    </w:p>
  </w:footnote>
  <w:footnote w:id="37">
    <w:p w:rsidR="00F86D64" w:rsidRDefault="00C33FDE">
      <w:pPr>
        <w:pStyle w:val="FootnoteText"/>
        <w:jc w:val="both"/>
      </w:pPr>
      <w:r>
        <w:rPr>
          <w:rStyle w:val="FootnoteReference"/>
        </w:rPr>
        <w:footnoteRef/>
      </w:r>
      <w:r>
        <w:t xml:space="preserve"> L'article 1</w:t>
      </w:r>
      <w:r>
        <w:rPr>
          <w:vertAlign w:val="superscript"/>
        </w:rPr>
        <w:t>er</w:t>
      </w:r>
      <w:r>
        <w:t xml:space="preserve">, paragraphe 3, du règlement (UE) n° 322/2015 dispose que la programmation doit être conçue de manière à satisfaire dans toute la mesure du possible aux critères applicables à l'APD, en tenant compte de l'objectif de l'Union </w:t>
      </w:r>
      <w:r>
        <w:t>consistant à veiller à ce que, pour la période 2014-2020, une proportion de 90 % au moins de son aide extérieure globale soit considérée comme une APD.</w:t>
      </w:r>
    </w:p>
  </w:footnote>
  <w:footnote w:id="38">
    <w:p w:rsidR="00F86D64" w:rsidRDefault="00C33FDE">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Au cours de la période 2001-2009, plus d'un milliard d’euros ont été dépensés pour appuyer des program</w:t>
      </w:r>
      <w:r>
        <w:rPr>
          <w:rFonts w:ascii="Times New Roman" w:hAnsi="Times New Roman"/>
        </w:rPr>
        <w:t>mes de réforme des secteurs de la justice et de la sécurité. En 2013, plus de la moitié du total de l'aide bilatérale au développement fournie par l'UE a été affectée à des pays fragiles et en proie à des conflits, dont la plupart sont situés sur le contin</w:t>
      </w:r>
      <w:r>
        <w:rPr>
          <w:rFonts w:ascii="Times New Roman" w:hAnsi="Times New Roman"/>
        </w:rPr>
        <w:t>ent africain.</w:t>
      </w:r>
    </w:p>
  </w:footnote>
  <w:footnote w:id="39">
    <w:p w:rsidR="00F86D64" w:rsidRDefault="00C33FDE">
      <w:pPr>
        <w:pStyle w:val="FootnoteText"/>
      </w:pPr>
      <w:r>
        <w:rPr>
          <w:rStyle w:val="FootnoteReference"/>
        </w:rPr>
        <w:footnoteRef/>
      </w:r>
      <w:r>
        <w:t xml:space="preserve"> Sur la base de l'article 308 du traité instituant la Communauté européenne (TCE), remplacé par l'article 352 TFUE à la suite de l'entrée en vigueur du traité de Lisbonne.</w:t>
      </w:r>
    </w:p>
  </w:footnote>
  <w:footnote w:id="40">
    <w:p w:rsidR="00F86D64" w:rsidRDefault="00C33FDE">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«Accord de partenariat entre les États d'Afrique, des Caraïbes et d</w:t>
      </w:r>
      <w:r>
        <w:rPr>
          <w:rFonts w:ascii="Times New Roman" w:hAnsi="Times New Roman"/>
        </w:rPr>
        <w:t>u Pacifique et la Communauté européenne et ses États membres», signé à Cotonou le 23 juin 2000.</w:t>
      </w:r>
    </w:p>
  </w:footnote>
  <w:footnote w:id="41">
    <w:p w:rsidR="00F86D64" w:rsidRDefault="00C33FDE">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Document 10342/11du Conseil du 13 mai 2011, Conclusions du Conseil sur la reconstitution des ressources de la Facilité de soutien à la paix pour l'Afrique pou</w:t>
      </w:r>
      <w:r>
        <w:rPr>
          <w:rFonts w:ascii="Times New Roman" w:hAnsi="Times New Roman"/>
        </w:rPr>
        <w:t>r la période 2011-2013; document 13935/12 du Conseil du 24 septembre 2012, Conclusions du Conseil sur la reconstitution des ressources de la Facilité de soutien à la paix pour l'Afrique pour la période 2012-2013; règlement (UE) n° 322/2015 du Conseil (l'ar</w:t>
      </w:r>
      <w:r>
        <w:rPr>
          <w:rFonts w:ascii="Times New Roman" w:hAnsi="Times New Roman"/>
        </w:rPr>
        <w:t>ticle 15 dispose qu'à la fin du premier programme d'action pluriannuel, l'Union et ses États membres feront le point sur les résultats et les procédures de la facilité de soutien à la paix pour l'Afrique et discuteront des futures formules de financement p</w:t>
      </w:r>
      <w:r>
        <w:rPr>
          <w:rFonts w:ascii="Times New Roman" w:hAnsi="Times New Roman"/>
        </w:rPr>
        <w:t>ossibles. Dans ce contexte, et afin d'asseoir la facilité de soutien à la paix pour l'Afrique sur des bases plus solides, l'Union et ses États membres tiendront des discussions pour examiner tant la question du financement des opérations de soutien à la pa</w:t>
      </w:r>
      <w:r>
        <w:rPr>
          <w:rFonts w:ascii="Times New Roman" w:hAnsi="Times New Roman"/>
        </w:rPr>
        <w:t>ix, y compris celles qui sont financées par le FED, que celle d'un soutien durable de l'Union aux opérations de soutien de la paix sous conduite africaine au-delà de 2020).</w:t>
      </w:r>
    </w:p>
  </w:footnote>
  <w:footnote w:id="42">
    <w:p w:rsidR="00F86D64" w:rsidRDefault="00C33FDE">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Document 8269/14 du Conseil du 28 mars 2014, </w:t>
      </w:r>
      <w:proofErr w:type="spellStart"/>
      <w:r>
        <w:rPr>
          <w:rFonts w:ascii="Times New Roman" w:hAnsi="Times New Roman"/>
          <w:i/>
        </w:rPr>
        <w:t>Three-year</w:t>
      </w:r>
      <w:proofErr w:type="spellEnd"/>
      <w:r>
        <w:rPr>
          <w:rFonts w:ascii="Times New Roman" w:hAnsi="Times New Roman"/>
          <w:i/>
        </w:rPr>
        <w:t xml:space="preserve"> Action Programme for the </w:t>
      </w:r>
      <w:proofErr w:type="spellStart"/>
      <w:r>
        <w:rPr>
          <w:rFonts w:ascii="Times New Roman" w:hAnsi="Times New Roman"/>
          <w:i/>
        </w:rPr>
        <w:t>African</w:t>
      </w:r>
      <w:proofErr w:type="spellEnd"/>
      <w:r>
        <w:rPr>
          <w:rFonts w:ascii="Times New Roman" w:hAnsi="Times New Roman"/>
          <w:i/>
        </w:rPr>
        <w:t xml:space="preserve"> </w:t>
      </w:r>
      <w:proofErr w:type="spellStart"/>
      <w:r>
        <w:rPr>
          <w:rFonts w:ascii="Times New Roman" w:hAnsi="Times New Roman"/>
          <w:i/>
        </w:rPr>
        <w:t>Peace</w:t>
      </w:r>
      <w:proofErr w:type="spellEnd"/>
      <w:r>
        <w:rPr>
          <w:rFonts w:ascii="Times New Roman" w:hAnsi="Times New Roman"/>
          <w:i/>
        </w:rPr>
        <w:t xml:space="preserve"> </w:t>
      </w:r>
      <w:proofErr w:type="spellStart"/>
      <w:r>
        <w:rPr>
          <w:rFonts w:ascii="Times New Roman" w:hAnsi="Times New Roman"/>
          <w:i/>
        </w:rPr>
        <w:t>Facility</w:t>
      </w:r>
      <w:proofErr w:type="spellEnd"/>
      <w:r>
        <w:rPr>
          <w:rFonts w:ascii="Times New Roman" w:hAnsi="Times New Roman"/>
          <w:i/>
        </w:rPr>
        <w:t xml:space="preserve"> 2014-2016</w:t>
      </w:r>
      <w:r>
        <w:rPr>
          <w:rFonts w:ascii="Times New Roman" w:hAnsi="Times New Roman"/>
        </w:rPr>
        <w:t xml:space="preserve"> (programme d'action triennal 2014-2016 pour la facilité de soutien à la paix en Afrique).</w:t>
      </w:r>
    </w:p>
  </w:footnote>
  <w:footnote w:id="43">
    <w:p w:rsidR="00F86D64" w:rsidRDefault="00C33FDE">
      <w:pPr>
        <w:pStyle w:val="FootnoteText"/>
        <w:jc w:val="both"/>
        <w:rPr>
          <w:rFonts w:ascii="Times New Roman" w:hAnsi="Times New Roman" w:cs="Times New Roman"/>
        </w:rPr>
      </w:pPr>
      <w:r>
        <w:rPr>
          <w:rStyle w:val="Notedebasdepage"/>
          <w:rFonts w:ascii="Times New Roman" w:hAnsi="Times New Roman"/>
          <w:color w:val="000000"/>
          <w:sz w:val="20"/>
          <w:vertAlign w:val="superscript"/>
        </w:rPr>
        <w:footnoteRef/>
      </w:r>
      <w:r>
        <w:rPr>
          <w:rStyle w:val="Notedebasdepage"/>
          <w:rFonts w:ascii="Times New Roman" w:hAnsi="Times New Roman"/>
          <w:color w:val="000000"/>
          <w:sz w:val="20"/>
        </w:rPr>
        <w:t xml:space="preserve"> </w:t>
      </w:r>
      <w:r>
        <w:rPr>
          <w:rFonts w:ascii="Times New Roman" w:hAnsi="Times New Roman"/>
        </w:rPr>
        <w:t>Voir note de bas de page n° 37.</w:t>
      </w:r>
    </w:p>
  </w:footnote>
  <w:footnote w:id="44">
    <w:p w:rsidR="00F86D64" w:rsidRDefault="00C33FDE">
      <w:pPr>
        <w:pStyle w:val="FootnoteText"/>
      </w:pPr>
      <w:r>
        <w:rPr>
          <w:rStyle w:val="FootnoteReference"/>
        </w:rPr>
        <w:footnoteRef/>
      </w:r>
      <w:r>
        <w:t xml:space="preserve"> Voir note de bas de page n° 25.</w:t>
      </w:r>
    </w:p>
  </w:footnote>
  <w:footnote w:id="45">
    <w:p w:rsidR="00F86D64" w:rsidRDefault="00C33FDE">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Compte tenu des huit domaines définis dans la communication con</w:t>
      </w:r>
      <w:r>
        <w:rPr>
          <w:rFonts w:ascii="Times New Roman" w:hAnsi="Times New Roman"/>
        </w:rPr>
        <w:t>jointe sur l'approche globale de l’UE à l'égard des crises et conflits extérieurs, de décembre 2013: i) élaborer une analyse commune; ii) définir une vision stratégique commune; iii) mettre l'accent sur la prévention; iv) mobiliser les différents atouts et</w:t>
      </w:r>
      <w:r>
        <w:rPr>
          <w:rFonts w:ascii="Times New Roman" w:hAnsi="Times New Roman"/>
        </w:rPr>
        <w:t xml:space="preserve"> capacités de l’Union; v) assurer un engagement sur le long terme; vi) création d’un lien entre les politiques et les actions intérieures et extérieures; vii) mieux exploiter les délégations de l’UE; viii) travailler en partenariat.</w:t>
      </w:r>
    </w:p>
  </w:footnote>
  <w:footnote w:id="46">
    <w:p w:rsidR="00F86D64" w:rsidRDefault="00C33FDE">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Document A/67/775–S/2</w:t>
      </w:r>
      <w:r>
        <w:rPr>
          <w:rFonts w:ascii="Times New Roman" w:hAnsi="Times New Roman"/>
        </w:rPr>
        <w:t>013/110 du 5 mars 2013, Nations unies, Assemblée générale, Conseil de sécurité.</w:t>
      </w:r>
    </w:p>
  </w:footnote>
  <w:footnote w:id="47">
    <w:p w:rsidR="00F86D64" w:rsidRDefault="00C33FDE">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cs="Times New Roman"/>
        </w:rPr>
        <w:t xml:space="preserve">Lignes directrices sur l'appui budgétaire, </w:t>
      </w:r>
      <w:proofErr w:type="spellStart"/>
      <w:r>
        <w:rPr>
          <w:rFonts w:ascii="Times New Roman" w:hAnsi="Times New Roman" w:cs="Times New Roman"/>
        </w:rPr>
        <w:t>EuropeAid</w:t>
      </w:r>
      <w:proofErr w:type="spellEnd"/>
      <w:r>
        <w:rPr>
          <w:rFonts w:ascii="Times New Roman" w:hAnsi="Times New Roman" w:cs="Times New Roman"/>
        </w:rPr>
        <w:t xml:space="preserve"> (direction générale du développement et de la coopération), Commission européenne, septembre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D64" w:rsidRDefault="00F86D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D64" w:rsidRDefault="00F86D64">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D64" w:rsidRDefault="00F86D64">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D64" w:rsidRDefault="00F86D6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D64" w:rsidRDefault="00F86D6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D64" w:rsidRDefault="00F86D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B62A2"/>
    <w:multiLevelType w:val="hybridMultilevel"/>
    <w:tmpl w:val="FB767E02"/>
    <w:lvl w:ilvl="0" w:tplc="13A26C1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75D7A5F"/>
    <w:multiLevelType w:val="hybridMultilevel"/>
    <w:tmpl w:val="AB9C16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89D7A31"/>
    <w:multiLevelType w:val="multilevel"/>
    <w:tmpl w:val="FA2291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51434805"/>
    <w:multiLevelType w:val="multilevel"/>
    <w:tmpl w:val="66F429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sl"/>
      </w:rPr>
    </w:lvl>
    <w:lvl w:ilvl="1">
      <w:start w:val="2"/>
      <w:numFmt w:val="lowerRoman"/>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sl"/>
      </w:rPr>
    </w:lvl>
    <w:lvl w:ilvl="2">
      <w:start w:val="1"/>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sl"/>
      </w:rPr>
    </w:lvl>
    <w:lvl w:ilvl="3">
      <w:start w:val="1"/>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sl"/>
      </w:rPr>
    </w:lvl>
    <w:lvl w:ilvl="4">
      <w:start w:val="1"/>
      <w:numFmt w:val="lowerLetter"/>
      <w:lvlText w:val="%5)"/>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5">
      <w:start w:val="1"/>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sl"/>
      </w:rPr>
    </w:lvl>
    <w:lvl w:ilvl="6">
      <w:numFmt w:val="decimal"/>
      <w:lvlText w:val=""/>
      <w:lvlJc w:val="left"/>
    </w:lvl>
    <w:lvl w:ilvl="7">
      <w:numFmt w:val="decimal"/>
      <w:lvlText w:val=""/>
      <w:lvlJc w:val="left"/>
    </w:lvl>
    <w:lvl w:ilvl="8">
      <w:numFmt w:val="decimal"/>
      <w:lvlText w:val=""/>
      <w:lvlJc w:val="left"/>
    </w:lvl>
  </w:abstractNum>
  <w:abstractNum w:abstractNumId="4">
    <w:nsid w:val="57BE52D0"/>
    <w:multiLevelType w:val="multilevel"/>
    <w:tmpl w:val="FA2291F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65F40E5D"/>
    <w:multiLevelType w:val="hybridMultilevel"/>
    <w:tmpl w:val="77380774"/>
    <w:lvl w:ilvl="0" w:tplc="DDF6A75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7FF4CD9"/>
    <w:multiLevelType w:val="hybridMultilevel"/>
    <w:tmpl w:val="BCD6D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Red"/>
    <w:docVar w:name="LW_CONFIDENCE" w:val=" "/>
    <w:docVar w:name="LW_CONST_RESTREINT_UE" w:val="RESTREINT UE"/>
    <w:docVar w:name="LW_CORRIGENDUM" w:val="&lt;UNUSED&gt;"/>
    <w:docVar w:name="LW_COVERPAGE_GUID" w:val="6A4E2C8464494912A958DDE0A457E95B"/>
    <w:docVar w:name="LW_CROSSREFERENCE" w:val="&lt;UNUSED&gt;"/>
    <w:docVar w:name="LW_DocType" w:val="NORMAL"/>
    <w:docVar w:name="LW_EMISSION" w:val="28.4.2015"/>
    <w:docVar w:name="LW_EMISSION_ISODATE" w:val="2015-04-28"/>
    <w:docVar w:name="LW_EMISSION_LOCATION" w:val="BRX"/>
    <w:docVar w:name="LW_EMISSION_PREFIX" w:val="Bruxelles, le "/>
    <w:docVar w:name="LW_EMISSION_SUFFIX" w:val=" "/>
    <w:docVar w:name="LW_ID_DOCTYPE_NONLW" w:val="CP-015"/>
    <w:docVar w:name="LW_LANGUE" w:val="FR"/>
    <w:docVar w:name="LW_MARKING" w:val="&lt;UNUSED&gt;"/>
    <w:docVar w:name="LW_NOM.INST" w:val="COMMISSION EUROPÉENNE"/>
    <w:docVar w:name="LW_NOM.INST_JOINTDOC" w:val="LA HAUTE REPRÉSENTANTE DE_x000b_L'UNION POUR LES AFFAIRES_x000b_ÉTRANGÈRES ET LA_x000b_POLITIQUE DE SÉCURITÉ "/>
    <w:docVar w:name="LW_PART_NBR" w:val="1"/>
    <w:docVar w:name="LW_PART_NBR_TOTAL" w:val="1"/>
    <w:docVar w:name="LW_REF.INST.NEW" w:val="JOIN"/>
    <w:docVar w:name="LW_REF.INST.NEW_ADOPTED" w:val="final"/>
    <w:docVar w:name="LW_REF.INST.NEW_TEXT" w:val="(2015) 17"/>
    <w:docVar w:name="LW_REF.INTERNE" w:val="&lt;UNUSED&gt;"/>
    <w:docVar w:name="LW_SOUS.TITRE.OBJ.CP" w:val="&lt;UNUSED&gt;"/>
    <w:docVar w:name="LW_SUPERTITRE" w:val="&lt;UNUSED&gt;"/>
    <w:docVar w:name="LW_TITRE.OBJ.CP" w:val="Renforcer les capacités pour favoriser la sécurité et le développement \u8211? _x000b_Donner à nos partenaires les moyens de prévenir et de gérer les crises"/>
    <w:docVar w:name="LW_TYPE.DOC.CP" w:val="COMMUNICATION CONJOINTE AU PARLEMENT EUROPÉEN ET AU CONSEIL"/>
    <w:docVar w:name="LW_TYPE.DOC.CP.USERTEXT" w:val="&lt;EMPTY&gt;"/>
  </w:docVars>
  <w:rsids>
    <w:rsidRoot w:val="00F86D64"/>
    <w:rsid w:val="00C33FDE"/>
    <w:rsid w:val="00F86D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semiHidden/>
    <w:pPr>
      <w:spacing w:after="0" w:line="240" w:lineRule="auto"/>
    </w:pPr>
    <w:rPr>
      <w:rFonts w:ascii="Calibri" w:eastAsia="Times New Roman" w:hAnsi="Calibri" w:cs="Calibri"/>
      <w:sz w:val="20"/>
      <w:szCs w:val="20"/>
    </w:rPr>
  </w:style>
  <w:style w:type="character" w:customStyle="1" w:styleId="FootnoteTextChar">
    <w:name w:val="Footnote Text Char"/>
    <w:basedOn w:val="DefaultParagraphFont"/>
    <w:link w:val="FootnoteText"/>
    <w:uiPriority w:val="99"/>
    <w:semiHidden/>
    <w:rPr>
      <w:rFonts w:ascii="Calibri" w:eastAsia="Times New Roman" w:hAnsi="Calibri" w:cs="Calibri"/>
      <w:sz w:val="20"/>
      <w:szCs w:val="20"/>
    </w:rPr>
  </w:style>
  <w:style w:type="character" w:styleId="FootnoteReference">
    <w:name w:val="footnote reference"/>
    <w:uiPriority w:val="99"/>
    <w:rPr>
      <w:vertAlign w:val="superscript"/>
    </w:rPr>
  </w:style>
  <w:style w:type="character" w:customStyle="1" w:styleId="Notedebasdepage">
    <w:name w:val="Note de bas de page_"/>
    <w:basedOn w:val="DefaultParagraphFont"/>
    <w:link w:val="Notedebasdepage0"/>
    <w:rPr>
      <w:sz w:val="19"/>
      <w:szCs w:val="19"/>
      <w:shd w:val="clear" w:color="auto" w:fill="FFFFFF"/>
    </w:rPr>
  </w:style>
  <w:style w:type="paragraph" w:customStyle="1" w:styleId="Notedebasdepage0">
    <w:name w:val="Note de bas de page"/>
    <w:basedOn w:val="Normal"/>
    <w:link w:val="Notedebasdepage"/>
    <w:pPr>
      <w:widowControl w:val="0"/>
      <w:shd w:val="clear" w:color="auto" w:fill="FFFFFF"/>
      <w:spacing w:after="0" w:line="230" w:lineRule="exact"/>
    </w:pPr>
    <w:rPr>
      <w:sz w:val="19"/>
      <w:szCs w:val="19"/>
    </w:rPr>
  </w:style>
  <w:style w:type="character" w:customStyle="1" w:styleId="NotedebasdepageItalique">
    <w:name w:val="Note de bas de page + Italique"/>
    <w:basedOn w:val="Notedebasdepage"/>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Sous-titreobjet">
    <w:name w:val="Sous-titre objet"/>
    <w:basedOn w:val="Normal"/>
    <w:pPr>
      <w:spacing w:after="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character" w:customStyle="1" w:styleId="Corpsdutexte">
    <w:name w:val="Corps du texte_"/>
    <w:basedOn w:val="DefaultParagraphFont"/>
    <w:rPr>
      <w:b w:val="0"/>
      <w:bCs w:val="0"/>
      <w:i w:val="0"/>
      <w:iCs w:val="0"/>
      <w:smallCaps w:val="0"/>
      <w:strike w:val="0"/>
      <w:sz w:val="23"/>
      <w:szCs w:val="23"/>
      <w:u w:val="none"/>
    </w:rPr>
  </w:style>
  <w:style w:type="character" w:customStyle="1" w:styleId="CorpsdutexteGras">
    <w:name w:val="Corps du texte + Gras"/>
    <w:basedOn w:val="Corpsdutexte"/>
    <w:rPr>
      <w:rFonts w:ascii="Times New Roman" w:eastAsia="Times New Roman" w:hAnsi="Times New Roman" w:cs="Times New Roman"/>
      <w:b/>
      <w:bCs/>
      <w:i w:val="0"/>
      <w:iCs w:val="0"/>
      <w:smallCaps w:val="0"/>
      <w:strike w:val="0"/>
      <w:color w:val="000000"/>
      <w:spacing w:val="0"/>
      <w:w w:val="100"/>
      <w:position w:val="0"/>
      <w:sz w:val="23"/>
      <w:szCs w:val="23"/>
      <w:u w:val="none"/>
      <w:lang w:val="fr-FR"/>
    </w:rPr>
  </w:style>
  <w:style w:type="character" w:customStyle="1" w:styleId="Corpsdutexte0">
    <w:name w:val="Corps du texte"/>
    <w:basedOn w:val="Corpsdutexte"/>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fr-FR"/>
    </w:rPr>
  </w:style>
  <w:style w:type="character" w:customStyle="1" w:styleId="CorpsdutexteArial">
    <w:name w:val="Corps du texte + Arial"/>
    <w:aliases w:val="8 pt,Espacement -1 pt"/>
    <w:basedOn w:val="Corpsdutexte"/>
    <w:rPr>
      <w:rFonts w:ascii="Arial" w:eastAsia="Arial" w:hAnsi="Arial" w:cs="Arial"/>
      <w:b w:val="0"/>
      <w:bCs w:val="0"/>
      <w:i w:val="0"/>
      <w:iCs w:val="0"/>
      <w:smallCaps w:val="0"/>
      <w:strike w:val="0"/>
      <w:color w:val="000000"/>
      <w:spacing w:val="-20"/>
      <w:w w:val="100"/>
      <w:position w:val="0"/>
      <w:sz w:val="16"/>
      <w:szCs w:val="16"/>
      <w:u w:val="none"/>
      <w:lang w:val="fr-FR"/>
    </w:rPr>
  </w:style>
  <w:style w:type="character" w:customStyle="1" w:styleId="CorpsdutexteItalique">
    <w:name w:val="Corps du texte + Italique"/>
    <w:basedOn w:val="Corpsdutexte"/>
    <w:rPr>
      <w:rFonts w:ascii="Times New Roman" w:eastAsia="Times New Roman" w:hAnsi="Times New Roman" w:cs="Times New Roman"/>
      <w:b w:val="0"/>
      <w:bCs w:val="0"/>
      <w:i/>
      <w:iCs/>
      <w:smallCaps w:val="0"/>
      <w:strike w:val="0"/>
      <w:color w:val="000000"/>
      <w:spacing w:val="0"/>
      <w:w w:val="100"/>
      <w:position w:val="0"/>
      <w:sz w:val="23"/>
      <w:szCs w:val="23"/>
      <w:u w:val="none"/>
      <w:lang w:val="fr-FR"/>
    </w:rPr>
  </w:style>
  <w:style w:type="character" w:customStyle="1" w:styleId="En-tte5">
    <w:name w:val="En-tête #5_"/>
    <w:basedOn w:val="DefaultParagraphFont"/>
    <w:link w:val="En-tte50"/>
    <w:rPr>
      <w:sz w:val="23"/>
      <w:szCs w:val="23"/>
      <w:shd w:val="clear" w:color="auto" w:fill="FFFFFF"/>
    </w:rPr>
  </w:style>
  <w:style w:type="paragraph" w:customStyle="1" w:styleId="En-tte50">
    <w:name w:val="En-tête #5"/>
    <w:basedOn w:val="Normal"/>
    <w:link w:val="En-tte5"/>
    <w:pPr>
      <w:widowControl w:val="0"/>
      <w:shd w:val="clear" w:color="auto" w:fill="FFFFFF"/>
      <w:spacing w:before="180" w:after="300" w:line="0" w:lineRule="atLeast"/>
      <w:ind w:hanging="380"/>
      <w:jc w:val="both"/>
      <w:outlineLvl w:val="4"/>
    </w:pPr>
    <w:rPr>
      <w:sz w:val="23"/>
      <w:szCs w:val="23"/>
    </w:rPr>
  </w:style>
  <w:style w:type="character" w:styleId="Emphasis">
    <w:name w:val="Emphasis"/>
    <w:basedOn w:val="DefaultParagraphFont"/>
    <w:uiPriority w:val="20"/>
    <w:qFormat/>
    <w:rPr>
      <w:i/>
      <w:iC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styleId="Hyperlink">
    <w:name w:val="Hyperlink"/>
    <w:basedOn w:val="DefaultParagraphFont"/>
    <w:uiPriority w:val="99"/>
    <w:unhideWhenUsed/>
    <w:rPr>
      <w:color w:val="0000FF" w:themeColor="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semiHidden/>
    <w:pPr>
      <w:spacing w:after="0" w:line="240" w:lineRule="auto"/>
    </w:pPr>
    <w:rPr>
      <w:rFonts w:ascii="Calibri" w:eastAsia="Times New Roman" w:hAnsi="Calibri" w:cs="Calibri"/>
      <w:sz w:val="20"/>
      <w:szCs w:val="20"/>
    </w:rPr>
  </w:style>
  <w:style w:type="character" w:customStyle="1" w:styleId="FootnoteTextChar">
    <w:name w:val="Footnote Text Char"/>
    <w:basedOn w:val="DefaultParagraphFont"/>
    <w:link w:val="FootnoteText"/>
    <w:uiPriority w:val="99"/>
    <w:semiHidden/>
    <w:rPr>
      <w:rFonts w:ascii="Calibri" w:eastAsia="Times New Roman" w:hAnsi="Calibri" w:cs="Calibri"/>
      <w:sz w:val="20"/>
      <w:szCs w:val="20"/>
    </w:rPr>
  </w:style>
  <w:style w:type="character" w:styleId="FootnoteReference">
    <w:name w:val="footnote reference"/>
    <w:uiPriority w:val="99"/>
    <w:rPr>
      <w:vertAlign w:val="superscript"/>
    </w:rPr>
  </w:style>
  <w:style w:type="character" w:customStyle="1" w:styleId="Notedebasdepage">
    <w:name w:val="Note de bas de page_"/>
    <w:basedOn w:val="DefaultParagraphFont"/>
    <w:link w:val="Notedebasdepage0"/>
    <w:rPr>
      <w:sz w:val="19"/>
      <w:szCs w:val="19"/>
      <w:shd w:val="clear" w:color="auto" w:fill="FFFFFF"/>
    </w:rPr>
  </w:style>
  <w:style w:type="paragraph" w:customStyle="1" w:styleId="Notedebasdepage0">
    <w:name w:val="Note de bas de page"/>
    <w:basedOn w:val="Normal"/>
    <w:link w:val="Notedebasdepage"/>
    <w:pPr>
      <w:widowControl w:val="0"/>
      <w:shd w:val="clear" w:color="auto" w:fill="FFFFFF"/>
      <w:spacing w:after="0" w:line="230" w:lineRule="exact"/>
    </w:pPr>
    <w:rPr>
      <w:sz w:val="19"/>
      <w:szCs w:val="19"/>
    </w:rPr>
  </w:style>
  <w:style w:type="character" w:customStyle="1" w:styleId="NotedebasdepageItalique">
    <w:name w:val="Note de bas de page + Italique"/>
    <w:basedOn w:val="Notedebasdepage"/>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Sous-titreobjet">
    <w:name w:val="Sous-titre objet"/>
    <w:basedOn w:val="Normal"/>
    <w:pPr>
      <w:spacing w:after="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character" w:customStyle="1" w:styleId="Corpsdutexte">
    <w:name w:val="Corps du texte_"/>
    <w:basedOn w:val="DefaultParagraphFont"/>
    <w:rPr>
      <w:b w:val="0"/>
      <w:bCs w:val="0"/>
      <w:i w:val="0"/>
      <w:iCs w:val="0"/>
      <w:smallCaps w:val="0"/>
      <w:strike w:val="0"/>
      <w:sz w:val="23"/>
      <w:szCs w:val="23"/>
      <w:u w:val="none"/>
    </w:rPr>
  </w:style>
  <w:style w:type="character" w:customStyle="1" w:styleId="CorpsdutexteGras">
    <w:name w:val="Corps du texte + Gras"/>
    <w:basedOn w:val="Corpsdutexte"/>
    <w:rPr>
      <w:rFonts w:ascii="Times New Roman" w:eastAsia="Times New Roman" w:hAnsi="Times New Roman" w:cs="Times New Roman"/>
      <w:b/>
      <w:bCs/>
      <w:i w:val="0"/>
      <w:iCs w:val="0"/>
      <w:smallCaps w:val="0"/>
      <w:strike w:val="0"/>
      <w:color w:val="000000"/>
      <w:spacing w:val="0"/>
      <w:w w:val="100"/>
      <w:position w:val="0"/>
      <w:sz w:val="23"/>
      <w:szCs w:val="23"/>
      <w:u w:val="none"/>
      <w:lang w:val="fr-FR"/>
    </w:rPr>
  </w:style>
  <w:style w:type="character" w:customStyle="1" w:styleId="Corpsdutexte0">
    <w:name w:val="Corps du texte"/>
    <w:basedOn w:val="Corpsdutexte"/>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fr-FR"/>
    </w:rPr>
  </w:style>
  <w:style w:type="character" w:customStyle="1" w:styleId="CorpsdutexteArial">
    <w:name w:val="Corps du texte + Arial"/>
    <w:aliases w:val="8 pt,Espacement -1 pt"/>
    <w:basedOn w:val="Corpsdutexte"/>
    <w:rPr>
      <w:rFonts w:ascii="Arial" w:eastAsia="Arial" w:hAnsi="Arial" w:cs="Arial"/>
      <w:b w:val="0"/>
      <w:bCs w:val="0"/>
      <w:i w:val="0"/>
      <w:iCs w:val="0"/>
      <w:smallCaps w:val="0"/>
      <w:strike w:val="0"/>
      <w:color w:val="000000"/>
      <w:spacing w:val="-20"/>
      <w:w w:val="100"/>
      <w:position w:val="0"/>
      <w:sz w:val="16"/>
      <w:szCs w:val="16"/>
      <w:u w:val="none"/>
      <w:lang w:val="fr-FR"/>
    </w:rPr>
  </w:style>
  <w:style w:type="character" w:customStyle="1" w:styleId="CorpsdutexteItalique">
    <w:name w:val="Corps du texte + Italique"/>
    <w:basedOn w:val="Corpsdutexte"/>
    <w:rPr>
      <w:rFonts w:ascii="Times New Roman" w:eastAsia="Times New Roman" w:hAnsi="Times New Roman" w:cs="Times New Roman"/>
      <w:b w:val="0"/>
      <w:bCs w:val="0"/>
      <w:i/>
      <w:iCs/>
      <w:smallCaps w:val="0"/>
      <w:strike w:val="0"/>
      <w:color w:val="000000"/>
      <w:spacing w:val="0"/>
      <w:w w:val="100"/>
      <w:position w:val="0"/>
      <w:sz w:val="23"/>
      <w:szCs w:val="23"/>
      <w:u w:val="none"/>
      <w:lang w:val="fr-FR"/>
    </w:rPr>
  </w:style>
  <w:style w:type="character" w:customStyle="1" w:styleId="En-tte5">
    <w:name w:val="En-tête #5_"/>
    <w:basedOn w:val="DefaultParagraphFont"/>
    <w:link w:val="En-tte50"/>
    <w:rPr>
      <w:sz w:val="23"/>
      <w:szCs w:val="23"/>
      <w:shd w:val="clear" w:color="auto" w:fill="FFFFFF"/>
    </w:rPr>
  </w:style>
  <w:style w:type="paragraph" w:customStyle="1" w:styleId="En-tte50">
    <w:name w:val="En-tête #5"/>
    <w:basedOn w:val="Normal"/>
    <w:link w:val="En-tte5"/>
    <w:pPr>
      <w:widowControl w:val="0"/>
      <w:shd w:val="clear" w:color="auto" w:fill="FFFFFF"/>
      <w:spacing w:before="180" w:after="300" w:line="0" w:lineRule="atLeast"/>
      <w:ind w:hanging="380"/>
      <w:jc w:val="both"/>
      <w:outlineLvl w:val="4"/>
    </w:pPr>
    <w:rPr>
      <w:sz w:val="23"/>
      <w:szCs w:val="23"/>
    </w:rPr>
  </w:style>
  <w:style w:type="character" w:styleId="Emphasis">
    <w:name w:val="Emphasis"/>
    <w:basedOn w:val="DefaultParagraphFont"/>
    <w:uiPriority w:val="20"/>
    <w:qFormat/>
    <w:rPr>
      <w:i/>
      <w:iC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styleId="Hyperlink">
    <w:name w:val="Hyperlink"/>
    <w:basedOn w:val="DefaultParagraphFont"/>
    <w:uiPriority w:val="99"/>
    <w:unhideWhenUsed/>
    <w:rPr>
      <w:color w:val="0000FF" w:themeColor="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12167">
      <w:bodyDiv w:val="1"/>
      <w:marLeft w:val="0"/>
      <w:marRight w:val="0"/>
      <w:marTop w:val="0"/>
      <w:marBottom w:val="0"/>
      <w:divBdr>
        <w:top w:val="none" w:sz="0" w:space="0" w:color="auto"/>
        <w:left w:val="none" w:sz="0" w:space="0" w:color="auto"/>
        <w:bottom w:val="none" w:sz="0" w:space="0" w:color="auto"/>
        <w:right w:val="none" w:sz="0" w:space="0" w:color="auto"/>
      </w:divBdr>
    </w:div>
    <w:div w:id="150432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6B1EF-E48A-4936-88AB-CB8938930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13</Pages>
  <Words>5203</Words>
  <Characters>28620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50</cp:revision>
  <cp:lastPrinted>2015-04-29T07:58:00Z</cp:lastPrinted>
  <dcterms:created xsi:type="dcterms:W3CDTF">2015-04-22T15:09:00Z</dcterms:created>
  <dcterms:modified xsi:type="dcterms:W3CDTF">2015-04-29T07:58:00Z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Red</vt:lpwstr>
  </property>
</Properties>
</file>