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D43" w:rsidRDefault="00AE1138" w:rsidP="00AE1138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86591202D5F64610BC41ED4895D50404" style="width:450.75pt;height:366pt">
            <v:imagedata r:id="rId11" o:title=""/>
          </v:shape>
        </w:pict>
      </w:r>
    </w:p>
    <w:p w:rsidR="009A4D43" w:rsidRDefault="009A4D43">
      <w:pPr>
        <w:rPr>
          <w:noProof/>
        </w:rPr>
        <w:sectPr w:rsidR="009A4D43" w:rsidSect="00AE113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9A4D43" w:rsidRDefault="009A4D43">
      <w:pPr>
        <w:pStyle w:val="Exposdesmotifstitre"/>
        <w:rPr>
          <w:noProof/>
        </w:rPr>
      </w:pPr>
      <w:bookmarkStart w:id="0" w:name="_GoBack"/>
      <w:bookmarkEnd w:id="0"/>
    </w:p>
    <w:p w:rsidR="009A4D43" w:rsidRDefault="009A4D43">
      <w:pPr>
        <w:rPr>
          <w:noProof/>
        </w:rPr>
      </w:pPr>
    </w:p>
    <w:p w:rsidR="009A4D43" w:rsidRDefault="00AE1138" w:rsidP="00AE1138">
      <w:pPr>
        <w:pStyle w:val="Statut"/>
        <w:rPr>
          <w:noProof/>
        </w:rPr>
      </w:pPr>
      <w:r w:rsidRPr="00AE1138">
        <w:t>Препоръка за</w:t>
      </w:r>
    </w:p>
    <w:p w:rsidR="009A4D43" w:rsidRDefault="00AE1138" w:rsidP="00AE1138">
      <w:pPr>
        <w:pStyle w:val="Typedudocument"/>
        <w:rPr>
          <w:noProof/>
        </w:rPr>
      </w:pPr>
      <w:r w:rsidRPr="00AE1138">
        <w:t>ПРЕПОРЪКА НА СЪВЕТА</w:t>
      </w:r>
    </w:p>
    <w:p w:rsidR="009A4D43" w:rsidRDefault="00AE1138" w:rsidP="00AE1138">
      <w:pPr>
        <w:pStyle w:val="Titreobjet"/>
        <w:rPr>
          <w:noProof/>
        </w:rPr>
      </w:pPr>
      <w:r w:rsidRPr="00AE1138">
        <w:t>относно Националната програма за реформи на Малта за 2015</w:t>
      </w:r>
      <w:r>
        <w:t> </w:t>
      </w:r>
      <w:r w:rsidRPr="00AE1138">
        <w:t>г.</w:t>
      </w:r>
      <w:r w:rsidRPr="00AE1138">
        <w:br/>
      </w:r>
      <w:r w:rsidRPr="00AE1138">
        <w:br/>
        <w:t>и съдържаща становище на Съвета относно Програмата за стабилност на Малта за 2015</w:t>
      </w:r>
      <w:r>
        <w:t> </w:t>
      </w:r>
      <w:r w:rsidRPr="00AE1138">
        <w:t>г.</w:t>
      </w:r>
    </w:p>
    <w:p w:rsidR="009A4D43" w:rsidRDefault="00AE1138">
      <w:pPr>
        <w:pStyle w:val="Institutionquiagit"/>
        <w:rPr>
          <w:noProof/>
        </w:rPr>
      </w:pPr>
      <w:bookmarkStart w:id="1" w:name="_CopyToNewDocument_"/>
      <w:bookmarkEnd w:id="1"/>
      <w:r>
        <w:rPr>
          <w:noProof/>
        </w:rPr>
        <w:t>СЪВЕТЪТ НА ЕВРОПЕЙСКИЯ СЪЮЗ,</w:t>
      </w:r>
    </w:p>
    <w:p w:rsidR="009A4D43" w:rsidRDefault="00AE1138"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121, параграф 2 и член 148, параграф 4 от него,</w:t>
      </w:r>
    </w:p>
    <w:p w:rsidR="009A4D43" w:rsidRDefault="00AE1138">
      <w:pPr>
        <w:rPr>
          <w:noProof/>
        </w:rPr>
      </w:pPr>
      <w:r>
        <w:rPr>
          <w:noProof/>
        </w:rPr>
        <w:t>като взе п</w:t>
      </w:r>
      <w:r>
        <w:rPr>
          <w:noProof/>
        </w:rPr>
        <w:t>редвид Регламент (ЕО) № 1466/97 на Съвета от 7 юли 1997 г. за засилване на надзора върху състоянието на бюджета и на надзора и координацията на икономическите политики</w:t>
      </w:r>
      <w:r>
        <w:rPr>
          <w:rStyle w:val="FootnoteReference"/>
          <w:noProof/>
        </w:rPr>
        <w:footnoteReference w:id="2"/>
      </w:r>
      <w:r>
        <w:rPr>
          <w:noProof/>
        </w:rPr>
        <w:t>, и по-специално член 5, параграф 2 от него,</w:t>
      </w:r>
    </w:p>
    <w:p w:rsidR="009A4D43" w:rsidRDefault="00AE1138">
      <w:pPr>
        <w:rPr>
          <w:noProof/>
        </w:rPr>
      </w:pPr>
      <w:r>
        <w:rPr>
          <w:noProof/>
        </w:rPr>
        <w:t>като взе предвид препоръката на Европейскат</w:t>
      </w:r>
      <w:r>
        <w:rPr>
          <w:noProof/>
        </w:rPr>
        <w:t>а комисия</w:t>
      </w:r>
      <w:r>
        <w:rPr>
          <w:rStyle w:val="FootnoteReference"/>
          <w:noProof/>
        </w:rPr>
        <w:footnoteReference w:id="3"/>
      </w:r>
      <w:r>
        <w:rPr>
          <w:noProof/>
        </w:rPr>
        <w:t>,</w:t>
      </w:r>
    </w:p>
    <w:p w:rsidR="009A4D43" w:rsidRDefault="00AE1138">
      <w:pPr>
        <w:rPr>
          <w:noProof/>
        </w:rPr>
      </w:pPr>
      <w:r>
        <w:rPr>
          <w:noProof/>
        </w:rPr>
        <w:t>като взе предвид резолюциите на Европейския парламент</w:t>
      </w:r>
      <w:r>
        <w:rPr>
          <w:rStyle w:val="FootnoteReference"/>
          <w:noProof/>
        </w:rPr>
        <w:footnoteReference w:id="4"/>
      </w:r>
      <w:r>
        <w:rPr>
          <w:noProof/>
        </w:rPr>
        <w:t>,</w:t>
      </w:r>
    </w:p>
    <w:p w:rsidR="009A4D43" w:rsidRDefault="00AE1138">
      <w:pPr>
        <w:outlineLvl w:val="0"/>
        <w:rPr>
          <w:noProof/>
        </w:rPr>
      </w:pPr>
      <w:r>
        <w:rPr>
          <w:noProof/>
        </w:rPr>
        <w:t>като взе предвид заключенията на Европейския съвет,</w:t>
      </w:r>
    </w:p>
    <w:p w:rsidR="009A4D43" w:rsidRDefault="00AE1138">
      <w:pPr>
        <w:rPr>
          <w:noProof/>
        </w:rPr>
      </w:pPr>
      <w:r>
        <w:rPr>
          <w:noProof/>
        </w:rPr>
        <w:t>като взе предвид становището на Комитета по заетостта,</w:t>
      </w:r>
    </w:p>
    <w:p w:rsidR="009A4D43" w:rsidRDefault="00AE1138">
      <w:pPr>
        <w:rPr>
          <w:noProof/>
        </w:rPr>
      </w:pPr>
      <w:r>
        <w:rPr>
          <w:noProof/>
        </w:rPr>
        <w:t>като взе предвид становището на Икономическия и финансов комитет,</w:t>
      </w:r>
    </w:p>
    <w:p w:rsidR="009A4D43" w:rsidRDefault="00AE1138">
      <w:pPr>
        <w:rPr>
          <w:noProof/>
        </w:rPr>
      </w:pPr>
      <w:r>
        <w:rPr>
          <w:noProof/>
        </w:rPr>
        <w:t>като взе предви</w:t>
      </w:r>
      <w:r>
        <w:rPr>
          <w:noProof/>
        </w:rPr>
        <w:t>д становището на Комитета за социална закрила,</w:t>
      </w:r>
    </w:p>
    <w:p w:rsidR="009A4D43" w:rsidRDefault="00AE1138">
      <w:pPr>
        <w:rPr>
          <w:noProof/>
        </w:rPr>
      </w:pPr>
      <w:r>
        <w:rPr>
          <w:noProof/>
        </w:rPr>
        <w:t>като взе предвид становището на Комитета за икономическа политика,</w:t>
      </w:r>
    </w:p>
    <w:p w:rsidR="009A4D43" w:rsidRDefault="00AE1138">
      <w:pPr>
        <w:rPr>
          <w:noProof/>
        </w:rPr>
      </w:pPr>
      <w:r>
        <w:rPr>
          <w:noProof/>
        </w:rPr>
        <w:t>като има предвид, че:</w:t>
      </w:r>
    </w:p>
    <w:p w:rsidR="009A4D43" w:rsidRDefault="00AE1138">
      <w:pPr>
        <w:pStyle w:val="Point0number"/>
        <w:numPr>
          <w:ilvl w:val="0"/>
          <w:numId w:val="1"/>
        </w:numPr>
        <w:rPr>
          <w:noProof/>
        </w:rPr>
      </w:pPr>
      <w:r>
        <w:rPr>
          <w:noProof/>
        </w:rPr>
        <w:t>На 26 март 2010 г. Европейският съвет постигна съгласие по предложението на Комисията да се започне изпълнението на нова</w:t>
      </w:r>
      <w:r>
        <w:rPr>
          <w:noProof/>
        </w:rPr>
        <w:t xml:space="preserve"> стратегия за растеж и работни места — стратегията „Европа 2020“ — въз основа на засилена координация на икономическите политики. Стратегията се съсредоточава върху ключовите области, в които е необходимо да се предприемат действия за повишаване на потенци</w:t>
      </w:r>
      <w:r>
        <w:rPr>
          <w:noProof/>
        </w:rPr>
        <w:t>ала на Европа за устойчив растеж и конкурентоспособност.</w:t>
      </w:r>
    </w:p>
    <w:p w:rsidR="009A4D43" w:rsidRDefault="00AE1138">
      <w:pPr>
        <w:pStyle w:val="Point0number"/>
        <w:rPr>
          <w:noProof/>
        </w:rPr>
      </w:pPr>
      <w:r>
        <w:rPr>
          <w:noProof/>
        </w:rPr>
        <w:t>На 13 юли 2010 г. въз основа на предложенията на Комисията Съветът прие препоръка относно общите насоки за икономическите политики на държавите членки и на Съюза (за периода 2010—2014 г.), а на 21 ок</w:t>
      </w:r>
      <w:r>
        <w:rPr>
          <w:noProof/>
        </w:rPr>
        <w:t xml:space="preserve">томври 2010 г. прие решение относно насоки за политиките на държавите членки по заетостта. Заедно двата акта представляват т. нар. „интегрирани насоки“ и държавите </w:t>
      </w:r>
      <w:r>
        <w:rPr>
          <w:noProof/>
        </w:rPr>
        <w:lastRenderedPageBreak/>
        <w:t>членки бяха приканени да се съобразят с тях при провеждането на националната си икономическа</w:t>
      </w:r>
      <w:r>
        <w:rPr>
          <w:noProof/>
        </w:rPr>
        <w:t xml:space="preserve"> политика и политика по заетостта.</w:t>
      </w:r>
    </w:p>
    <w:p w:rsidR="009A4D43" w:rsidRDefault="00AE1138">
      <w:pPr>
        <w:pStyle w:val="Point0number"/>
        <w:rPr>
          <w:noProof/>
        </w:rPr>
      </w:pPr>
      <w:r>
        <w:rPr>
          <w:noProof/>
        </w:rPr>
        <w:t>На 8 юли 2014 г. Съветът прие препоръка относно Националната програма за реформи на Малта за 2014 г. и даде становището си относно актуализираната Програма за стабилност на Малта за 2014 г. На 28 ноември 2014 г. в съответ</w:t>
      </w:r>
      <w:r>
        <w:rPr>
          <w:noProof/>
        </w:rPr>
        <w:t>ствие с Регламент (ЕС) № 473/2013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 Комисията представи становището си относно проекта за бюджетен план на Малта за 2015 г</w:t>
      </w:r>
      <w:r>
        <w:rPr>
          <w:rStyle w:val="FootnoteReference"/>
          <w:noProof/>
        </w:rPr>
        <w:footnoteReference w:id="6"/>
      </w:r>
      <w:r>
        <w:rPr>
          <w:noProof/>
        </w:rPr>
        <w:t>.</w:t>
      </w:r>
    </w:p>
    <w:p w:rsidR="009A4D43" w:rsidRDefault="00AE1138">
      <w:pPr>
        <w:pStyle w:val="Point0number"/>
        <w:numPr>
          <w:ilvl w:val="0"/>
          <w:numId w:val="1"/>
        </w:numPr>
        <w:rPr>
          <w:noProof/>
        </w:rPr>
      </w:pPr>
      <w:r>
        <w:rPr>
          <w:noProof/>
        </w:rPr>
        <w:t>На 28 ноември 2014 г. Комисията прие Годишния обзор на растежа</w:t>
      </w:r>
      <w:r>
        <w:rPr>
          <w:rStyle w:val="FootnoteReference"/>
          <w:noProof/>
        </w:rPr>
        <w:footnoteReference w:id="7"/>
      </w:r>
      <w:r>
        <w:rPr>
          <w:noProof/>
        </w:rPr>
        <w:t>, с което постави началото на европейския семестър за 2015 г. за коор</w:t>
      </w:r>
      <w:r>
        <w:rPr>
          <w:noProof/>
        </w:rPr>
        <w:t>динация на икономическите политики. На същия ден въз основа на Регламент (ЕС) № 1176/2011 Комисията прие Доклад за механизма за предупреждение</w:t>
      </w:r>
      <w:r>
        <w:rPr>
          <w:rStyle w:val="FootnoteReference"/>
          <w:noProof/>
        </w:rPr>
        <w:footnoteReference w:id="8"/>
      </w:r>
      <w:r>
        <w:rPr>
          <w:noProof/>
        </w:rPr>
        <w:t>, в който беше посочено, че Малта не е сред държавите членки, за които ще се извърши задълбочен преглед.</w:t>
      </w:r>
    </w:p>
    <w:p w:rsidR="009A4D43" w:rsidRDefault="00AE1138">
      <w:pPr>
        <w:pStyle w:val="Point0number"/>
        <w:numPr>
          <w:ilvl w:val="0"/>
          <w:numId w:val="1"/>
        </w:numPr>
        <w:rPr>
          <w:noProof/>
        </w:rPr>
      </w:pPr>
      <w:r>
        <w:rPr>
          <w:noProof/>
        </w:rPr>
        <w:t>На 18 де</w:t>
      </w:r>
      <w:r>
        <w:rPr>
          <w:noProof/>
        </w:rPr>
        <w:t>кември 2014 г. Европейският съвет одобри приоритетите за стимулиране на инвестициите, ускоряване на структурните реформи и продължаване на фискалната консолидация, благоприятстваща растежа.</w:t>
      </w:r>
    </w:p>
    <w:p w:rsidR="009A4D43" w:rsidRDefault="00AE1138">
      <w:pPr>
        <w:pStyle w:val="Point0number"/>
        <w:numPr>
          <w:ilvl w:val="0"/>
          <w:numId w:val="1"/>
        </w:numPr>
        <w:rPr>
          <w:noProof/>
        </w:rPr>
      </w:pPr>
      <w:r>
        <w:rPr>
          <w:noProof/>
        </w:rPr>
        <w:t xml:space="preserve">На 26 февруари 2015 г. Комисията публикува своя доклад от 2015 г. </w:t>
      </w:r>
      <w:r>
        <w:rPr>
          <w:noProof/>
        </w:rPr>
        <w:t>за Малта</w:t>
      </w:r>
      <w:r>
        <w:rPr>
          <w:rStyle w:val="FootnoteReference"/>
          <w:noProof/>
        </w:rPr>
        <w:footnoteReference w:id="9"/>
      </w:r>
      <w:r>
        <w:rPr>
          <w:noProof/>
        </w:rPr>
        <w:t xml:space="preserve">. В доклада се оценява напредъкът в изпълнението на специфичните за Малта препоръки, приети на 8 юли 2014 г. </w:t>
      </w:r>
    </w:p>
    <w:p w:rsidR="009A4D43" w:rsidRDefault="00AE1138">
      <w:pPr>
        <w:pStyle w:val="Point0number"/>
        <w:numPr>
          <w:ilvl w:val="0"/>
          <w:numId w:val="1"/>
        </w:numPr>
        <w:rPr>
          <w:noProof/>
        </w:rPr>
      </w:pPr>
      <w:r>
        <w:rPr>
          <w:noProof/>
        </w:rPr>
        <w:t>На 17 април 2015 г. Малта представи своята Национална програма за реформи за 2015 г. и своята Програма за стабилност за 2015 г. Двете про</w:t>
      </w:r>
      <w:r>
        <w:rPr>
          <w:noProof/>
        </w:rPr>
        <w:t>грами бяха оценени едновременно, за да бъдат отчетени взаимовръзките между тях.</w:t>
      </w:r>
    </w:p>
    <w:p w:rsidR="009A4D43" w:rsidRDefault="00AE1138">
      <w:pPr>
        <w:pStyle w:val="Point0number"/>
        <w:numPr>
          <w:ilvl w:val="0"/>
          <w:numId w:val="1"/>
        </w:numPr>
        <w:rPr>
          <w:noProof/>
        </w:rPr>
      </w:pPr>
      <w:r>
        <w:rPr>
          <w:noProof/>
        </w:rPr>
        <w:t>Спрямо Малта понастоящем се прилагат [предпазните] мерки на Пакта за стабилност и растеж [след като през юни 2015 г. процедурата при прекомерен дефицит бе прекратена]. В своята</w:t>
      </w:r>
      <w:r>
        <w:rPr>
          <w:noProof/>
        </w:rPr>
        <w:t xml:space="preserve"> Програма за стабилност за 2015 г. правителството планира номиналният дефицит да бъде постепенно намален до 1,6 % от БВП през 2015 г. и до 0,2 % от БВП през 2018 г. Въз основа на прогнозата на Комисията от пролетта на 2015 г. може да се приеме, че през 201</w:t>
      </w:r>
      <w:r>
        <w:rPr>
          <w:noProof/>
        </w:rPr>
        <w:t>4 г. прекомерният дефицит е бил коригиран. Според Програмата за стабилност правителството планира да постигне до 2019 г. средносрочната цел — балансирана бюджетна позиция в структурно изражение, т.е. една година след програмния период. Според Програмата за</w:t>
      </w:r>
      <w:r>
        <w:rPr>
          <w:noProof/>
        </w:rPr>
        <w:t xml:space="preserve"> стабилност съотношението дълг/БВП се очаква постепенно да намалее до 61,2 % през 2018 г. Макроикономическият сценарий, на който се основават бюджетните прогнози, е реалистичен. Изглежда има риск от известно отклонение от изискваната корекция от 0,6 % от Б</w:t>
      </w:r>
      <w:r>
        <w:rPr>
          <w:noProof/>
        </w:rPr>
        <w:t>ВП за постигането на средносрочната цел през 2015 г. и през 2016 г. Подобрението в структурното салдо през 2015 г. се очаква да бъде с 0,1 % от БВП под изискваното. Въпреки че предвидената за 2016 г. корекция е в съответствие с изискването, съществува риск</w:t>
      </w:r>
      <w:r>
        <w:rPr>
          <w:noProof/>
        </w:rPr>
        <w:t xml:space="preserve"> от известно отклонение през 2015 г. и 2016 г., разглеждани заедно. Мерките в помощ на планираните цели за дефицита от 2016 г. нататък все още не са достатъчно конкретни. Поради това ще са необходими допълнителни мерки през 2015 г. и 2016 г. Въз основа на </w:t>
      </w:r>
      <w:r>
        <w:rPr>
          <w:noProof/>
        </w:rPr>
        <w:lastRenderedPageBreak/>
        <w:t>своята оценка на Програмата за стабилност и предвид на прогнозата на Комисията от пролетта на 2015 г. Съветът е на мнение, че Малта спазва до голяма степен разпоредбите на Пакта за стабилност и растеж.</w:t>
      </w:r>
    </w:p>
    <w:p w:rsidR="009A4D43" w:rsidRDefault="00AE1138">
      <w:pPr>
        <w:pStyle w:val="Point0number"/>
        <w:rPr>
          <w:noProof/>
        </w:rPr>
      </w:pPr>
      <w:r>
        <w:rPr>
          <w:noProof/>
        </w:rPr>
        <w:t>В дългосрочен план устойчивостта на публичните финанси</w:t>
      </w:r>
      <w:r>
        <w:rPr>
          <w:noProof/>
        </w:rPr>
        <w:t xml:space="preserve"> на Малта е изложена на риск, по-специално с оглед на очакваното увеличение на разходите, свързани със застаряването на населението. Законодателните промени в пенсионната система, увеличаващи законоустановената пенсионна възраст, се въвеждат с много бавно </w:t>
      </w:r>
      <w:r>
        <w:rPr>
          <w:noProof/>
        </w:rPr>
        <w:t>темпо и няма конкретна връзка между законоустановената пенсионна възраст и продължителността на живота. Малта се справи с предизвикателствата на своята пенсионна система чрез мерки за пазара на труда, като въведе трети стълб в пенсионното осигуряване и обя</w:t>
      </w:r>
      <w:r>
        <w:rPr>
          <w:noProof/>
        </w:rPr>
        <w:t>ви допълнителни политически мерки в своята национална програма за реформи, но мерките, предназначени за значителното подобрение на устойчивостта и адекватността на системата, все още не са обявени и изпълнени. Изпълнението на националната стратегия за 2014</w:t>
      </w:r>
      <w:r>
        <w:rPr>
          <w:noProof/>
        </w:rPr>
        <w:t> г. за здравеопазването започна, целейки максимално увеличение на ефективността на здравеопазването, като същевременно запазва неговата финансова устойчивост. Този процес трябва да се следи.</w:t>
      </w:r>
    </w:p>
    <w:p w:rsidR="009A4D43" w:rsidRDefault="00AE1138">
      <w:pPr>
        <w:pStyle w:val="Point0number"/>
        <w:rPr>
          <w:noProof/>
        </w:rPr>
      </w:pPr>
      <w:r>
        <w:rPr>
          <w:noProof/>
        </w:rPr>
        <w:t>Малта въведе мерки, които да помогнат на нейното население да пос</w:t>
      </w:r>
      <w:r>
        <w:rPr>
          <w:noProof/>
        </w:rPr>
        <w:t>тигне баланс между професионален и семеен живот, по-специално чрез фискални стимули, като продължи да осигурява безплатни центрове за детски грижи и да въвежда гъвкаво работно време. В същото време нарасналото търсене на неофициални структури за дългосрочн</w:t>
      </w:r>
      <w:r>
        <w:rPr>
          <w:noProof/>
        </w:rPr>
        <w:t>и грижи и липсата на подходящи умения вероятно пречат на по-възрастните жени да търсят работа на пазара на труда. През юни 2014 г. беше публикувана националната стратегия за грамотност и преждевременното напускане на училище. Продължава работата по хармони</w:t>
      </w:r>
      <w:r>
        <w:rPr>
          <w:noProof/>
        </w:rPr>
        <w:t>зирането на образователните резултати с нуждите на пазара, въпреки че все още не са видни осезаеми резултати.</w:t>
      </w:r>
    </w:p>
    <w:p w:rsidR="009A4D43" w:rsidRDefault="00AE1138">
      <w:pPr>
        <w:pStyle w:val="Point0number"/>
        <w:rPr>
          <w:noProof/>
        </w:rPr>
      </w:pPr>
      <w:r>
        <w:rPr>
          <w:noProof/>
        </w:rPr>
        <w:t>Бяха положени усилия за осигуряването на рамка за използването на фондовете за рисков капитал и за улесняването на достъпа до капиталовите пазари,</w:t>
      </w:r>
      <w:r>
        <w:rPr>
          <w:noProof/>
        </w:rPr>
        <w:t xml:space="preserve"> а именно чрез преразглеждане на схемата за създаване на предприятия „Malta Enterprise“ и обявената програма за първоначален капитал. Продължава работата по създаването на банка за развитие. Този процес трябва да се следи. </w:t>
      </w:r>
    </w:p>
    <w:p w:rsidR="009A4D43" w:rsidRDefault="00AE1138">
      <w:pPr>
        <w:pStyle w:val="Point0number"/>
        <w:rPr>
          <w:noProof/>
        </w:rPr>
      </w:pPr>
      <w:r>
        <w:rPr>
          <w:noProof/>
        </w:rPr>
        <w:t xml:space="preserve">Стъпка в правилната посока са </w:t>
      </w:r>
      <w:r>
        <w:rPr>
          <w:noProof/>
        </w:rPr>
        <w:t>усилията на Малта в борбата с укриването на данъци и насърчаването на спазването на данъчното законодателство чрез въвеждането на гъвкава рамка за събиране на приходите. Въпреки продължаващата работа съществува необходимост от конкретни мерки, за да се уск</w:t>
      </w:r>
      <w:r>
        <w:rPr>
          <w:noProof/>
        </w:rPr>
        <w:t>ори въвеждането на електронните плащания.</w:t>
      </w:r>
    </w:p>
    <w:p w:rsidR="009A4D43" w:rsidRDefault="00AE1138">
      <w:pPr>
        <w:pStyle w:val="Point0number"/>
        <w:rPr>
          <w:noProof/>
        </w:rPr>
      </w:pPr>
      <w:r>
        <w:rPr>
          <w:noProof/>
        </w:rPr>
        <w:t>Продължителността на процедурите за обществени поръчки бе съкратена значително чрез въвеждането на задължителни електронни обществени поръчки и чрез укрепването на съответните административни служби. Тя ще бъде сък</w:t>
      </w:r>
      <w:r>
        <w:rPr>
          <w:noProof/>
        </w:rPr>
        <w:t>ратена допълнително чрез изпълнението на обявените мерки, а именно чрез наемането на допълнителен персонал и въвеждането на система за проследяване. Транспортните разходи играят значителна роля в икономиката на Малта. Наскоро започна реформа на транспорта,</w:t>
      </w:r>
      <w:r>
        <w:rPr>
          <w:noProof/>
        </w:rPr>
        <w:t xml:space="preserve"> но все още е необходимо правителството да представи цялостна стратегия в тази област.</w:t>
      </w:r>
    </w:p>
    <w:p w:rsidR="009A4D43" w:rsidRDefault="00AE1138">
      <w:pPr>
        <w:pStyle w:val="Point0number"/>
        <w:rPr>
          <w:noProof/>
        </w:rPr>
      </w:pPr>
      <w:r>
        <w:rPr>
          <w:noProof/>
        </w:rPr>
        <w:t>В Националната програма за реформи се уточняват мерки за реформа на съдебната система, които надхвърлят мерките от доклада за страната. В резултат на това Малта постигна</w:t>
      </w:r>
      <w:r>
        <w:rPr>
          <w:noProof/>
        </w:rPr>
        <w:t xml:space="preserve"> известен напредък в изпълнението на специфичните за държавата препоръки от 2014 г. за повишаване на ефективността на съдебната система. В процес на финализиране е също проектозакон. Когато той влезе в сила и започне да се прилага, се очаква ефективността </w:t>
      </w:r>
      <w:r>
        <w:rPr>
          <w:noProof/>
        </w:rPr>
        <w:t>на съдебната система да нарасне още, по-специално чрез цифровизацията на съдебните производства и насърчаването на алтернативни механизми за разрешаване на спорове.</w:t>
      </w:r>
    </w:p>
    <w:p w:rsidR="009A4D43" w:rsidRDefault="00AE1138">
      <w:pPr>
        <w:pStyle w:val="Point0number"/>
        <w:rPr>
          <w:noProof/>
        </w:rPr>
      </w:pPr>
      <w:r>
        <w:rPr>
          <w:noProof/>
        </w:rPr>
        <w:t>В рамките на европейския семестър Комисията направи цялостен анализ на икономическата полит</w:t>
      </w:r>
      <w:r>
        <w:rPr>
          <w:noProof/>
        </w:rPr>
        <w:t>ика на Малта и го публикува в доклада за страната от 2015 г. Тя оцени също Програмата за стабилност и Националната програма за реформи, както и предприетите последващи действия във връзка с препоръките към Малта, отправени през предходните години. Комисият</w:t>
      </w:r>
      <w:r>
        <w:rPr>
          <w:noProof/>
        </w:rPr>
        <w:t>а взе предвид не само тяхното значение за провеждането на устойчива фискална и социално-икономическа политика в Малта, но и тяхното съответствие с правилата и насоките на ЕС предвид на необходимостта от засилване на цялостното икономическо управление на Ев</w:t>
      </w:r>
      <w:r>
        <w:rPr>
          <w:noProof/>
        </w:rPr>
        <w:t xml:space="preserve">ропейския съюз чрез принос на равнище ЕС към бъдещите решения на държавите членки. Препоръките </w:t>
      </w:r>
      <w:bookmarkStart w:id="2" w:name="temp"/>
      <w:bookmarkEnd w:id="2"/>
      <w:r>
        <w:rPr>
          <w:noProof/>
        </w:rPr>
        <w:t>в рамките на европейския семестър са изразени в препоръки 1— 4 по-долу.</w:t>
      </w:r>
    </w:p>
    <w:p w:rsidR="009A4D43" w:rsidRDefault="00AE1138">
      <w:pPr>
        <w:pStyle w:val="Point0number"/>
        <w:rPr>
          <w:noProof/>
        </w:rPr>
      </w:pPr>
      <w:r>
        <w:rPr>
          <w:noProof/>
        </w:rPr>
        <w:t>С оглед на тази оценка Съветът разгледа Програмата за стабилност на Малта, като становище</w:t>
      </w:r>
      <w:r>
        <w:rPr>
          <w:noProof/>
        </w:rPr>
        <w:t>то</w:t>
      </w:r>
      <w:r>
        <w:rPr>
          <w:rStyle w:val="FootnoteReference"/>
          <w:noProof/>
        </w:rPr>
        <w:footnoteReference w:id="10"/>
      </w:r>
      <w:r>
        <w:rPr>
          <w:noProof/>
        </w:rPr>
        <w:t xml:space="preserve"> му е изразено по-специално в препоръка 1 по-долу.</w:t>
      </w:r>
    </w:p>
    <w:p w:rsidR="009A4D43" w:rsidRDefault="00AE1138">
      <w:pPr>
        <w:pStyle w:val="Point0number"/>
        <w:rPr>
          <w:noProof/>
        </w:rPr>
      </w:pPr>
      <w:r>
        <w:rPr>
          <w:noProof/>
        </w:rPr>
        <w:t>В рамките на европейския семестър Комисията извърши анализ и на икономическата политика на еврозоната като цяло. Въз основа на този анализ Съветът отправи специфични препоръки към държавите членки, чият</w:t>
      </w:r>
      <w:r>
        <w:rPr>
          <w:noProof/>
        </w:rPr>
        <w:t>о парична единица е еврото. Малта следва също така да гарантира цялостното и навременно изпълнение на тези препоръки.</w:t>
      </w:r>
    </w:p>
    <w:p w:rsidR="009A4D43" w:rsidRDefault="00AE1138">
      <w:pPr>
        <w:pStyle w:val="Formuledadoption"/>
        <w:rPr>
          <w:noProof/>
        </w:rPr>
      </w:pPr>
      <w:r>
        <w:rPr>
          <w:noProof/>
        </w:rPr>
        <w:t>ПРЕПОРЪЧВА на Малта да предприеме следните действия през периода 2015—2016 г.:</w:t>
      </w:r>
    </w:p>
    <w:p w:rsidR="009A4D43" w:rsidRDefault="00AE1138">
      <w:pPr>
        <w:pStyle w:val="ManualNumPar1"/>
        <w:rPr>
          <w:noProof/>
        </w:rPr>
      </w:pPr>
      <w:r>
        <w:t>1.</w:t>
      </w:r>
      <w:r>
        <w:tab/>
      </w:r>
      <w:r>
        <w:rPr>
          <w:noProof/>
        </w:rPr>
        <w:t>След като коригира прекомерния дефицит, да постигне фиск</w:t>
      </w:r>
      <w:r>
        <w:rPr>
          <w:noProof/>
        </w:rPr>
        <w:t>ална корекция от 0,6 % от БВП за постигането на средносрочната цел през 2015 г. и 2016 г.</w:t>
      </w:r>
    </w:p>
    <w:p w:rsidR="009A4D43" w:rsidRDefault="00AE1138">
      <w:pPr>
        <w:pStyle w:val="ManualNumPar1"/>
        <w:rPr>
          <w:noProof/>
        </w:rPr>
      </w:pPr>
      <w:r>
        <w:t>2.</w:t>
      </w:r>
      <w:r>
        <w:tab/>
      </w:r>
      <w:r>
        <w:rPr>
          <w:noProof/>
        </w:rPr>
        <w:t>Да предприеме мерки за подобряване на основните умения и по-нататъшното намаляване на преждевременното напускане на училище, като насърчава непрекъснатото професио</w:t>
      </w:r>
      <w:r>
        <w:rPr>
          <w:noProof/>
        </w:rPr>
        <w:t>нално развитие на преподавателите.</w:t>
      </w:r>
    </w:p>
    <w:p w:rsidR="009A4D43" w:rsidRDefault="00AE1138">
      <w:pPr>
        <w:pStyle w:val="ManualNumPar1"/>
        <w:rPr>
          <w:noProof/>
        </w:rPr>
      </w:pPr>
      <w:r>
        <w:t>3.</w:t>
      </w:r>
      <w:r>
        <w:tab/>
      </w:r>
      <w:r>
        <w:rPr>
          <w:noProof/>
        </w:rPr>
        <w:t>Да ускори увеличаването на законоустановената пенсионна възраст и връзката ѝ с очакваната продължителност на живота.</w:t>
      </w:r>
    </w:p>
    <w:p w:rsidR="009A4D43" w:rsidRDefault="00AE1138">
      <w:pPr>
        <w:pStyle w:val="ManualNumPar1"/>
        <w:keepNext/>
        <w:keepLines/>
        <w:rPr>
          <w:noProof/>
        </w:rPr>
      </w:pPr>
      <w:r>
        <w:t>4.</w:t>
      </w:r>
      <w:r>
        <w:tab/>
      </w:r>
      <w:r>
        <w:rPr>
          <w:noProof/>
        </w:rPr>
        <w:t>Да подобри достъпа на малките и средните предприятия до финансиране, по-специално чрез небанкови и</w:t>
      </w:r>
      <w:r>
        <w:rPr>
          <w:noProof/>
        </w:rPr>
        <w:t>нструменти.</w:t>
      </w:r>
    </w:p>
    <w:p w:rsidR="009A4D43" w:rsidRDefault="00AE1138" w:rsidP="00AE1138">
      <w:pPr>
        <w:pStyle w:val="Fait"/>
        <w:rPr>
          <w:noProof/>
        </w:rPr>
      </w:pPr>
      <w:r w:rsidRPr="00AE1138">
        <w:t xml:space="preserve">Съставено в Брюксел на </w:t>
      </w:r>
      <w:r w:rsidRPr="00AE1138">
        <w:rPr>
          <w:rStyle w:val="Marker2"/>
        </w:rPr>
        <w:t>[…]</w:t>
      </w:r>
      <w:r w:rsidRPr="00AE1138">
        <w:t xml:space="preserve"> година.</w:t>
      </w:r>
    </w:p>
    <w:p w:rsidR="009A4D43" w:rsidRDefault="00AE1138"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 w:rsidR="009A4D43" w:rsidRDefault="00AE1138"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 w:rsidR="009A4D43" w:rsidSect="00AE1138">
      <w:footerReference w:type="default" r:id="rId18"/>
      <w:footerReference w:type="first" r:id="rId19"/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D43" w:rsidRDefault="00AE1138">
      <w:pPr>
        <w:spacing w:before="0" w:after="0"/>
      </w:pPr>
      <w:r>
        <w:separator/>
      </w:r>
    </w:p>
  </w:endnote>
  <w:endnote w:type="continuationSeparator" w:id="0">
    <w:p w:rsidR="009A4D43" w:rsidRDefault="00AE1138">
      <w:pPr>
        <w:spacing w:before="0" w:after="0"/>
      </w:pPr>
      <w:r>
        <w:continuationSeparator/>
      </w:r>
    </w:p>
  </w:endnote>
  <w:endnote w:type="continuationNotice" w:id="1">
    <w:p w:rsidR="009A4D43" w:rsidRDefault="009A4D4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138" w:rsidRPr="00AE1138" w:rsidRDefault="00AE1138" w:rsidP="00AE11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D43" w:rsidRPr="00AE1138" w:rsidRDefault="00AE1138" w:rsidP="00AE1138">
    <w:pPr>
      <w:pStyle w:val="Footer"/>
      <w:rPr>
        <w:rFonts w:ascii="Arial" w:hAnsi="Arial" w:cs="Arial"/>
        <w:b/>
        <w:sz w:val="48"/>
      </w:rPr>
    </w:pPr>
    <w:r w:rsidRPr="00AE1138">
      <w:rPr>
        <w:rFonts w:ascii="Arial" w:hAnsi="Arial" w:cs="Arial"/>
        <w:b/>
        <w:sz w:val="48"/>
      </w:rPr>
      <w:t>BG</w:t>
    </w:r>
    <w:r w:rsidRPr="00AE1138">
      <w:rPr>
        <w:rFonts w:ascii="Arial" w:hAnsi="Arial" w:cs="Arial"/>
        <w:b/>
        <w:sz w:val="48"/>
      </w:rPr>
      <w:tab/>
    </w:r>
    <w:r w:rsidRPr="00AE1138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AE1138">
      <w:tab/>
    </w:r>
    <w:proofErr w:type="spellStart"/>
    <w:r w:rsidRPr="00AE1138">
      <w:rPr>
        <w:rFonts w:ascii="Arial" w:hAnsi="Arial" w:cs="Arial"/>
        <w:b/>
        <w:sz w:val="48"/>
      </w:rPr>
      <w:t>BG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138" w:rsidRPr="00AE1138" w:rsidRDefault="00AE1138" w:rsidP="00AE113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138" w:rsidRPr="00AE1138" w:rsidRDefault="00AE1138" w:rsidP="00AE1138">
    <w:pPr>
      <w:pStyle w:val="Footer"/>
      <w:rPr>
        <w:rFonts w:ascii="Arial" w:hAnsi="Arial" w:cs="Arial"/>
        <w:b/>
        <w:sz w:val="48"/>
      </w:rPr>
    </w:pPr>
    <w:r w:rsidRPr="00AE1138">
      <w:rPr>
        <w:rFonts w:ascii="Arial" w:hAnsi="Arial" w:cs="Arial"/>
        <w:b/>
        <w:sz w:val="48"/>
      </w:rPr>
      <w:t>BG</w:t>
    </w:r>
    <w:r w:rsidRPr="00AE1138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fldSimple w:instr=" DOCVARIABLE &quot;LW_Confidence&quot; \* MERGEFORMAT ">
      <w:r>
        <w:t xml:space="preserve"> </w:t>
      </w:r>
    </w:fldSimple>
    <w:r w:rsidRPr="00AE1138">
      <w:tab/>
    </w:r>
    <w:r w:rsidRPr="00AE1138"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138" w:rsidRPr="00AE1138" w:rsidRDefault="00AE1138" w:rsidP="00AE11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D43" w:rsidRDefault="00AE1138">
      <w:pPr>
        <w:spacing w:before="0" w:after="0"/>
      </w:pPr>
      <w:r>
        <w:separator/>
      </w:r>
    </w:p>
  </w:footnote>
  <w:footnote w:type="continuationSeparator" w:id="0">
    <w:p w:rsidR="009A4D43" w:rsidRDefault="00AE1138">
      <w:pPr>
        <w:spacing w:before="0" w:after="0"/>
      </w:pPr>
      <w:r>
        <w:continuationSeparator/>
      </w:r>
    </w:p>
  </w:footnote>
  <w:footnote w:type="continuationNotice" w:id="1">
    <w:p w:rsidR="009A4D43" w:rsidRDefault="009A4D43">
      <w:pPr>
        <w:spacing w:before="0" w:after="0"/>
      </w:pPr>
    </w:p>
  </w:footnote>
  <w:footnote w:id="2">
    <w:p w:rsidR="009A4D43" w:rsidRDefault="00AE1138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rPr>
          <w:lang w:val="pt-PT"/>
        </w:rPr>
        <w:tab/>
      </w:r>
      <w:r>
        <w:t>ОВ</w:t>
      </w:r>
      <w:r>
        <w:rPr>
          <w:lang w:val="pt-PT"/>
        </w:rPr>
        <w:t xml:space="preserve"> L 209, 2.8.1997 </w:t>
      </w:r>
      <w:r>
        <w:t>г</w:t>
      </w:r>
      <w:r>
        <w:rPr>
          <w:lang w:val="pt-PT"/>
        </w:rPr>
        <w:t xml:space="preserve">., </w:t>
      </w:r>
      <w:proofErr w:type="spellStart"/>
      <w:r>
        <w:t>стр</w:t>
      </w:r>
      <w:proofErr w:type="spellEnd"/>
      <w:r>
        <w:rPr>
          <w:lang w:val="pt-PT"/>
        </w:rPr>
        <w:t>. 1.</w:t>
      </w:r>
    </w:p>
  </w:footnote>
  <w:footnote w:id="3">
    <w:p w:rsidR="009A4D43" w:rsidRDefault="00AE1138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rPr>
          <w:lang w:val="pt-PT"/>
        </w:rPr>
        <w:tab/>
      </w:r>
      <w:proofErr w:type="gramStart"/>
      <w:r>
        <w:rPr>
          <w:lang w:val="pt-PT"/>
        </w:rPr>
        <w:t>COM(2015</w:t>
      </w:r>
      <w:proofErr w:type="gramEnd"/>
      <w:r>
        <w:rPr>
          <w:lang w:val="pt-PT"/>
        </w:rPr>
        <w:t>) 267.</w:t>
      </w:r>
    </w:p>
  </w:footnote>
  <w:footnote w:id="4">
    <w:p w:rsidR="009A4D43" w:rsidRDefault="00AE1138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rPr>
          <w:lang w:val="pt-PT"/>
        </w:rPr>
        <w:tab/>
      </w:r>
      <w:proofErr w:type="gramStart"/>
      <w:r>
        <w:rPr>
          <w:lang w:val="pt-PT"/>
        </w:rPr>
        <w:t>P8_TA(2015</w:t>
      </w:r>
      <w:proofErr w:type="gramEnd"/>
      <w:r>
        <w:rPr>
          <w:lang w:val="pt-PT"/>
        </w:rPr>
        <w:t xml:space="preserve">)0067, P8_TA(2015)0068, </w:t>
      </w:r>
      <w:r>
        <w:rPr>
          <w:lang w:val="pt-PT"/>
        </w:rPr>
        <w:t>P8_TA(2015)0069.</w:t>
      </w:r>
    </w:p>
  </w:footnote>
  <w:footnote w:id="5">
    <w:p w:rsidR="009A4D43" w:rsidRDefault="00AE1138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rPr>
          <w:lang w:val="pt-PT"/>
        </w:rPr>
        <w:tab/>
      </w:r>
      <w:r>
        <w:t>ОВ</w:t>
      </w:r>
      <w:r>
        <w:rPr>
          <w:lang w:val="pt-PT"/>
        </w:rPr>
        <w:t xml:space="preserve"> L 140, 27.5.2013 </w:t>
      </w:r>
      <w:r>
        <w:t>г</w:t>
      </w:r>
      <w:r>
        <w:rPr>
          <w:lang w:val="pt-PT"/>
        </w:rPr>
        <w:t xml:space="preserve">., </w:t>
      </w:r>
      <w:proofErr w:type="spellStart"/>
      <w:r>
        <w:t>стр</w:t>
      </w:r>
      <w:proofErr w:type="spellEnd"/>
      <w:r>
        <w:rPr>
          <w:lang w:val="pt-PT"/>
        </w:rPr>
        <w:t>. 11.</w:t>
      </w:r>
    </w:p>
  </w:footnote>
  <w:footnote w:id="6">
    <w:p w:rsidR="009A4D43" w:rsidRDefault="00AE1138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rPr>
          <w:lang w:val="pt-PT"/>
        </w:rPr>
        <w:tab/>
      </w:r>
      <w:proofErr w:type="gramStart"/>
      <w:r>
        <w:rPr>
          <w:lang w:val="pt-PT"/>
        </w:rPr>
        <w:t>C(2014</w:t>
      </w:r>
      <w:proofErr w:type="gramEnd"/>
      <w:r>
        <w:rPr>
          <w:lang w:val="pt-PT"/>
        </w:rPr>
        <w:t>) 8809 final.</w:t>
      </w:r>
    </w:p>
  </w:footnote>
  <w:footnote w:id="7">
    <w:p w:rsidR="009A4D43" w:rsidRDefault="00AE1138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rPr>
          <w:lang w:val="pt-PT"/>
        </w:rPr>
        <w:tab/>
      </w:r>
      <w:proofErr w:type="gramStart"/>
      <w:r>
        <w:rPr>
          <w:lang w:val="pt-PT"/>
        </w:rPr>
        <w:t>COM(2014</w:t>
      </w:r>
      <w:proofErr w:type="gramEnd"/>
      <w:r>
        <w:rPr>
          <w:lang w:val="pt-PT"/>
        </w:rPr>
        <w:t>) 902.</w:t>
      </w:r>
    </w:p>
  </w:footnote>
  <w:footnote w:id="8">
    <w:p w:rsidR="009A4D43" w:rsidRDefault="00AE1138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rPr>
          <w:lang w:val="pt-PT"/>
        </w:rPr>
        <w:tab/>
      </w:r>
      <w:proofErr w:type="gramStart"/>
      <w:r>
        <w:rPr>
          <w:lang w:val="pt-PT"/>
        </w:rPr>
        <w:t>COM(2014</w:t>
      </w:r>
      <w:proofErr w:type="gramEnd"/>
      <w:r>
        <w:rPr>
          <w:lang w:val="pt-PT"/>
        </w:rPr>
        <w:t>) 904.</w:t>
      </w:r>
    </w:p>
  </w:footnote>
  <w:footnote w:id="9">
    <w:p w:rsidR="009A4D43" w:rsidRDefault="00AE1138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rPr>
          <w:lang w:val="pt-PT"/>
        </w:rPr>
        <w:tab/>
      </w:r>
      <w:proofErr w:type="gramStart"/>
      <w:r>
        <w:rPr>
          <w:sz w:val="18"/>
          <w:lang w:val="pt-PT"/>
        </w:rPr>
        <w:t>SWD(2015</w:t>
      </w:r>
      <w:proofErr w:type="gramEnd"/>
      <w:r>
        <w:rPr>
          <w:sz w:val="18"/>
          <w:lang w:val="pt-PT"/>
        </w:rPr>
        <w:t>) 37 final</w:t>
      </w:r>
      <w:r>
        <w:rPr>
          <w:lang w:val="pt-PT"/>
        </w:rPr>
        <w:t>.</w:t>
      </w:r>
    </w:p>
  </w:footnote>
  <w:footnote w:id="10">
    <w:p w:rsidR="009A4D43" w:rsidRDefault="00AE1138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rPr>
          <w:lang w:val="pt-PT"/>
        </w:rPr>
        <w:tab/>
      </w:r>
      <w:r>
        <w:t>Съгласно</w:t>
      </w:r>
      <w:r>
        <w:rPr>
          <w:lang w:val="pt-PT"/>
        </w:rPr>
        <w:t xml:space="preserve"> </w:t>
      </w:r>
      <w:r>
        <w:t>член</w:t>
      </w:r>
      <w:r>
        <w:rPr>
          <w:lang w:val="pt-PT"/>
        </w:rPr>
        <w:t xml:space="preserve"> 5, </w:t>
      </w:r>
      <w:r>
        <w:t>параграф</w:t>
      </w:r>
      <w:r>
        <w:rPr>
          <w:lang w:val="pt-PT"/>
        </w:rPr>
        <w:t xml:space="preserve"> 2 </w:t>
      </w:r>
      <w:r>
        <w:t>от</w:t>
      </w:r>
      <w:r>
        <w:rPr>
          <w:lang w:val="pt-PT"/>
        </w:rPr>
        <w:t xml:space="preserve"> </w:t>
      </w:r>
      <w:r>
        <w:t>Регламент</w:t>
      </w:r>
      <w:r>
        <w:rPr>
          <w:lang w:val="pt-PT"/>
        </w:rPr>
        <w:t xml:space="preserve"> (</w:t>
      </w:r>
      <w:r>
        <w:t>ЕО</w:t>
      </w:r>
      <w:r>
        <w:rPr>
          <w:lang w:val="pt-PT"/>
        </w:rPr>
        <w:t xml:space="preserve">) № 1466/97 </w:t>
      </w:r>
      <w:r>
        <w:t>на</w:t>
      </w:r>
      <w:r>
        <w:rPr>
          <w:lang w:val="pt-PT"/>
        </w:rPr>
        <w:t xml:space="preserve"> </w:t>
      </w:r>
      <w:r>
        <w:t>Съвета</w:t>
      </w:r>
      <w:r>
        <w:rPr>
          <w:lang w:val="pt-PT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138" w:rsidRPr="00AE1138" w:rsidRDefault="00AE1138" w:rsidP="00AE11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138" w:rsidRPr="00AE1138" w:rsidRDefault="00AE1138" w:rsidP="00AE11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138" w:rsidRPr="00AE1138" w:rsidRDefault="00AE1138" w:rsidP="00AE11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890A3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5FCFB2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022CAE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E178629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9B20BE2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9E3A82F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6F6DC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22456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removeDateAndTime/>
  <w:hideSpellingErrors/>
  <w:hideGrammaticalErrors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1945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5-05-19 15:37:0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Yellow"/>
    <w:docVar w:name="DQCVersion" w:val="2"/>
    <w:docVar w:name="DQCWithWarnings" w:val="0"/>
    <w:docVar w:name="LW_CONFIDENCE" w:val=" "/>
    <w:docVar w:name="LW_CONST_RESTREINT_UE" w:val="RESTREINT UE/EU RESTRICTED"/>
    <w:docVar w:name="LW_CORRIGENDUM" w:val="&lt;UNUSED&gt;"/>
    <w:docVar w:name="LW_COVERPAGE_GUID" w:val="86591202D5F64610BC41ED4895D50404"/>
    <w:docVar w:name="LW_CROSSREFERENCE" w:val="&lt;UNUSED&gt;"/>
    <w:docVar w:name="LW_DocType" w:val="COM"/>
    <w:docVar w:name="LW_EMISSION" w:val="13.5.2015"/>
    <w:docVar w:name="LW_EMISSION_ISODATE" w:val="2015-05-13"/>
    <w:docVar w:name="LW_EMISSION_LOCATION" w:val="BRX"/>
    <w:docVar w:name="LW_EMISSION_PREFIX" w:val="\u1041?\u1088?\u1102?\u1082?\u1089?\u1077?\u1083?, "/>
    <w:docVar w:name="LW_EMISSION_SUFFIX" w:val=" \u1075?."/>
    <w:docVar w:name="LW_ID_DOCMODEL" w:val="SG-002"/>
    <w:docVar w:name="LW_ID_DOCSIGNATURE" w:val="SG-002"/>
    <w:docVar w:name="LW_ID_DOCSTRUCTURE" w:val="COM/PL/ORG"/>
    <w:docVar w:name="LW_ID_DOCTYPE" w:val="SG-002"/>
    <w:docVar w:name="LW_ID_STATUT" w:val="SG-002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5"/>
    <w:docVar w:name="LW_REF.INST.NEW" w:val="COM"/>
    <w:docVar w:name="LW_REF.INST.NEW_ADOPTED" w:val="final"/>
    <w:docVar w:name="LW_REF.INST.NEW_TEXT" w:val="(2015) 267"/>
    <w:docVar w:name="LW_REF.INTERNE" w:val="&lt;UNUSED&gt;"/>
    <w:docVar w:name="LW_SOUS.TITRE.OBJ.CP" w:val="&lt;UNUSED&gt;"/>
    <w:docVar w:name="LW_STATUT.CP" w:val="\u1055?\u1088?\u1077?\u1087?\u1086?\u1088?\u1098?\u1082?\u1072? \u1079?\u1072?"/>
    <w:docVar w:name="LW_SUPERTITRE" w:val="&lt;UNUSED&gt;"/>
    <w:docVar w:name="LW_TITRE.OBJ.CP" w:val="\u1086?\u1090?\u1085?\u1086?\u1089?\u1085?\u1086? \u1053?\u1072?\u1094?\u1080?\u1086?\u1085?\u1072?\u1083?\u1085?\u1072?\u1090?\u1072? \u1087?\u1088?\u1086?\u1075?\u1088?\u1072?\u1084?\u1072? \u1079?\u1072? \u1088?\u1077?\u1092?\u1086?\u1088?\u1084?\u1080? \u1085?\u1072? \u1052?\u1072?\u1083?\u1090?\u1072? \u1079?\u1072? 2015 \u1075?._x000b__x000b_\u1080? \u1089?\u1098?\u1076?\u1098?\u1088?\u1078?\u1072?\u1097?\u1072? \u1089?\u1090?\u1072?\u1085?\u1086?\u1074?\u1080?\u1097?\u1077? \u1085?\u1072? \u1057?\u1098?\u1074?\u1077?\u1090?\u1072? \u1086?\u1090?\u1085?\u1086?\u1089?\u1085?\u1086? \u1055?\u1088?\u1086?\u1075?\u1088?\u1072?\u1084?\u1072?\u1090?\u1072? \u1079?\u1072? \u1089?\u1090?\u1072?\u1073?\u1080?\u1083?\u1085?\u1086?\u1089?\u1090? \u1085?\u1072? \u1052?\u1072?\u1083?\u1090?\u1072? \u1079?\u1072? 2015 \u1075?."/>
    <w:docVar w:name="LW_TYPE.DOC.CP" w:val="\u1055?\u1056?\u1045?\u1055?\u1054?\u1056?\u1066?\u1050?\u1040? \u1053?\u1040? \u1057?\u1066?\u1042?\u1045?\u1058?\u1040?"/>
  </w:docVars>
  <w:rsids>
    <w:rsidRoot w:val="009A4D43"/>
    <w:rsid w:val="009A4D43"/>
    <w:rsid w:val="00AE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AE1138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sid w:val="00AE1138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AE1138"/>
    <w:pPr>
      <w:tabs>
        <w:tab w:val="center" w:pos="7285"/>
        <w:tab w:val="right" w:pos="14003"/>
      </w:tabs>
      <w:spacing w:before="0"/>
    </w:pPr>
    <w:rPr>
      <w:rFonts w:eastAsiaTheme="minorHAnsi"/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59C034196E3757489169EA8E8E1B4C16" ma:contentTypeVersion="1" ma:contentTypeDescription="Create a new document in this library." ma:contentTypeScope="" ma:versionID="aeddc8888498fa536f50d3e231ff526e">
  <xsd:schema xmlns:xsd="http://www.w3.org/2001/XMLSchema" xmlns:xs="http://www.w3.org/2001/XMLSchema" xmlns:p="http://schemas.microsoft.com/office/2006/metadata/properties" xmlns:ns2="http://schemas.microsoft.com/sharepoint/v3/fields" xmlns:ns3="f1740c95-8c94-4e2b-bb68-099fa8775224" targetNamespace="http://schemas.microsoft.com/office/2006/metadata/properties" ma:root="true" ma:fieldsID="2658a571dec28f573b4d7987cc77c626" ns2:_="" ns3:_="">
    <xsd:import namespace="http://schemas.microsoft.com/sharepoint/v3/fields"/>
    <xsd:import namespace="f1740c95-8c94-4e2b-bb68-099fa8775224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/>
                <xsd:element ref="ns3:EC_Collab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40c95-8c94-4e2b-bb68-099fa8775224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Status xmlns="f1740c95-8c94-4e2b-bb68-099fa8775224">Not Started</EC_Collab_Status>
    <_Status xmlns="http://schemas.microsoft.com/sharepoint/v3/fields">Not Started</_Status>
    <EC_Collab_DocumentLanguage xmlns="f1740c95-8c94-4e2b-bb68-099fa8775224">EN</EC_Collab_DocumentLanguage>
    <EC_Collab_Reference xmlns="f1740c95-8c94-4e2b-bb68-099fa877522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A92C9-146E-46A4-B582-CB10A453A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f1740c95-8c94-4e2b-bb68-099fa87752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AA2C3F-4218-4B66-88FA-B0A847B4C276}">
  <ds:schemaRefs>
    <ds:schemaRef ds:uri="http://schemas.microsoft.com/office/2006/metadata/properties"/>
    <ds:schemaRef ds:uri="http://schemas.microsoft.com/office/infopath/2007/PartnerControls"/>
    <ds:schemaRef ds:uri="f1740c95-8c94-4e2b-bb68-099fa8775224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3526DD10-EA84-47D6-9137-2BBC579D8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0</TotalTime>
  <Pages>5</Pages>
  <Words>1560</Words>
  <Characters>8851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2015-05-18T14:58:00Z</dcterms:created>
  <dcterms:modified xsi:type="dcterms:W3CDTF">2015-05-19T15:46:00Z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 edited using">
    <vt:lpwstr>LW 5.8.4, Build 20150407</vt:lpwstr>
  </property>
  <property fmtid="{D5CDD505-2E9C-101B-9397-08002B2CF9AE}" pid="3" name="Classification">
    <vt:lpwstr> </vt:lpwstr>
  </property>
  <property fmtid="{D5CDD505-2E9C-101B-9397-08002B2CF9AE}" pid="4" name="Category">
    <vt:lpwstr>COM/PL/ORG</vt:lpwstr>
  </property>
  <property fmtid="{D5CDD505-2E9C-101B-9397-08002B2CF9AE}" pid="5" name="Part">
    <vt:lpwstr>1</vt:lpwstr>
  </property>
  <property fmtid="{D5CDD505-2E9C-101B-9397-08002B2CF9AE}" pid="6" name="Total parts">
    <vt:lpwstr>1</vt:lpwstr>
  </property>
  <property fmtid="{D5CDD505-2E9C-101B-9397-08002B2CF9AE}" pid="7" name="LWTemplateID">
    <vt:lpwstr>SG-002</vt:lpwstr>
  </property>
  <property fmtid="{D5CDD505-2E9C-101B-9397-08002B2CF9AE}" pid="8" name="_NewReviewCycle">
    <vt:lpwstr/>
  </property>
  <property fmtid="{D5CDD505-2E9C-101B-9397-08002B2CF9AE}" pid="9" name="DQCStatus">
    <vt:lpwstr>Yellow (DQC version 02)</vt:lpwstr>
  </property>
</Properties>
</file>