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4C" w:rsidRDefault="00B376A0" w:rsidP="00B376A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F282FA4C8BE4A4B86F61CCDCA2FC590" style="width:450.5pt;height:366pt">
            <v:imagedata r:id="rId9" o:title=""/>
          </v:shape>
        </w:pict>
      </w:r>
    </w:p>
    <w:p w:rsidR="00AD7F4C" w:rsidRDefault="00AD7F4C">
      <w:pPr>
        <w:pStyle w:val="Pagedecouverture"/>
        <w:rPr>
          <w:noProof/>
        </w:rPr>
        <w:sectPr w:rsidR="00AD7F4C" w:rsidSect="00B376A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D7F4C" w:rsidRDefault="00AD7F4C">
      <w:pPr>
        <w:pStyle w:val="Exposdesmotifstitre"/>
        <w:rPr>
          <w:noProof/>
        </w:rPr>
      </w:pPr>
      <w:bookmarkStart w:id="0" w:name="_GoBack"/>
      <w:bookmarkEnd w:id="0"/>
    </w:p>
    <w:p w:rsidR="00AD7F4C" w:rsidRDefault="00AD7F4C">
      <w:pPr>
        <w:rPr>
          <w:noProof/>
        </w:rPr>
      </w:pPr>
    </w:p>
    <w:p w:rsidR="00AD7F4C" w:rsidRDefault="00B376A0" w:rsidP="00B376A0">
      <w:pPr>
        <w:pStyle w:val="Statut"/>
        <w:rPr>
          <w:noProof/>
        </w:rPr>
      </w:pPr>
      <w:r w:rsidRPr="00B376A0">
        <w:t>Препоръка за</w:t>
      </w:r>
    </w:p>
    <w:p w:rsidR="00AD7F4C" w:rsidRDefault="00B376A0" w:rsidP="00B376A0">
      <w:pPr>
        <w:pStyle w:val="Typedudocument"/>
        <w:rPr>
          <w:noProof/>
        </w:rPr>
      </w:pPr>
      <w:r w:rsidRPr="00B376A0">
        <w:t>ПРЕПОРЪКА НА СЪВЕТА</w:t>
      </w:r>
    </w:p>
    <w:p w:rsidR="00AD7F4C" w:rsidRDefault="00B376A0" w:rsidP="00B376A0">
      <w:pPr>
        <w:pStyle w:val="Titreobjet"/>
        <w:rPr>
          <w:noProof/>
        </w:rPr>
      </w:pPr>
      <w:r w:rsidRPr="00B376A0">
        <w:t>относно националната програма за реформи на Дания за 2015</w:t>
      </w:r>
      <w:r>
        <w:t> </w:t>
      </w:r>
      <w:r w:rsidRPr="00B376A0">
        <w:t>г.</w:t>
      </w:r>
      <w:r w:rsidRPr="00B376A0">
        <w:br/>
      </w:r>
      <w:r w:rsidRPr="00B376A0">
        <w:br/>
        <w:t>и съдържаща становище на Съвета относно програмата за конвергенция на Дания за 2015</w:t>
      </w:r>
      <w:r>
        <w:t> </w:t>
      </w:r>
      <w:r w:rsidRPr="00B376A0">
        <w:t>г.</w:t>
      </w:r>
    </w:p>
    <w:p w:rsidR="00AD7F4C" w:rsidRDefault="00B376A0">
      <w:pPr>
        <w:pStyle w:val="Institutionquiagit"/>
        <w:rPr>
          <w:noProof/>
        </w:rPr>
      </w:pPr>
      <w:r>
        <w:rPr>
          <w:noProof/>
        </w:rPr>
        <w:t>СЪВЕТЪТ НА ЕВРОПЕЙСКИЯ СЪЮЗ,</w:t>
      </w:r>
    </w:p>
    <w:p w:rsidR="00AD7F4C" w:rsidRDefault="00B376A0">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AD7F4C" w:rsidRDefault="00B376A0">
      <w:pPr>
        <w:rPr>
          <w:noProof/>
        </w:rPr>
      </w:pPr>
      <w:r>
        <w:rPr>
          <w:noProof/>
        </w:rPr>
        <w:t>като взе</w:t>
      </w:r>
      <w:r>
        <w:rPr>
          <w:noProof/>
        </w:rPr>
        <w:t xml:space="preserve">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rsidR="00AD7F4C" w:rsidRDefault="00B376A0">
      <w:pPr>
        <w:rPr>
          <w:noProof/>
        </w:rPr>
      </w:pPr>
      <w:r>
        <w:rPr>
          <w:noProof/>
        </w:rPr>
        <w:t>като взе предвид препоръката на Европейск</w:t>
      </w:r>
      <w:r>
        <w:rPr>
          <w:noProof/>
        </w:rPr>
        <w:t>ата комисия</w:t>
      </w:r>
      <w:r>
        <w:rPr>
          <w:rStyle w:val="FootnoteReference"/>
          <w:noProof/>
        </w:rPr>
        <w:footnoteReference w:id="3"/>
      </w:r>
      <w:r>
        <w:rPr>
          <w:noProof/>
        </w:rPr>
        <w:t>,</w:t>
      </w:r>
    </w:p>
    <w:p w:rsidR="00AD7F4C" w:rsidRDefault="00B376A0">
      <w:pPr>
        <w:rPr>
          <w:noProof/>
        </w:rPr>
      </w:pPr>
      <w:r>
        <w:rPr>
          <w:noProof/>
        </w:rPr>
        <w:t>като взе предвид резолюциите на Европейския парламент</w:t>
      </w:r>
      <w:r>
        <w:rPr>
          <w:rStyle w:val="FootnoteReference"/>
          <w:noProof/>
        </w:rPr>
        <w:footnoteReference w:id="4"/>
      </w:r>
      <w:r>
        <w:rPr>
          <w:noProof/>
        </w:rPr>
        <w:t>,</w:t>
      </w:r>
    </w:p>
    <w:p w:rsidR="00AD7F4C" w:rsidRDefault="00B376A0">
      <w:pPr>
        <w:outlineLvl w:val="0"/>
        <w:rPr>
          <w:noProof/>
        </w:rPr>
      </w:pPr>
      <w:r>
        <w:rPr>
          <w:noProof/>
        </w:rPr>
        <w:t>като взе предвид заключенията на Европейския съвет,</w:t>
      </w:r>
    </w:p>
    <w:p w:rsidR="00AD7F4C" w:rsidRDefault="00B376A0">
      <w:pPr>
        <w:rPr>
          <w:noProof/>
        </w:rPr>
      </w:pPr>
      <w:r>
        <w:rPr>
          <w:noProof/>
        </w:rPr>
        <w:t>като взе предвид становището на Комитета по заетостта,</w:t>
      </w:r>
    </w:p>
    <w:p w:rsidR="00AD7F4C" w:rsidRDefault="00B376A0">
      <w:pPr>
        <w:rPr>
          <w:noProof/>
        </w:rPr>
      </w:pPr>
      <w:r>
        <w:rPr>
          <w:noProof/>
        </w:rPr>
        <w:t>като взе предвид становището на Икономическия и финансов комитет,</w:t>
      </w:r>
    </w:p>
    <w:p w:rsidR="00AD7F4C" w:rsidRDefault="00B376A0">
      <w:pPr>
        <w:rPr>
          <w:noProof/>
        </w:rPr>
      </w:pPr>
      <w:r>
        <w:rPr>
          <w:noProof/>
        </w:rPr>
        <w:t>като взе пред</w:t>
      </w:r>
      <w:r>
        <w:rPr>
          <w:noProof/>
        </w:rPr>
        <w:t>вид становището на Комитета за социална закрила,</w:t>
      </w:r>
    </w:p>
    <w:p w:rsidR="00AD7F4C" w:rsidRDefault="00B376A0">
      <w:pPr>
        <w:rPr>
          <w:noProof/>
        </w:rPr>
      </w:pPr>
      <w:r>
        <w:rPr>
          <w:noProof/>
        </w:rPr>
        <w:t>като взе предвид становището на Комитета за икономическа политика,</w:t>
      </w:r>
    </w:p>
    <w:p w:rsidR="00AD7F4C" w:rsidRDefault="00B376A0">
      <w:pPr>
        <w:rPr>
          <w:noProof/>
        </w:rPr>
      </w:pPr>
      <w:r>
        <w:rPr>
          <w:noProof/>
        </w:rPr>
        <w:t>като има предвид, че:</w:t>
      </w:r>
    </w:p>
    <w:p w:rsidR="00AD7F4C" w:rsidRDefault="00B376A0">
      <w:pPr>
        <w:pStyle w:val="Point0number"/>
        <w:numPr>
          <w:ilvl w:val="0"/>
          <w:numId w:val="9"/>
        </w:numPr>
        <w:rPr>
          <w:noProof/>
        </w:rPr>
      </w:pPr>
      <w:r>
        <w:rPr>
          <w:noProof/>
        </w:rPr>
        <w:t xml:space="preserve">На 26 март 2010 г. Европейският съвет постигна съгласие по предложението на Комисията да се започне изпълнението на </w:t>
      </w:r>
      <w:r>
        <w:rPr>
          <w:noProof/>
        </w:rPr>
        <w:t>нова стратегия за растеж и работни места — стратегията „Европа 2020“ —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w:t>
      </w:r>
      <w:r>
        <w:rPr>
          <w:noProof/>
        </w:rPr>
        <w:t>нциала на Европа за устойчив растеж и конкурентоспособност.</w:t>
      </w:r>
    </w:p>
    <w:p w:rsidR="00AD7F4C" w:rsidRDefault="00B376A0">
      <w:pPr>
        <w:pStyle w:val="Point0number"/>
        <w:rPr>
          <w:noProof/>
        </w:rPr>
      </w:pPr>
      <w:r>
        <w:rPr>
          <w:noProof/>
        </w:rPr>
        <w:t>На 13 юли 2010 г. въз основа на предложенията на Комисията Съветът прие препоръка относно общите насоки за икономическите политики на държавите членки и на Съюза (за периода 2010—2014 г.), а на 21</w:t>
      </w:r>
      <w:r>
        <w:rPr>
          <w:noProof/>
        </w:rPr>
        <w:t xml:space="preserve"> октомври 2010 г. прие решение относно насоки за политиките на държавите членки по заетостта. Заедно двата акта представляват т. нар. „интегрирани насоки“, с които </w:t>
      </w:r>
      <w:r>
        <w:rPr>
          <w:noProof/>
        </w:rPr>
        <w:lastRenderedPageBreak/>
        <w:t>държавите членки бяха приканени да се съобразят при провеждането на националната си икономич</w:t>
      </w:r>
      <w:r>
        <w:rPr>
          <w:noProof/>
        </w:rPr>
        <w:t>еска политика и политика за заетост.</w:t>
      </w:r>
    </w:p>
    <w:p w:rsidR="00AD7F4C" w:rsidRDefault="00B376A0">
      <w:pPr>
        <w:pStyle w:val="Point0number"/>
        <w:rPr>
          <w:noProof/>
        </w:rPr>
      </w:pPr>
      <w:r>
        <w:rPr>
          <w:noProof/>
        </w:rPr>
        <w:t>На 8 юли 2014 г. Съветът прие препоръка относно националната програма за реформи на Дания за 2014 г. и даде становището си относно актуализираната програма за конвергенция на Дания за 2014 г.</w:t>
      </w:r>
    </w:p>
    <w:p w:rsidR="00AD7F4C" w:rsidRDefault="00B376A0">
      <w:pPr>
        <w:pStyle w:val="Point0number"/>
        <w:numPr>
          <w:ilvl w:val="0"/>
          <w:numId w:val="9"/>
        </w:numPr>
        <w:rPr>
          <w:noProof/>
        </w:rPr>
      </w:pPr>
      <w:r>
        <w:rPr>
          <w:noProof/>
        </w:rPr>
        <w:t>На 28 ноември 2014 г. Комис</w:t>
      </w:r>
      <w:r>
        <w:rPr>
          <w:noProof/>
        </w:rPr>
        <w:t>ията прие Годишния обзор на растежа</w:t>
      </w:r>
      <w:r>
        <w:rPr>
          <w:rStyle w:val="FootnoteReference"/>
          <w:noProof/>
        </w:rPr>
        <w:footnoteReference w:id="5"/>
      </w:r>
      <w:r>
        <w:rPr>
          <w:noProof/>
        </w:rPr>
        <w:t>, с което постави началото на европейския семестър за 2015 г. за координация на икономическите политики. На същия ден въз основа на Регламент (ЕС) № 1176/2011 Комисията прие Доклада за механизма за предупреждение</w:t>
      </w:r>
      <w:r>
        <w:rPr>
          <w:rStyle w:val="FootnoteReference"/>
          <w:noProof/>
        </w:rPr>
        <w:footnoteReference w:id="6"/>
      </w:r>
      <w:r>
        <w:rPr>
          <w:noProof/>
        </w:rPr>
        <w:t>, в кой</w:t>
      </w:r>
      <w:r>
        <w:rPr>
          <w:noProof/>
        </w:rPr>
        <w:t>то не беше посочено, че Дания е една от държавите членки, за които ще се извърши задълбочен преглед.</w:t>
      </w:r>
    </w:p>
    <w:p w:rsidR="00AD7F4C" w:rsidRDefault="00B376A0">
      <w:pPr>
        <w:pStyle w:val="Point0number"/>
        <w:numPr>
          <w:ilvl w:val="0"/>
          <w:numId w:val="9"/>
        </w:numPr>
        <w:rPr>
          <w:noProof/>
        </w:rPr>
      </w:pPr>
      <w:r>
        <w:rPr>
          <w:noProof/>
        </w:rPr>
        <w:t>На 18 декември 2014 г. Европейският съвет одобри приоритетите за стимулиране на инвестициите, ускоряване на структурните реформи и продължаване на фискална</w:t>
      </w:r>
      <w:r>
        <w:rPr>
          <w:noProof/>
        </w:rPr>
        <w:t>та консолидация, благоприятстваща растежа.</w:t>
      </w:r>
    </w:p>
    <w:p w:rsidR="00AD7F4C" w:rsidRDefault="00B376A0">
      <w:pPr>
        <w:pStyle w:val="Point0number"/>
        <w:numPr>
          <w:ilvl w:val="0"/>
          <w:numId w:val="9"/>
        </w:numPr>
        <w:rPr>
          <w:noProof/>
        </w:rPr>
      </w:pPr>
      <w:r>
        <w:rPr>
          <w:noProof/>
        </w:rPr>
        <w:t>На 26 февруари 2015 г. Комисията публикува своя доклад от 2015 г. за Дания</w:t>
      </w:r>
      <w:r>
        <w:rPr>
          <w:rStyle w:val="FootnoteReference"/>
          <w:noProof/>
        </w:rPr>
        <w:footnoteReference w:id="7"/>
      </w:r>
      <w:r>
        <w:rPr>
          <w:noProof/>
        </w:rPr>
        <w:t>. В доклада се оценява напредъка на Дания в изпълнението на специфичните за всяка държава препоръки, приети на 8 юли 2014 г.</w:t>
      </w:r>
    </w:p>
    <w:p w:rsidR="00AD7F4C" w:rsidRDefault="00B376A0">
      <w:pPr>
        <w:pStyle w:val="Point0number"/>
        <w:numPr>
          <w:ilvl w:val="0"/>
          <w:numId w:val="9"/>
        </w:numPr>
        <w:rPr>
          <w:noProof/>
        </w:rPr>
      </w:pPr>
      <w:r>
        <w:rPr>
          <w:noProof/>
        </w:rPr>
        <w:t>На 27 март 20</w:t>
      </w:r>
      <w:r>
        <w:rPr>
          <w:noProof/>
        </w:rPr>
        <w:t>15 г. Дания представи своята национална програма за реформи за 2015 г. и своята програма за конвергенция за 2015 г. Двете програми бяха оценени едновременно, за да бъдат отчетени взаимовръзките между тях.</w:t>
      </w:r>
    </w:p>
    <w:p w:rsidR="00AD7F4C" w:rsidRDefault="00B376A0">
      <w:pPr>
        <w:pStyle w:val="Point0number"/>
        <w:rPr>
          <w:noProof/>
        </w:rPr>
      </w:pPr>
      <w:r>
        <w:rPr>
          <w:noProof/>
        </w:rPr>
        <w:t>Дания в момента изпълнява предпазните мерки на Пакт</w:t>
      </w:r>
      <w:r>
        <w:rPr>
          <w:noProof/>
        </w:rPr>
        <w:t>а за стабилност и растеж. В своята програма за конвергенция за 2015 г. правителството планира увеличаване на номиналния дефицит от 1,6 % от БВП през 2015 г., когато беше подкрепен от значителни извънредни приходи, до 2,6 % от БВП през 2016 г. След това пра</w:t>
      </w:r>
      <w:r>
        <w:rPr>
          <w:noProof/>
        </w:rPr>
        <w:t>вителството планира да намали дефицита, за да се постигне балансиран бюджет през 2020 г. Според програмата за конвергенция правителството планира да постигне средносрочната цел — структурен дефицит от 0,5 % от БВП — от 2016 г. нататък. Според програмата за</w:t>
      </w:r>
      <w:r>
        <w:rPr>
          <w:noProof/>
        </w:rPr>
        <w:t xml:space="preserve"> конвергенция съотношението на дълга към БВП се очаква да намалява постепенно от 39,8 % през 2015 г. до 36,7 % през 2020 г. Макроикономическият сценарий в основата на бюджетните прогнози на програмата е реалистичен. Въз основа на прогнозата на Комисията от</w:t>
      </w:r>
      <w:r>
        <w:rPr>
          <w:noProof/>
        </w:rPr>
        <w:t xml:space="preserve"> пролетта на 2015 г. структурното салдо се очаква да бъде съобразено със средносрочната цел през 2015 г. Въз основа на тези прогнози обаче съществува риск от известно отклонение от средносрочната цел през 2016 г. с излишък от 0,3 % от БВП на нарастването н</w:t>
      </w:r>
      <w:r>
        <w:rPr>
          <w:noProof/>
        </w:rPr>
        <w:t>а нетните разходи над референтния показател. Въпреки че това отклонение се очаква да бъде временно, тъй като нарастването на нетните разходи през 2016 г. е повлияно от постепенното премахване на извънредните мерки, свързани с данъчното облагане на пенсионн</w:t>
      </w:r>
      <w:r>
        <w:rPr>
          <w:noProof/>
        </w:rPr>
        <w:t>ите спестявания, може да бъдат необходими допълнителни мерки за 2016 г. Въз основа на своята оценка на програмата за конвергенция и вземайки предвид прогнозата на Комисията от пролетта на 2015 г., Съветът е на мнение, че Дания се очаква да спази в голяма с</w:t>
      </w:r>
      <w:r>
        <w:rPr>
          <w:noProof/>
        </w:rPr>
        <w:t>тепен разпоредбите на Пакта за стабилност и растеж.</w:t>
      </w:r>
    </w:p>
    <w:p w:rsidR="00AD7F4C" w:rsidRDefault="00B376A0">
      <w:pPr>
        <w:pStyle w:val="Point0number"/>
        <w:rPr>
          <w:noProof/>
        </w:rPr>
      </w:pPr>
      <w:r>
        <w:rPr>
          <w:noProof/>
        </w:rPr>
        <w:lastRenderedPageBreak/>
        <w:t>Дългосрочното предоставяне на работна сила с необходимите умения е предварително условие за устойчивия растеж в Дания. С реформата на активния трудов пазар от 2014 г. Дания постигна напредък в подобряване</w:t>
      </w:r>
      <w:r>
        <w:rPr>
          <w:noProof/>
        </w:rPr>
        <w:t>то на пригодността за заетост на тези, които са най-отдалечени от пазара на труда. Въвеждането на реформата е на ранен етап и резултатите от нея трябва да бъдат наблюдавани. Все още са необходими допълнителни мерки за тези, които са най-изключени от пазара</w:t>
      </w:r>
      <w:r>
        <w:rPr>
          <w:noProof/>
        </w:rPr>
        <w:t xml:space="preserve"> на труда, в съответствие с препоръките на експертната група Carsten-Koch II. Ниското образователно равнище, ограниченият опит на пазара на труда, младата възраст и мигрантският произход изглежда са главните фактори в това отношение. Като цяло потенциалът </w:t>
      </w:r>
      <w:r>
        <w:rPr>
          <w:noProof/>
        </w:rPr>
        <w:t>на трудовия пазар при хората с мигрантски произход остава неизползван. Въпреки високите разходи за образование в Дания резултатите в тази област са едва на средно ниво, по-специално за учениците с мигрантски произход. Реформата в системите на основното и д</w:t>
      </w:r>
      <w:r>
        <w:rPr>
          <w:noProof/>
        </w:rPr>
        <w:t>олния курс на средното образование и професионалното образование и обучение е насочена към преодоляване на това предизвикателство. Пълното прилагане на тези реформи е необходимо, за да се подобрят образователните резултати.</w:t>
      </w:r>
    </w:p>
    <w:p w:rsidR="00AD7F4C" w:rsidRDefault="00B376A0">
      <w:pPr>
        <w:pStyle w:val="Point0number"/>
        <w:rPr>
          <w:noProof/>
        </w:rPr>
      </w:pPr>
      <w:r>
        <w:rPr>
          <w:noProof/>
        </w:rPr>
        <w:t>Подобряването на конкурентоспосо</w:t>
      </w:r>
      <w:r>
        <w:rPr>
          <w:noProof/>
        </w:rPr>
        <w:t>бността е от основно значение за засилване на икономическото възстановяване в Дания. Ръстът на производителността, който е жизненоважен в това отношение, като цяло беше слаб през предходните две десетилетия и беше засегнат от бариери за навлизане и регулат</w:t>
      </w:r>
      <w:r>
        <w:rPr>
          <w:noProof/>
        </w:rPr>
        <w:t>орна тежест в секторите на услугите, ориентирани към вътрешния пазар. Комисията по производителността определи секторите на строителството и търговията на дребно като области, в които производителността може да бъде повишена. Разпоредбите за започване на т</w:t>
      </w:r>
      <w:r>
        <w:rPr>
          <w:noProof/>
        </w:rPr>
        <w:t>ърговия са много стриктни и не са предприети действия за тяхното облекчаване. Секторът на строителството се характеризира с взискателни правила за строителството и голям брой схеми за сертифициране. Датското правителство представи стратегия за строителство</w:t>
      </w:r>
      <w:r>
        <w:rPr>
          <w:noProof/>
        </w:rPr>
        <w:t>то през ноември 2014 г. Тя съдържа добри инициативи като опростяване на правилата, рационализиране на техническите елементи на заявленията за строителство, въвеждането на международни стандарти, хармонизиране на националните стандарти и съкращаване на срок</w:t>
      </w:r>
      <w:r>
        <w:rPr>
          <w:noProof/>
        </w:rPr>
        <w:t>а за издаване на разрешителни за строеж. Въпреки това стратегията все още предстои да бъде реализирана в конкретни мерки. Все още има припокриващи се схеми за разрешаване и сертифициране, които в някои случаи се прилагат и за временното предоставяне на тра</w:t>
      </w:r>
      <w:r>
        <w:rPr>
          <w:noProof/>
        </w:rPr>
        <w:t>нсгранични услуги. Освен това разрешенията и сертификатите, издадени в други държави членки, не винаги се вземат предвид, когато доставчиците искат да установят своята дейност в Дания.</w:t>
      </w:r>
    </w:p>
    <w:p w:rsidR="00AD7F4C" w:rsidRDefault="00B376A0">
      <w:pPr>
        <w:pStyle w:val="Point0number"/>
        <w:rPr>
          <w:noProof/>
        </w:rPr>
      </w:pPr>
      <w:r>
        <w:rPr>
          <w:noProof/>
        </w:rPr>
        <w:t xml:space="preserve">В рамките на европейския семестър Комисията направи цялостен анализ на </w:t>
      </w:r>
      <w:r>
        <w:rPr>
          <w:noProof/>
        </w:rPr>
        <w:t xml:space="preserve">икономическата политика на Дания и го публикува в доклада за страната за 2015 г. Тя също оцени програмата за конвергенция и националната програма за реформи, както и последващите действия по препоръките, отправени към Дания през предходните години. Тя взе </w:t>
      </w:r>
      <w:r>
        <w:rPr>
          <w:noProof/>
        </w:rPr>
        <w:t>предвид не само тяхното значение за провеждането на устойчива фискална и социално-икономическа политика в Дания, но и тяхното съответствие с правилата и насоките на ЕС предвид необходимостта от засилване на цялостното икономическо управление на Европейския</w:t>
      </w:r>
      <w:r>
        <w:rPr>
          <w:noProof/>
        </w:rPr>
        <w:t xml:space="preserve"> съюз чрез принос на равнище ЕС към бъдещите решения на национално равнище. Препоръките </w:t>
      </w:r>
      <w:bookmarkStart w:id="1" w:name="temp"/>
      <w:bookmarkEnd w:id="1"/>
      <w:r>
        <w:rPr>
          <w:noProof/>
        </w:rPr>
        <w:t>в рамките на европейския семестър са изразени в препоръки 1—2 по-долу.</w:t>
      </w:r>
    </w:p>
    <w:p w:rsidR="00AD7F4C" w:rsidRDefault="00B376A0">
      <w:pPr>
        <w:pStyle w:val="Point0number"/>
        <w:rPr>
          <w:noProof/>
        </w:rPr>
      </w:pPr>
      <w:r>
        <w:rPr>
          <w:noProof/>
        </w:rPr>
        <w:t>С оглед на тази оценка Съветът разгледа програмата за конвергенция на Дания и неговото мнение</w:t>
      </w:r>
      <w:r>
        <w:rPr>
          <w:rStyle w:val="FootnoteReference"/>
          <w:noProof/>
        </w:rPr>
        <w:footnoteReference w:id="8"/>
      </w:r>
      <w:r>
        <w:rPr>
          <w:noProof/>
        </w:rPr>
        <w:t xml:space="preserve"> е </w:t>
      </w:r>
      <w:r>
        <w:rPr>
          <w:noProof/>
        </w:rPr>
        <w:t>изразено по-специално в препоръка 1 по-долу,</w:t>
      </w:r>
    </w:p>
    <w:p w:rsidR="00AD7F4C" w:rsidRDefault="00B376A0">
      <w:pPr>
        <w:pStyle w:val="Formuledadoption"/>
        <w:rPr>
          <w:noProof/>
        </w:rPr>
      </w:pPr>
      <w:r>
        <w:rPr>
          <w:noProof/>
        </w:rPr>
        <w:t>ПРЕПОРЪЧВА на Дания да предприеме следните действия през периода 2015—2016 г.:</w:t>
      </w:r>
    </w:p>
    <w:p w:rsidR="00AD7F4C" w:rsidRDefault="00B376A0">
      <w:pPr>
        <w:pStyle w:val="ManualNumPar1"/>
        <w:rPr>
          <w:iCs/>
          <w:noProof/>
        </w:rPr>
      </w:pPr>
      <w:bookmarkStart w:id="2" w:name="_CopyToNewDocument_"/>
      <w:bookmarkEnd w:id="2"/>
      <w:r>
        <w:t>1.</w:t>
      </w:r>
      <w:r>
        <w:tab/>
      </w:r>
      <w:r>
        <w:rPr>
          <w:noProof/>
        </w:rPr>
        <w:t xml:space="preserve">Да избягва отклоненията от средносрочната цел през 2016 г. </w:t>
      </w:r>
    </w:p>
    <w:p w:rsidR="00AD7F4C" w:rsidRDefault="00B376A0">
      <w:pPr>
        <w:pStyle w:val="ManualNumPar1"/>
        <w:rPr>
          <w:i/>
          <w:iCs/>
          <w:noProof/>
          <w:color w:val="1F497D"/>
        </w:rPr>
      </w:pPr>
      <w:r>
        <w:t>2.</w:t>
      </w:r>
      <w:r>
        <w:tab/>
      </w:r>
      <w:r>
        <w:rPr>
          <w:noProof/>
        </w:rPr>
        <w:t xml:space="preserve">Да повиши производителността, по-специално в секторите на </w:t>
      </w:r>
      <w:r>
        <w:rPr>
          <w:noProof/>
        </w:rPr>
        <w:t>услугите, ориентирани към вътрешния пазар, включително търговията на дребно и строителството. Да намали ограниченията за търговските обекти и да предприеме допълнителни мерки за премахване на оставащите бариери, наложени от схемите за разрешаване и сертифи</w:t>
      </w:r>
      <w:r>
        <w:rPr>
          <w:noProof/>
        </w:rPr>
        <w:t>циране в сектора на строителството.</w:t>
      </w:r>
    </w:p>
    <w:p w:rsidR="00AD7F4C" w:rsidRDefault="00B376A0" w:rsidP="00B376A0">
      <w:pPr>
        <w:pStyle w:val="Fait"/>
        <w:rPr>
          <w:noProof/>
        </w:rPr>
      </w:pPr>
      <w:r w:rsidRPr="00B376A0">
        <w:t xml:space="preserve">Съставено в Брюксел на </w:t>
      </w:r>
      <w:r w:rsidRPr="00B376A0">
        <w:rPr>
          <w:rStyle w:val="Marker2"/>
        </w:rPr>
        <w:t>[…]</w:t>
      </w:r>
      <w:r w:rsidRPr="00B376A0">
        <w:t xml:space="preserve"> година.</w:t>
      </w:r>
    </w:p>
    <w:p w:rsidR="00AD7F4C" w:rsidRDefault="00B376A0">
      <w:pPr>
        <w:pStyle w:val="Institutionquisigne"/>
        <w:rPr>
          <w:noProof/>
        </w:rPr>
      </w:pPr>
      <w:r>
        <w:rPr>
          <w:noProof/>
        </w:rPr>
        <w:tab/>
        <w:t>За Съвета</w:t>
      </w:r>
    </w:p>
    <w:p w:rsidR="00AD7F4C" w:rsidRDefault="00B376A0">
      <w:pPr>
        <w:pStyle w:val="Personnequisigne"/>
        <w:rPr>
          <w:noProof/>
        </w:rPr>
      </w:pPr>
      <w:r>
        <w:rPr>
          <w:noProof/>
        </w:rPr>
        <w:tab/>
        <w:t>Председател</w:t>
      </w:r>
    </w:p>
    <w:sectPr w:rsidR="00AD7F4C" w:rsidSect="00B376A0">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4C" w:rsidRDefault="00B376A0">
      <w:pPr>
        <w:spacing w:before="0" w:after="0"/>
      </w:pPr>
      <w:r>
        <w:separator/>
      </w:r>
    </w:p>
  </w:endnote>
  <w:endnote w:type="continuationSeparator" w:id="0">
    <w:p w:rsidR="00AD7F4C" w:rsidRDefault="00B376A0">
      <w:pPr>
        <w:spacing w:before="0" w:after="0"/>
      </w:pPr>
      <w:r>
        <w:continuationSeparator/>
      </w:r>
    </w:p>
  </w:endnote>
  <w:endnote w:type="continuationNotice" w:id="1">
    <w:p w:rsidR="00AD7F4C" w:rsidRDefault="00AD7F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4C" w:rsidRPr="00B376A0" w:rsidRDefault="00B376A0" w:rsidP="00B376A0">
    <w:pPr>
      <w:pStyle w:val="Footer"/>
      <w:rPr>
        <w:rFonts w:ascii="Arial" w:hAnsi="Arial" w:cs="Arial"/>
        <w:b/>
        <w:sz w:val="48"/>
      </w:rPr>
    </w:pPr>
    <w:r w:rsidRPr="00B376A0">
      <w:rPr>
        <w:rFonts w:ascii="Arial" w:hAnsi="Arial" w:cs="Arial"/>
        <w:b/>
        <w:sz w:val="48"/>
      </w:rPr>
      <w:t>BG</w:t>
    </w:r>
    <w:r w:rsidRPr="00B376A0">
      <w:rPr>
        <w:rFonts w:ascii="Arial" w:hAnsi="Arial" w:cs="Arial"/>
        <w:b/>
        <w:sz w:val="48"/>
      </w:rPr>
      <w:tab/>
    </w:r>
    <w:r w:rsidRPr="00B376A0">
      <w:rPr>
        <w:rFonts w:ascii="Arial" w:hAnsi="Arial" w:cs="Arial"/>
        <w:b/>
        <w:sz w:val="48"/>
      </w:rPr>
      <w:tab/>
    </w:r>
    <w:fldSimple w:instr=" DOCVARIABLE &quot;LW_Confidence&quot; \* MERGEFORMAT ">
      <w:r>
        <w:t xml:space="preserve"> </w:t>
      </w:r>
    </w:fldSimple>
    <w:r w:rsidRPr="00B376A0">
      <w:tab/>
    </w:r>
    <w:proofErr w:type="spellStart"/>
    <w:r w:rsidRPr="00B376A0">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Footer"/>
      <w:rPr>
        <w:rFonts w:ascii="Arial" w:hAnsi="Arial" w:cs="Arial"/>
        <w:b/>
        <w:sz w:val="48"/>
      </w:rPr>
    </w:pPr>
    <w:r w:rsidRPr="00B376A0">
      <w:rPr>
        <w:rFonts w:ascii="Arial" w:hAnsi="Arial" w:cs="Arial"/>
        <w:b/>
        <w:sz w:val="48"/>
      </w:rPr>
      <w:t>BG</w:t>
    </w:r>
    <w:r w:rsidRPr="00B376A0">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B376A0">
      <w:tab/>
    </w:r>
    <w:r w:rsidRPr="00B376A0">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4C" w:rsidRDefault="00B376A0">
      <w:pPr>
        <w:spacing w:before="0" w:after="0"/>
      </w:pPr>
      <w:r>
        <w:separator/>
      </w:r>
    </w:p>
  </w:footnote>
  <w:footnote w:type="continuationSeparator" w:id="0">
    <w:p w:rsidR="00AD7F4C" w:rsidRDefault="00B376A0">
      <w:pPr>
        <w:spacing w:before="0" w:after="0"/>
      </w:pPr>
      <w:r>
        <w:continuationSeparator/>
      </w:r>
    </w:p>
  </w:footnote>
  <w:footnote w:type="continuationNotice" w:id="1">
    <w:p w:rsidR="00AD7F4C" w:rsidRDefault="00AD7F4C">
      <w:pPr>
        <w:spacing w:before="0" w:after="0"/>
      </w:pPr>
    </w:p>
  </w:footnote>
  <w:footnote w:id="2">
    <w:p w:rsidR="00AD7F4C" w:rsidRDefault="00B376A0">
      <w:pPr>
        <w:pStyle w:val="FootnoteText"/>
        <w:rPr>
          <w:lang w:val="pt-PT"/>
        </w:rPr>
      </w:pPr>
      <w:r>
        <w:rPr>
          <w:rStyle w:val="FootnoteReference"/>
        </w:rPr>
        <w:footnoteRef/>
      </w:r>
      <w:r>
        <w:tab/>
        <w:t>ОВ L 209, 2.8.1997 г., стр. 1.</w:t>
      </w:r>
    </w:p>
  </w:footnote>
  <w:footnote w:id="3">
    <w:p w:rsidR="00AD7F4C" w:rsidRDefault="00B376A0">
      <w:pPr>
        <w:pStyle w:val="FootnoteText"/>
        <w:rPr>
          <w:lang w:val="pt-PT"/>
        </w:rPr>
      </w:pPr>
      <w:r>
        <w:rPr>
          <w:rStyle w:val="FootnoteReference"/>
        </w:rPr>
        <w:footnoteRef/>
      </w:r>
      <w:r>
        <w:tab/>
      </w:r>
      <w:r>
        <w:t>COM(2015) 255.</w:t>
      </w:r>
    </w:p>
  </w:footnote>
  <w:footnote w:id="4">
    <w:p w:rsidR="00AD7F4C" w:rsidRDefault="00B376A0">
      <w:pPr>
        <w:pStyle w:val="FootnoteText"/>
        <w:rPr>
          <w:lang w:val="pt-PT"/>
        </w:rPr>
      </w:pPr>
      <w:r>
        <w:rPr>
          <w:rStyle w:val="FootnoteReference"/>
        </w:rPr>
        <w:footnoteRef/>
      </w:r>
      <w:r>
        <w:tab/>
      </w:r>
      <w:r>
        <w:t xml:space="preserve">P8_TA(2015)0067, </w:t>
      </w:r>
      <w:r>
        <w:t>P8_TA(2015)0068, P8_TA(2015)0069.</w:t>
      </w:r>
    </w:p>
  </w:footnote>
  <w:footnote w:id="5">
    <w:p w:rsidR="00AD7F4C" w:rsidRDefault="00B376A0">
      <w:pPr>
        <w:pStyle w:val="FootnoteText"/>
        <w:rPr>
          <w:lang w:val="pt-PT"/>
        </w:rPr>
      </w:pPr>
      <w:r>
        <w:rPr>
          <w:rStyle w:val="FootnoteReference"/>
        </w:rPr>
        <w:footnoteRef/>
      </w:r>
      <w:r>
        <w:tab/>
      </w:r>
      <w:r>
        <w:t>COM(2014) 902.</w:t>
      </w:r>
    </w:p>
  </w:footnote>
  <w:footnote w:id="6">
    <w:p w:rsidR="00AD7F4C" w:rsidRDefault="00B376A0">
      <w:pPr>
        <w:pStyle w:val="FootnoteText"/>
      </w:pPr>
      <w:r>
        <w:rPr>
          <w:rStyle w:val="FootnoteReference"/>
        </w:rPr>
        <w:footnoteRef/>
      </w:r>
      <w:r>
        <w:tab/>
      </w:r>
      <w:r>
        <w:t xml:space="preserve">COM (2014) 904 </w:t>
      </w:r>
      <w:proofErr w:type="spellStart"/>
      <w:r>
        <w:t>final</w:t>
      </w:r>
      <w:proofErr w:type="spellEnd"/>
    </w:p>
  </w:footnote>
  <w:footnote w:id="7">
    <w:p w:rsidR="00AD7F4C" w:rsidRDefault="00B376A0">
      <w:pPr>
        <w:pStyle w:val="FootnoteText"/>
      </w:pPr>
      <w:r>
        <w:rPr>
          <w:rStyle w:val="FootnoteReference"/>
        </w:rPr>
        <w:footnoteRef/>
      </w:r>
      <w:r>
        <w:tab/>
      </w:r>
      <w:r>
        <w:t xml:space="preserve">SWD (2015) 24 </w:t>
      </w:r>
      <w:proofErr w:type="spellStart"/>
      <w:r>
        <w:t>final</w:t>
      </w:r>
      <w:proofErr w:type="spellEnd"/>
      <w:r>
        <w:t>.</w:t>
      </w:r>
    </w:p>
  </w:footnote>
  <w:footnote w:id="8">
    <w:p w:rsidR="00AD7F4C" w:rsidRDefault="00B376A0">
      <w:pPr>
        <w:pStyle w:val="FootnoteText"/>
      </w:pPr>
      <w:r>
        <w:rPr>
          <w:rStyle w:val="FootnoteReference"/>
        </w:rPr>
        <w:footnoteRef/>
      </w:r>
      <w:r>
        <w:tab/>
      </w:r>
      <w:r>
        <w:t>Съгласно член 9,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0" w:rsidRPr="00B376A0" w:rsidRDefault="00B376A0" w:rsidP="00B3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8A97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685F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CA2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2A1A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D44E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6EB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34A656"/>
    <w:lvl w:ilvl="0">
      <w:start w:val="1"/>
      <w:numFmt w:val="decimal"/>
      <w:pStyle w:val="ListNumber"/>
      <w:lvlText w:val="%1."/>
      <w:lvlJc w:val="left"/>
      <w:pPr>
        <w:tabs>
          <w:tab w:val="num" w:pos="360"/>
        </w:tabs>
        <w:ind w:left="360" w:hanging="360"/>
      </w:pPr>
    </w:lvl>
  </w:abstractNum>
  <w:abstractNum w:abstractNumId="7">
    <w:nsid w:val="FFFFFF89"/>
    <w:multiLevelType w:val="singleLevel"/>
    <w:tmpl w:val="4B008E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9 11:26: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0F282FA4C8BE4A4B86F61CCDCA2FC590"/>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55"/>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4?\u1072?\u1085?\u1080?\u1103? \u1079?\u1072? 2015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44?\u1072?\u1085?\u1080?\u1103? \u1079?\u1072? 2015 \u1075?."/>
    <w:docVar w:name="LW_TYPE.DOC.CP" w:val="\u1055?\u1056?\u1045?\u1055?\u1054?\u1056?\u1066?\u1050?\u1040? \u1053?\u1040? \u1057?\u1066?\u1042?\u1045?\u1058?\u1040?"/>
  </w:docVars>
  <w:rsids>
    <w:rsidRoot w:val="00AD7F4C"/>
    <w:rsid w:val="00AD7F4C"/>
    <w:rsid w:val="00B3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B376A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376A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376A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B376A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376A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376A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BBC2-AFC4-487B-BFE1-B8D8DA43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1336</Words>
  <Characters>7555</Characters>
  <Application>Microsoft Office Word</Application>
  <DocSecurity>0</DocSecurity>
  <Lines>142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2015-05-18T12:00:00Z</dcterms:created>
  <dcterms:modified xsi:type="dcterms:W3CDTF">2015-05-19T09:47:00Z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