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9DA" w:rsidRDefault="00EF363F">
      <w:pPr>
        <w:pStyle w:val="Pagedecouverture"/>
        <w:rPr>
          <w:noProof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F65AAA538BC940E49C239F4ED98FB55A" style="width:450.75pt;height:339pt">
            <v:imagedata r:id="rId9" o:title=""/>
          </v:shape>
        </w:pict>
      </w:r>
    </w:p>
    <w:p w:rsidR="009E39DA" w:rsidRDefault="009E39DA">
      <w:pPr>
        <w:rPr>
          <w:noProof/>
        </w:rPr>
        <w:sectPr w:rsidR="009E39DA">
          <w:footerReference w:type="default" r:id="rId10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9E39DA" w:rsidRDefault="00EF363F">
      <w:pPr>
        <w:pStyle w:val="Exposdesmotifstitre"/>
        <w:spacing w:before="240" w:after="240"/>
        <w:rPr>
          <w:noProof/>
        </w:rPr>
      </w:pPr>
      <w:r>
        <w:rPr>
          <w:noProof/>
        </w:rPr>
        <w:lastRenderedPageBreak/>
        <w:t>ОБЯСНИТЕЛЕН МЕМОРАНДУМ</w:t>
      </w:r>
    </w:p>
    <w:p w:rsidR="009E39DA" w:rsidRDefault="00EF363F">
      <w:pPr>
        <w:rPr>
          <w:noProof/>
        </w:rPr>
      </w:pPr>
      <w:r>
        <w:rPr>
          <w:noProof/>
        </w:rPr>
        <w:t xml:space="preserve">В Регламент (ЕС, ЕВРАТОМ) № 1311/2013 на Съвета от 2 декември 2013 г. за </w:t>
      </w:r>
      <w:r>
        <w:rPr>
          <w:noProof/>
        </w:rPr>
        <w:t>определяне на многогодишната финансова рамка за годините 2014—2020</w:t>
      </w:r>
      <w:r>
        <w:rPr>
          <w:rStyle w:val="FootnoteReference"/>
          <w:noProof/>
        </w:rPr>
        <w:footnoteReference w:id="2"/>
      </w:r>
      <w:r>
        <w:rPr>
          <w:noProof/>
        </w:rPr>
        <w:t>, и по-специално в член 10 от него, се предвижда възможност за мобилизиране на средства от фонд „Солидарност“ на Европейския съюз в рамките на годишен таван от 500 млн. EUR (по цени от 2011</w:t>
      </w:r>
      <w:r>
        <w:rPr>
          <w:noProof/>
        </w:rPr>
        <w:t> г.) над съответните функции от финансовата рамка.</w:t>
      </w:r>
    </w:p>
    <w:p w:rsidR="009E39DA" w:rsidRDefault="00EF363F">
      <w:pPr>
        <w:rPr>
          <w:noProof/>
        </w:rPr>
      </w:pPr>
      <w:r>
        <w:rPr>
          <w:noProof/>
        </w:rPr>
        <w:t>В точка 11 от Междуинституционалното споразумение от 2 декември 2013 г. между Европейския парламент, Съвета и Комисията относно бюджетната дисциплина, сътрудничеството по бюджетни въпроси и доброто финансо</w:t>
      </w:r>
      <w:r>
        <w:rPr>
          <w:noProof/>
        </w:rPr>
        <w:t>во управление</w:t>
      </w:r>
      <w:r>
        <w:rPr>
          <w:rStyle w:val="FootnoteReference"/>
          <w:noProof/>
        </w:rPr>
        <w:footnoteReference w:id="3"/>
      </w:r>
      <w:r>
        <w:rPr>
          <w:noProof/>
        </w:rPr>
        <w:t xml:space="preserve"> са определени редът и условията за мобилизиране на фонда.</w:t>
      </w:r>
    </w:p>
    <w:p w:rsidR="009E39DA" w:rsidRDefault="00EF363F">
      <w:pPr>
        <w:rPr>
          <w:noProof/>
        </w:rPr>
      </w:pPr>
      <w:r>
        <w:rPr>
          <w:noProof/>
        </w:rPr>
        <w:t>Условията за финансиране от фонда са подробно изложени в Регламент (ЕО) № 2012/2002 на Съвета</w:t>
      </w:r>
      <w:r>
        <w:rPr>
          <w:rStyle w:val="FootnoteReference"/>
          <w:noProof/>
        </w:rPr>
        <w:footnoteReference w:id="4"/>
      </w:r>
      <w:r>
        <w:rPr>
          <w:noProof/>
        </w:rPr>
        <w:t>, в който се предвижда, че за извършването на авансови плащания в бюджета се включва сума</w:t>
      </w:r>
      <w:r>
        <w:rPr>
          <w:noProof/>
        </w:rPr>
        <w:t xml:space="preserve"> в размер на максимум 50 000 000 EUR под формата както на бюджетни кредити за поети задължения, така и на бюджетни кредити за плащания.</w:t>
      </w:r>
    </w:p>
    <w:p w:rsidR="009E39DA" w:rsidRDefault="00EF363F">
      <w:pPr>
        <w:rPr>
          <w:noProof/>
        </w:rPr>
      </w:pPr>
      <w:r>
        <w:rPr>
          <w:noProof/>
        </w:rPr>
        <w:t>Комисията включва тези суми в проектобюджета за 2016 г.</w:t>
      </w:r>
    </w:p>
    <w:p w:rsidR="009E39DA" w:rsidRDefault="009E39DA">
      <w:pPr>
        <w:rPr>
          <w:noProof/>
        </w:rPr>
        <w:sectPr w:rsidR="009E39DA">
          <w:footerReference w:type="default" r:id="rId11"/>
          <w:footerReference w:type="first" r:id="rId12"/>
          <w:pgSz w:w="11906" w:h="16838" w:code="9"/>
          <w:pgMar w:top="1134" w:right="1418" w:bottom="1134" w:left="1418" w:header="709" w:footer="709" w:gutter="0"/>
          <w:pgNumType w:start="1"/>
          <w:cols w:space="720"/>
          <w:docGrid w:linePitch="326"/>
        </w:sectPr>
      </w:pPr>
    </w:p>
    <w:p w:rsidR="009E39DA" w:rsidRDefault="00EF363F">
      <w:pPr>
        <w:pStyle w:val="Statut"/>
        <w:rPr>
          <w:noProof/>
        </w:rPr>
      </w:pPr>
      <w:r>
        <w:rPr>
          <w:noProof/>
        </w:rPr>
        <w:lastRenderedPageBreak/>
        <w:t>Предложение за</w:t>
      </w:r>
    </w:p>
    <w:p w:rsidR="009E39DA" w:rsidRDefault="00EF363F">
      <w:pPr>
        <w:pStyle w:val="Typedudocument"/>
        <w:rPr>
          <w:noProof/>
        </w:rPr>
      </w:pPr>
      <w:r>
        <w:rPr>
          <w:noProof/>
        </w:rPr>
        <w:t>РЕШЕНИЕ НА ЕВРОПЕЙСКИЯ ПАРЛАМЕНТ И НА СЪВЕТА</w:t>
      </w:r>
    </w:p>
    <w:p w:rsidR="009E39DA" w:rsidRDefault="00EF363F">
      <w:pPr>
        <w:pStyle w:val="Titreobjet"/>
        <w:rPr>
          <w:noProof/>
        </w:rPr>
      </w:pPr>
      <w:r>
        <w:rPr>
          <w:noProof/>
        </w:rPr>
        <w:t>относно мобилизирането на средства от фонд „Солидарност“ на ЕС, за да се осигури извършването на авансови плащания в рамките на бюджета за 2016 г.</w:t>
      </w:r>
    </w:p>
    <w:p w:rsidR="009E39DA" w:rsidRDefault="00EF363F">
      <w:pPr>
        <w:pStyle w:val="Institutionquiagit"/>
        <w:spacing w:before="480" w:after="360"/>
        <w:rPr>
          <w:noProof/>
        </w:rPr>
      </w:pPr>
      <w:r>
        <w:rPr>
          <w:noProof/>
        </w:rPr>
        <w:t>Е</w:t>
      </w:r>
      <w:r>
        <w:rPr>
          <w:noProof/>
        </w:rPr>
        <w:t>ВРОПЕЙСКИЯТ ПАРЛАМЕНТ И СЪВЕТЪТ НА ЕВРОПЕЙСКИЯ СЪЮЗ,</w:t>
      </w:r>
    </w:p>
    <w:p w:rsidR="009E39DA" w:rsidRDefault="00EF363F">
      <w:pPr>
        <w:rPr>
          <w:noProof/>
        </w:rPr>
      </w:pPr>
      <w:r>
        <w:rPr>
          <w:noProof/>
        </w:rPr>
        <w:t>като взеха предвид Регламент (ЕО) № 2012/2002 на Съвета от 11 ноември 2002 г. за създаване на фонд „Солидарност“ на Европейския съюз</w:t>
      </w:r>
      <w:r>
        <w:rPr>
          <w:rStyle w:val="FootnoteReference"/>
          <w:noProof/>
        </w:rPr>
        <w:footnoteReference w:id="5"/>
      </w:r>
      <w:r>
        <w:rPr>
          <w:noProof/>
        </w:rPr>
        <w:t>, и по-специално член 4а, параграф 4 от него,</w:t>
      </w:r>
    </w:p>
    <w:p w:rsidR="009E39DA" w:rsidRDefault="00EF363F">
      <w:pPr>
        <w:rPr>
          <w:noProof/>
        </w:rPr>
      </w:pPr>
      <w:r>
        <w:rPr>
          <w:noProof/>
        </w:rPr>
        <w:t>като взеха предвид Между</w:t>
      </w:r>
      <w:r>
        <w:rPr>
          <w:noProof/>
        </w:rPr>
        <w:t>институционалното споразумение от 2 декември 2013 г. между Европейския парламент, Съвета и Комисията относно бюджетната дисциплина, сътрудничеството по бюджетни въпроси и доброто финансово управление</w:t>
      </w:r>
      <w:r>
        <w:rPr>
          <w:rStyle w:val="FootnoteReference"/>
          <w:noProof/>
        </w:rPr>
        <w:footnoteReference w:id="6"/>
      </w:r>
      <w:r>
        <w:rPr>
          <w:noProof/>
        </w:rPr>
        <w:t>, и по-специално точка 11 от него,</w:t>
      </w:r>
    </w:p>
    <w:p w:rsidR="009E39DA" w:rsidRDefault="00EF363F">
      <w:pPr>
        <w:rPr>
          <w:noProof/>
        </w:rPr>
      </w:pPr>
      <w:r>
        <w:rPr>
          <w:noProof/>
        </w:rPr>
        <w:t>като взеха предвид пр</w:t>
      </w:r>
      <w:r>
        <w:rPr>
          <w:noProof/>
        </w:rPr>
        <w:t>едложението на Европейската комисия,</w:t>
      </w:r>
    </w:p>
    <w:p w:rsidR="009E39DA" w:rsidRDefault="00EF363F">
      <w:pPr>
        <w:spacing w:after="360"/>
        <w:rPr>
          <w:noProof/>
        </w:rPr>
      </w:pPr>
      <w:r>
        <w:rPr>
          <w:noProof/>
        </w:rPr>
        <w:t>като имат предвид, че:</w:t>
      </w:r>
    </w:p>
    <w:p w:rsidR="009E39DA" w:rsidRDefault="00EF363F">
      <w:pPr>
        <w:pStyle w:val="Point0number"/>
        <w:numPr>
          <w:ilvl w:val="0"/>
          <w:numId w:val="9"/>
        </w:numPr>
        <w:rPr>
          <w:noProof/>
        </w:rPr>
      </w:pPr>
      <w:r>
        <w:rPr>
          <w:noProof/>
        </w:rPr>
        <w:t xml:space="preserve">Фонд „Солидарност“ на Европейския съюз („фондът“) има за цел да се осигури възможност на Съюза да реагира по бърз, ефективен и гъвкав начин на извънредни ситуации и да се покаже солидарност с </w:t>
      </w:r>
      <w:r>
        <w:rPr>
          <w:noProof/>
        </w:rPr>
        <w:t>населението на регионите, засегнати от бедствия.</w:t>
      </w:r>
    </w:p>
    <w:p w:rsidR="009E39DA" w:rsidRDefault="00EF363F">
      <w:pPr>
        <w:pStyle w:val="Point0number"/>
        <w:rPr>
          <w:noProof/>
        </w:rPr>
      </w:pPr>
      <w:r>
        <w:rPr>
          <w:noProof/>
        </w:rPr>
        <w:t>Съгласно член 10 от Регламент (ЕС, Евратом) № 1311/2013 на Съвета</w:t>
      </w:r>
      <w:r>
        <w:rPr>
          <w:rStyle w:val="FootnoteReference"/>
          <w:noProof/>
        </w:rPr>
        <w:footnoteReference w:id="7"/>
      </w:r>
      <w:r>
        <w:rPr>
          <w:noProof/>
        </w:rPr>
        <w:t xml:space="preserve"> максималната сума, която фондът не може да надхвърля, е 500 млн. EUR (по цени от 2011 г.).</w:t>
      </w:r>
    </w:p>
    <w:p w:rsidR="009E39DA" w:rsidRDefault="00EF363F">
      <w:pPr>
        <w:pStyle w:val="Point0number"/>
        <w:rPr>
          <w:noProof/>
          <w:sz w:val="22"/>
        </w:rPr>
      </w:pPr>
      <w:r>
        <w:rPr>
          <w:noProof/>
        </w:rPr>
        <w:t>Член 4а, параграф 4 от Регламент (ЕО) № 2012/2002</w:t>
      </w:r>
      <w:r>
        <w:rPr>
          <w:noProof/>
        </w:rPr>
        <w:t xml:space="preserve"> предвижда, че за извършването на авансови плащания се предоставя сума в размер на 50 000 000 EUR посредством бюджетни кредити в общия бюджет на Съюза.</w:t>
      </w:r>
    </w:p>
    <w:p w:rsidR="009E39DA" w:rsidRDefault="00EF363F">
      <w:pPr>
        <w:pStyle w:val="Point0number"/>
        <w:rPr>
          <w:noProof/>
          <w:sz w:val="22"/>
        </w:rPr>
      </w:pPr>
      <w:r>
        <w:rPr>
          <w:noProof/>
        </w:rPr>
        <w:t>Поради това фондът следва да бъде мобилизиран за осигуряване на сумата от 50 000 000 EUR за извършването</w:t>
      </w:r>
      <w:r>
        <w:rPr>
          <w:noProof/>
        </w:rPr>
        <w:t xml:space="preserve"> на авансови плащания,</w:t>
      </w:r>
    </w:p>
    <w:p w:rsidR="009E39DA" w:rsidRDefault="00EF363F">
      <w:pPr>
        <w:spacing w:before="0" w:after="200" w:line="276" w:lineRule="auto"/>
        <w:jc w:val="left"/>
        <w:rPr>
          <w:noProof/>
        </w:rPr>
      </w:pPr>
      <w:r>
        <w:rPr>
          <w:noProof/>
        </w:rPr>
        <w:br w:type="page"/>
      </w:r>
    </w:p>
    <w:p w:rsidR="009E39DA" w:rsidRDefault="00EF363F">
      <w:pPr>
        <w:pStyle w:val="Formuledadoption"/>
        <w:rPr>
          <w:noProof/>
        </w:rPr>
      </w:pPr>
      <w:r>
        <w:rPr>
          <w:noProof/>
        </w:rPr>
        <w:lastRenderedPageBreak/>
        <w:t>ПРИЕХА НАСТОЯЩОТО РЕШЕНИЕ:</w:t>
      </w:r>
    </w:p>
    <w:p w:rsidR="009E39DA" w:rsidRDefault="00EF363F">
      <w:pPr>
        <w:pStyle w:val="Titrearticle"/>
        <w:spacing w:before="240"/>
        <w:rPr>
          <w:noProof/>
        </w:rPr>
      </w:pPr>
      <w:r>
        <w:rPr>
          <w:noProof/>
        </w:rPr>
        <w:t>Член 1</w:t>
      </w:r>
    </w:p>
    <w:p w:rsidR="009E39DA" w:rsidRDefault="00EF363F">
      <w:pPr>
        <w:rPr>
          <w:noProof/>
        </w:rPr>
      </w:pPr>
      <w:r>
        <w:rPr>
          <w:noProof/>
        </w:rPr>
        <w:t xml:space="preserve">За общия бюджет на Европейския съюз за 2016 финансова година фонд „Солидарност“ на Европейския съюз се мобилизира за осигуряване на сумата от 50 000 000 EUR бюджетни кредити за поети задължения и </w:t>
      </w:r>
      <w:r>
        <w:rPr>
          <w:noProof/>
        </w:rPr>
        <w:t>за плащания.</w:t>
      </w:r>
    </w:p>
    <w:p w:rsidR="009E39DA" w:rsidRDefault="009E39DA">
      <w:pPr>
        <w:jc w:val="center"/>
        <w:rPr>
          <w:i/>
          <w:noProof/>
        </w:rPr>
      </w:pPr>
    </w:p>
    <w:p w:rsidR="009E39DA" w:rsidRDefault="00EF363F">
      <w:pPr>
        <w:pStyle w:val="Titrearticle"/>
        <w:rPr>
          <w:noProof/>
        </w:rPr>
      </w:pPr>
      <w:r>
        <w:rPr>
          <w:noProof/>
        </w:rPr>
        <w:t xml:space="preserve">Член 2 </w:t>
      </w:r>
    </w:p>
    <w:p w:rsidR="009E39DA" w:rsidRDefault="00EF363F">
      <w:pPr>
        <w:rPr>
          <w:noProof/>
        </w:rPr>
      </w:pPr>
      <w:r>
        <w:rPr>
          <w:noProof/>
        </w:rPr>
        <w:t xml:space="preserve">Настоящото решение се публикува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>.</w:t>
      </w:r>
    </w:p>
    <w:p w:rsidR="009E39DA" w:rsidRDefault="00EF363F">
      <w:pPr>
        <w:pStyle w:val="Fait"/>
        <w:rPr>
          <w:noProof/>
        </w:rPr>
      </w:pPr>
      <w:r>
        <w:rPr>
          <w:noProof/>
        </w:rPr>
        <w:t>Съставено в Брюксел на  година.</w:t>
      </w:r>
    </w:p>
    <w:p w:rsidR="009E39DA" w:rsidRDefault="00EF363F">
      <w:pPr>
        <w:pStyle w:val="Institutionquisigne"/>
        <w:rPr>
          <w:noProof/>
        </w:rPr>
      </w:pPr>
      <w:r>
        <w:rPr>
          <w:noProof/>
        </w:rPr>
        <w:t>За Европейския парламент</w:t>
      </w:r>
      <w:r>
        <w:rPr>
          <w:noProof/>
        </w:rPr>
        <w:tab/>
        <w:t>За Съвета</w:t>
      </w:r>
    </w:p>
    <w:p w:rsidR="009E39DA" w:rsidRDefault="00EF363F">
      <w:pPr>
        <w:pStyle w:val="Personnequisigne"/>
        <w:rPr>
          <w:noProof/>
        </w:rPr>
      </w:pPr>
      <w:r>
        <w:rPr>
          <w:noProof/>
        </w:rPr>
        <w:t>Председател</w:t>
      </w:r>
      <w:r>
        <w:rPr>
          <w:noProof/>
        </w:rPr>
        <w:tab/>
        <w:t>Председател</w:t>
      </w:r>
    </w:p>
    <w:sectPr w:rsidR="009E39DA">
      <w:footnotePr>
        <w:numRestart w:val="eachSect"/>
      </w:footnote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9DA" w:rsidRDefault="00EF363F">
      <w:r>
        <w:separator/>
      </w:r>
    </w:p>
  </w:endnote>
  <w:endnote w:type="continuationSeparator" w:id="0">
    <w:p w:rsidR="009E39DA" w:rsidRDefault="00EF363F">
      <w:r>
        <w:continuationSeparator/>
      </w:r>
    </w:p>
  </w:endnote>
  <w:endnote w:type="continuationNotice" w:id="1">
    <w:p w:rsidR="009E39DA" w:rsidRDefault="009E39D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9DA" w:rsidRDefault="00EF363F"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proofErr w:type="spellStart"/>
    <w:r>
      <w:rPr>
        <w:rFonts w:ascii="Arial" w:hAnsi="Arial" w:cs="Arial"/>
        <w:b/>
        <w:sz w:val="48"/>
      </w:rPr>
      <w:t>BG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9DA" w:rsidRDefault="00EF363F"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fldChar w:fldCharType="end"/>
    </w:r>
    <w:r>
      <w:tab/>
    </w:r>
    <w:r>
      <w:fldChar w:fldCharType="begin"/>
    </w:r>
    <w:r>
      <w:instrText xml:space="preserve"> DOCVARIABLE "LW_Confidence" \* ME</w:instrText>
    </w:r>
    <w:r>
      <w:instrText xml:space="preserve">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9DA" w:rsidRDefault="009E39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9DA" w:rsidRDefault="00EF363F">
      <w:r>
        <w:separator/>
      </w:r>
    </w:p>
  </w:footnote>
  <w:footnote w:type="continuationSeparator" w:id="0">
    <w:p w:rsidR="009E39DA" w:rsidRDefault="00EF363F">
      <w:r>
        <w:continuationSeparator/>
      </w:r>
    </w:p>
  </w:footnote>
  <w:footnote w:type="continuationNotice" w:id="1">
    <w:p w:rsidR="009E39DA" w:rsidRDefault="009E39DA">
      <w:pPr>
        <w:spacing w:before="0" w:after="0"/>
      </w:pPr>
    </w:p>
  </w:footnote>
  <w:footnote w:id="2">
    <w:p w:rsidR="009E39DA" w:rsidRDefault="00EF363F"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tab/>
        <w:t>ОВ L 347, 20.12.2013 г., стр. 884.</w:t>
      </w:r>
    </w:p>
  </w:footnote>
  <w:footnote w:id="3">
    <w:p w:rsidR="009E39DA" w:rsidRDefault="00EF363F"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tab/>
      </w:r>
      <w:r>
        <w:t xml:space="preserve">ОВ C 373, 20.12.2013 г., </w:t>
      </w:r>
      <w:r>
        <w:t>стр. 1.</w:t>
      </w:r>
    </w:p>
  </w:footnote>
  <w:footnote w:id="4">
    <w:p w:rsidR="009E39DA" w:rsidRDefault="00EF363F"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rPr>
          <w:lang w:val="pl-PL"/>
        </w:rPr>
        <w:tab/>
      </w:r>
      <w:r>
        <w:t>ОВ</w:t>
      </w:r>
      <w:r>
        <w:rPr>
          <w:lang w:val="pl-PL"/>
        </w:rPr>
        <w:t xml:space="preserve"> L 311, 14.11.2002 </w:t>
      </w:r>
      <w:r>
        <w:t>г</w:t>
      </w:r>
      <w:r>
        <w:rPr>
          <w:lang w:val="pl-PL"/>
        </w:rPr>
        <w:t xml:space="preserve">., </w:t>
      </w:r>
      <w:proofErr w:type="spellStart"/>
      <w:r>
        <w:t>стр</w:t>
      </w:r>
      <w:proofErr w:type="spellEnd"/>
      <w:r>
        <w:rPr>
          <w:lang w:val="pl-PL"/>
        </w:rPr>
        <w:t>. 3.</w:t>
      </w:r>
    </w:p>
  </w:footnote>
  <w:footnote w:id="5">
    <w:p w:rsidR="009E39DA" w:rsidRDefault="00EF363F"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rPr>
          <w:lang w:val="pl-PL"/>
        </w:rPr>
        <w:tab/>
      </w:r>
      <w:r>
        <w:t>ОВ</w:t>
      </w:r>
      <w:r>
        <w:rPr>
          <w:lang w:val="pl-PL"/>
        </w:rPr>
        <w:t xml:space="preserve"> L 311, 14.11.2002 </w:t>
      </w:r>
      <w:r>
        <w:t>г</w:t>
      </w:r>
      <w:r>
        <w:rPr>
          <w:lang w:val="pl-PL"/>
        </w:rPr>
        <w:t xml:space="preserve">., </w:t>
      </w:r>
      <w:proofErr w:type="spellStart"/>
      <w:r>
        <w:t>стр</w:t>
      </w:r>
      <w:proofErr w:type="spellEnd"/>
      <w:r>
        <w:rPr>
          <w:lang w:val="pl-PL"/>
        </w:rPr>
        <w:t xml:space="preserve">. 3. </w:t>
      </w:r>
    </w:p>
  </w:footnote>
  <w:footnote w:id="6">
    <w:p w:rsidR="009E39DA" w:rsidRDefault="00EF363F"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rPr>
          <w:lang w:val="pl-PL"/>
        </w:rPr>
        <w:tab/>
      </w:r>
      <w:r>
        <w:t>ОВ</w:t>
      </w:r>
      <w:r>
        <w:rPr>
          <w:lang w:val="pl-PL"/>
        </w:rPr>
        <w:t xml:space="preserve"> C 373, 20.12.2013 </w:t>
      </w:r>
      <w:r>
        <w:t>г</w:t>
      </w:r>
      <w:r>
        <w:rPr>
          <w:lang w:val="pl-PL"/>
        </w:rPr>
        <w:t xml:space="preserve">., </w:t>
      </w:r>
      <w:proofErr w:type="spellStart"/>
      <w:r>
        <w:t>стр</w:t>
      </w:r>
      <w:proofErr w:type="spellEnd"/>
      <w:r>
        <w:rPr>
          <w:lang w:val="pl-PL"/>
        </w:rPr>
        <w:t>. 1.</w:t>
      </w:r>
    </w:p>
  </w:footnote>
  <w:footnote w:id="7">
    <w:p w:rsidR="009E39DA" w:rsidRDefault="00EF363F"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rPr>
          <w:lang w:val="pl-PL"/>
        </w:rPr>
        <w:tab/>
      </w:r>
      <w:r>
        <w:t>ОВ</w:t>
      </w:r>
      <w:r>
        <w:rPr>
          <w:lang w:val="pl-PL"/>
        </w:rPr>
        <w:t xml:space="preserve"> L 347, 20.12.2013 </w:t>
      </w:r>
      <w:r>
        <w:t>г</w:t>
      </w:r>
      <w:r>
        <w:rPr>
          <w:lang w:val="pl-PL"/>
        </w:rPr>
        <w:t xml:space="preserve">., </w:t>
      </w:r>
      <w:proofErr w:type="spellStart"/>
      <w:r>
        <w:t>стр</w:t>
      </w:r>
      <w:proofErr w:type="spellEnd"/>
      <w:r>
        <w:rPr>
          <w:lang w:val="pl-PL"/>
        </w:rPr>
        <w:t>. 884.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7E20FB7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FFFFFF7E"/>
    <w:multiLevelType w:val="singleLevel"/>
    <w:tmpl w:val="400A105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FFFFFF7F"/>
    <w:multiLevelType w:val="singleLevel"/>
    <w:tmpl w:val="45F40C6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3">
    <w:nsid w:val="FFFFFF81"/>
    <w:multiLevelType w:val="singleLevel"/>
    <w:tmpl w:val="C1989CB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9182BA2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4536BE3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57745A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FFFFFF89"/>
    <w:multiLevelType w:val="singleLevel"/>
    <w:tmpl w:val="96EC41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5-05-29 16:25:28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1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Yellow"/>
    <w:docVar w:name="DQCVersion" w:val="2"/>
    <w:docVar w:name="DQCWithWarnings" w:val="0"/>
    <w:docVar w:name="LW_CONFIDENCE" w:val=" "/>
    <w:docVar w:name="LW_CONST_RESTREINT_UE" w:val="RESTREINT UE"/>
    <w:docVar w:name="LW_CORRIGENDUM" w:val="&lt;UNUSED&gt;"/>
    <w:docVar w:name="LW_COVERPAGE_GUID" w:val="F65AAA538BC940E49C239F4ED98FB55A"/>
    <w:docVar w:name="LW_CROSSREFERENCE" w:val="&lt;UNUSED&gt;"/>
    <w:docVar w:name="LW_DocType" w:val="COM"/>
    <w:docVar w:name="LW_EMISSION" w:val="27.5.2015"/>
    <w:docVar w:name="LW_EMISSION_ISODATE" w:val="2015-05-27"/>
    <w:docVar w:name="LW_EMISSION_LOCATION" w:val="BRX"/>
    <w:docVar w:name="LW_EMISSION_PREFIX" w:val="Брюксел, "/>
    <w:docVar w:name="LW_EMISSION_SUFFIX" w:val=" \u1075?."/>
    <w:docVar w:name="LW_ID_DOCMODEL" w:val="SJ-026"/>
    <w:docVar w:name="LW_ID_DOCSIGNATURE" w:val="SJ-026"/>
    <w:docVar w:name="LW_ID_DOCSTRUCTURE" w:val="COM/PL/ORG"/>
    <w:docVar w:name="LW_ID_DOCTYPE" w:val="SJ-026"/>
    <w:docVar w:name="LW_ID_STATUT" w:val="SJ-026"/>
    <w:docVar w:name="LW_INTERETEEE.CP" w:val="&lt;UNUSED&gt;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&lt;UNUSED&gt;"/>
    <w:docVar w:name="LW_REF.II.NEW.CP_NUMBER" w:val="&lt;UNUSED&gt;"/>
    <w:docVar w:name="LW_REF.II.NEW.CP_YEAR" w:val="2015"/>
    <w:docVar w:name="LW_REF.INST.NEW" w:val="COM"/>
    <w:docVar w:name="LW_REF.INST.NEW_ADOPTED" w:val="final"/>
    <w:docVar w:name="LW_REF.INST.NEW_TEXT" w:val="(2015) 281"/>
    <w:docVar w:name="LW_REF.INTERNE" w:val="&lt;UNUSED&gt;"/>
    <w:docVar w:name="LW_SOUS.TITRE.OBJ.CP" w:val="&lt;UNUSED&gt;"/>
    <w:docVar w:name="LW_STATUT.CP" w:val="\u1055?\u1088?\u1077?\u1076?\u1083?\u1086?\u1078?\u1077?\u1085?\u1080?\u1077? \u1079?\u1072?"/>
    <w:docVar w:name="LW_SUPERTITRE" w:val="&lt;UNUSED&gt;"/>
    <w:docVar w:name="LW_TITRE.OBJ.CP" w:val="\u1086?\u1090?\u1085?\u1086?\u1089?\u1085?\u1086? \u1084?\u1086?\u1073?\u1080?\u1083?\u1080?\u1079?\u1080?\u1088?\u1072?\u1085?\u1077?\u1090?\u1086? \u1085?\u1072? \u1089?\u1088?\u1077?\u1076?\u1089?\u1090?\u1074?\u1072? \u1086?\u1090? \u1092?\u1086?\u1085?\u1076? \u8222?\u1057?\u1086?\u1083?\u1080?\u1076?\u1072?\u1088?\u1085?\u1086?\u1089?\u1090?\u8220? \u1085?\u1072? \u1045?\u1057?, \u1079?\u1072? \u1076?\u1072? \u1089?\u1077? \u1086?\u1089?\u1080?\u1075?\u1091?\u1088?\u1080? \u1080?\u1079?\u1074?\u1098?\u1088?\u1096?\u1074?\u1072?\u1085?\u1077?\u1090?\u1086? \u1085?\u1072? \u1072?\u1074?\u1072?\u1085?\u1089?\u1086?\u1074?\u1080? \u1087?\u1083?\u1072?\u1097?\u1072?\u1085?\u1080?\u1103? \u1074? \u1088?\u1072?\u1084?\u1082?\u1080?\u1090?\u1077? \u1085?\u1072? \u1073?\u1102?\u1076?\u1078?\u1077?\u1090?\u1072? \u1079?\u1072? 2016 \u1075?."/>
    <w:docVar w:name="LW_TYPE.DOC.CP" w:val="\u1056?\u1045?\u1064?\u1045?\u1053?\u1048?\u1045? \u1053?\u1040? \u1045?\u1042?\u1056?\u1054?\u1055?\u1045?\u1049?\u1057?\u1050?\u1048?\u1071? \u1055?\u1040?\u1056?\u1051?\u1040?\u1052?\u1045?\u1053?\u1058? \u1048? \u1053?\u1040? \u1057?\u1066?\u1042?\u1045?\u1058?\u1040?"/>
  </w:docVars>
  <w:rsids>
    <w:rsidRoot w:val="009E39DA"/>
    <w:rsid w:val="009E39DA"/>
    <w:rsid w:val="00EF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annotation reference" w:uiPriority="99"/>
    <w:lsdException w:name="List Bullet" w:uiPriority="99"/>
    <w:lsdException w:name="List Number" w:uiPriority="99"/>
    <w:lsdException w:name="List Bullet 2" w:uiPriority="99"/>
    <w:lsdException w:name="List Bullet 3" w:uiPriority="99"/>
    <w:lsdException w:name="List Bullet 4" w:uiPriority="99"/>
    <w:lsdException w:name="List Number 2" w:uiPriority="99"/>
    <w:lsdException w:name="List Number 3" w:uiPriority="99"/>
    <w:lsdException w:name="List Number 4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erCoverPage">
    <w:name w:val="Footer Cover Page"/>
    <w:basedOn w:val="Normal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paragraph" w:styleId="Caption">
    <w:name w:val="caption"/>
    <w:basedOn w:val="Normal"/>
    <w:next w:val="Normal"/>
    <w:uiPriority w:val="35"/>
    <w:qFormat/>
    <w:rPr>
      <w:b/>
      <w:bCs/>
      <w:sz w:val="20"/>
    </w:rPr>
  </w:style>
  <w:style w:type="paragraph" w:styleId="TableofFigures">
    <w:name w:val="table of figures"/>
    <w:basedOn w:val="Normal"/>
    <w:next w:val="Normal"/>
    <w:uiPriority w:val="99"/>
    <w:semiHidden/>
  </w:style>
  <w:style w:type="paragraph" w:styleId="ListBullet">
    <w:name w:val="List Bullet"/>
    <w:basedOn w:val="Normal"/>
    <w:uiPriority w:val="99"/>
    <w:pPr>
      <w:numPr>
        <w:numId w:val="1"/>
      </w:numPr>
    </w:pPr>
  </w:style>
  <w:style w:type="paragraph" w:styleId="ListBullet2">
    <w:name w:val="List Bullet 2"/>
    <w:basedOn w:val="Normal"/>
    <w:uiPriority w:val="99"/>
    <w:pPr>
      <w:numPr>
        <w:numId w:val="2"/>
      </w:numPr>
    </w:pPr>
  </w:style>
  <w:style w:type="paragraph" w:styleId="ListBullet3">
    <w:name w:val="List Bullet 3"/>
    <w:basedOn w:val="Normal"/>
    <w:uiPriority w:val="99"/>
    <w:pPr>
      <w:numPr>
        <w:numId w:val="3"/>
      </w:numPr>
    </w:pPr>
  </w:style>
  <w:style w:type="paragraph" w:styleId="ListBullet4">
    <w:name w:val="List Bullet 4"/>
    <w:basedOn w:val="Normal"/>
    <w:uiPriority w:val="99"/>
    <w:pPr>
      <w:numPr>
        <w:numId w:val="4"/>
      </w:numPr>
    </w:pPr>
  </w:style>
  <w:style w:type="paragraph" w:styleId="ListNumber">
    <w:name w:val="List Number"/>
    <w:basedOn w:val="Normal"/>
    <w:uiPriority w:val="99"/>
    <w:pPr>
      <w:numPr>
        <w:numId w:val="5"/>
      </w:numPr>
    </w:pPr>
  </w:style>
  <w:style w:type="paragraph" w:styleId="ListNumber2">
    <w:name w:val="List Number 2"/>
    <w:basedOn w:val="Normal"/>
    <w:uiPriority w:val="99"/>
    <w:pPr>
      <w:numPr>
        <w:numId w:val="6"/>
      </w:numPr>
    </w:pPr>
  </w:style>
  <w:style w:type="paragraph" w:styleId="ListNumber3">
    <w:name w:val="List Number 3"/>
    <w:basedOn w:val="Normal"/>
    <w:uiPriority w:val="99"/>
    <w:pPr>
      <w:numPr>
        <w:numId w:val="7"/>
      </w:numPr>
    </w:pPr>
  </w:style>
  <w:style w:type="paragraph" w:styleId="ListNumber4">
    <w:name w:val="List Number 4"/>
    <w:basedOn w:val="Normal"/>
    <w:uiPriority w:val="99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bg-BG"/>
    </w:rPr>
  </w:style>
  <w:style w:type="character" w:styleId="Hyperlink">
    <w:name w:val="Hyperlink"/>
    <w:uiPriority w:val="99"/>
    <w:rPr>
      <w:color w:val="0000FF"/>
      <w:u w:val="single"/>
      <w:shd w:val="clear" w:color="auto" w:fill="auto"/>
    </w:rPr>
  </w:style>
  <w:style w:type="paragraph" w:customStyle="1" w:styleId="HeaderCoverPage">
    <w:name w:val="Header Cover Page"/>
    <w:basedOn w:val="Normal"/>
    <w:pPr>
      <w:tabs>
        <w:tab w:val="center" w:pos="4535"/>
        <w:tab w:val="right" w:pos="9071"/>
      </w:tabs>
      <w:spacing w:before="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rFonts w:eastAsiaTheme="minorHAnsi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eastAsiaTheme="minorHAnsi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eastAsiaTheme="majorEastAsia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eastAsiaTheme="majorEastAsia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eastAsiaTheme="majorEastAsia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rFonts w:eastAsiaTheme="minorHAnsi"/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annotation reference" w:uiPriority="99"/>
    <w:lsdException w:name="List Bullet" w:uiPriority="99"/>
    <w:lsdException w:name="List Number" w:uiPriority="99"/>
    <w:lsdException w:name="List Bullet 2" w:uiPriority="99"/>
    <w:lsdException w:name="List Bullet 3" w:uiPriority="99"/>
    <w:lsdException w:name="List Bullet 4" w:uiPriority="99"/>
    <w:lsdException w:name="List Number 2" w:uiPriority="99"/>
    <w:lsdException w:name="List Number 3" w:uiPriority="99"/>
    <w:lsdException w:name="List Number 4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erCoverPage">
    <w:name w:val="Footer Cover Page"/>
    <w:basedOn w:val="Normal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paragraph" w:styleId="Caption">
    <w:name w:val="caption"/>
    <w:basedOn w:val="Normal"/>
    <w:next w:val="Normal"/>
    <w:uiPriority w:val="35"/>
    <w:qFormat/>
    <w:rPr>
      <w:b/>
      <w:bCs/>
      <w:sz w:val="20"/>
    </w:rPr>
  </w:style>
  <w:style w:type="paragraph" w:styleId="TableofFigures">
    <w:name w:val="table of figures"/>
    <w:basedOn w:val="Normal"/>
    <w:next w:val="Normal"/>
    <w:uiPriority w:val="99"/>
    <w:semiHidden/>
  </w:style>
  <w:style w:type="paragraph" w:styleId="ListBullet">
    <w:name w:val="List Bullet"/>
    <w:basedOn w:val="Normal"/>
    <w:uiPriority w:val="99"/>
    <w:pPr>
      <w:numPr>
        <w:numId w:val="1"/>
      </w:numPr>
    </w:pPr>
  </w:style>
  <w:style w:type="paragraph" w:styleId="ListBullet2">
    <w:name w:val="List Bullet 2"/>
    <w:basedOn w:val="Normal"/>
    <w:uiPriority w:val="99"/>
    <w:pPr>
      <w:numPr>
        <w:numId w:val="2"/>
      </w:numPr>
    </w:pPr>
  </w:style>
  <w:style w:type="paragraph" w:styleId="ListBullet3">
    <w:name w:val="List Bullet 3"/>
    <w:basedOn w:val="Normal"/>
    <w:uiPriority w:val="99"/>
    <w:pPr>
      <w:numPr>
        <w:numId w:val="3"/>
      </w:numPr>
    </w:pPr>
  </w:style>
  <w:style w:type="paragraph" w:styleId="ListBullet4">
    <w:name w:val="List Bullet 4"/>
    <w:basedOn w:val="Normal"/>
    <w:uiPriority w:val="99"/>
    <w:pPr>
      <w:numPr>
        <w:numId w:val="4"/>
      </w:numPr>
    </w:pPr>
  </w:style>
  <w:style w:type="paragraph" w:styleId="ListNumber">
    <w:name w:val="List Number"/>
    <w:basedOn w:val="Normal"/>
    <w:uiPriority w:val="99"/>
    <w:pPr>
      <w:numPr>
        <w:numId w:val="5"/>
      </w:numPr>
    </w:pPr>
  </w:style>
  <w:style w:type="paragraph" w:styleId="ListNumber2">
    <w:name w:val="List Number 2"/>
    <w:basedOn w:val="Normal"/>
    <w:uiPriority w:val="99"/>
    <w:pPr>
      <w:numPr>
        <w:numId w:val="6"/>
      </w:numPr>
    </w:pPr>
  </w:style>
  <w:style w:type="paragraph" w:styleId="ListNumber3">
    <w:name w:val="List Number 3"/>
    <w:basedOn w:val="Normal"/>
    <w:uiPriority w:val="99"/>
    <w:pPr>
      <w:numPr>
        <w:numId w:val="7"/>
      </w:numPr>
    </w:pPr>
  </w:style>
  <w:style w:type="paragraph" w:styleId="ListNumber4">
    <w:name w:val="List Number 4"/>
    <w:basedOn w:val="Normal"/>
    <w:uiPriority w:val="99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bg-BG"/>
    </w:rPr>
  </w:style>
  <w:style w:type="character" w:styleId="Hyperlink">
    <w:name w:val="Hyperlink"/>
    <w:uiPriority w:val="99"/>
    <w:rPr>
      <w:color w:val="0000FF"/>
      <w:u w:val="single"/>
      <w:shd w:val="clear" w:color="auto" w:fill="auto"/>
    </w:rPr>
  </w:style>
  <w:style w:type="paragraph" w:customStyle="1" w:styleId="HeaderCoverPage">
    <w:name w:val="Header Cover Page"/>
    <w:basedOn w:val="Normal"/>
    <w:pPr>
      <w:tabs>
        <w:tab w:val="center" w:pos="4535"/>
        <w:tab w:val="right" w:pos="9071"/>
      </w:tabs>
      <w:spacing w:before="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rFonts w:eastAsiaTheme="minorHAnsi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eastAsiaTheme="minorHAnsi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eastAsiaTheme="majorEastAsia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eastAsiaTheme="majorEastAsia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eastAsiaTheme="majorEastAsia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rFonts w:eastAsiaTheme="minorHAnsi"/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432AA-3AC4-43FA-97A5-30C77FA03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2</TotalTime>
  <Pages>4</Pages>
  <Words>469</Words>
  <Characters>2516</Characters>
  <Application>Microsoft Office Word</Application>
  <DocSecurity>0</DocSecurity>
  <Lines>57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PAREDES ECHAURI Cristina (CAB-ALMUNIA)</cp:lastModifiedBy>
  <cp:revision>18</cp:revision>
  <cp:lastPrinted>2014-06-05T10:15:00Z</cp:lastPrinted>
  <dcterms:created xsi:type="dcterms:W3CDTF">2015-05-29T08:16:00Z</dcterms:created>
  <dcterms:modified xsi:type="dcterms:W3CDTF">2015-05-29T14:27:00Z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Classification">
    <vt:lpwstr> </vt:lpwstr>
  </property>
  <property fmtid="{D5CDD505-2E9C-101B-9397-08002B2CF9AE}" pid="4" name="Version">
    <vt:lpwstr>5.8.40.0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5.8, Build 20111205</vt:lpwstr>
  </property>
  <property fmtid="{D5CDD505-2E9C-101B-9397-08002B2CF9AE}" pid="7" name="LWTemplateID">
    <vt:lpwstr>SJ-026</vt:lpwstr>
  </property>
  <property fmtid="{D5CDD505-2E9C-101B-9397-08002B2CF9AE}" pid="8" name="Part">
    <vt:lpwstr>1</vt:lpwstr>
  </property>
  <property fmtid="{D5CDD505-2E9C-101B-9397-08002B2CF9AE}" pid="9" name="Total parts">
    <vt:lpwstr>1</vt:lpwstr>
  </property>
  <property fmtid="{D5CDD505-2E9C-101B-9397-08002B2CF9AE}" pid="10" name="_NewReviewCycle">
    <vt:lpwstr/>
  </property>
  <property fmtid="{D5CDD505-2E9C-101B-9397-08002B2CF9AE}" pid="11" name="DQCStatus">
    <vt:lpwstr>Yellow (DQC version 02)</vt:lpwstr>
  </property>
</Properties>
</file>