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53" w:rsidRDefault="005F636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2D88567612442C58E2638F5D532D455" style="width:450.75pt;height:321pt">
            <v:imagedata r:id="rId9" o:title=""/>
          </v:shape>
        </w:pict>
      </w:r>
    </w:p>
    <w:bookmarkEnd w:id="0"/>
    <w:p w:rsidR="00BB1553" w:rsidRDefault="00BB1553">
      <w:pPr>
        <w:rPr>
          <w:noProof/>
        </w:rPr>
        <w:sectPr w:rsidR="00BB155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B1553" w:rsidRDefault="005F636C">
      <w:pPr>
        <w:spacing w:before="360"/>
        <w:jc w:val="center"/>
        <w:rPr>
          <w:rFonts w:ascii="Times New Roman" w:eastAsia="Times New Roman" w:hAnsi="Times New Roman" w:cs="Times New Roman"/>
          <w:b/>
          <w:noProof/>
          <w:sz w:val="24"/>
          <w:szCs w:val="24"/>
        </w:rPr>
      </w:pPr>
      <w:r>
        <w:rPr>
          <w:rFonts w:ascii="Times New Roman" w:hAnsi="Times New Roman"/>
          <w:b/>
          <w:noProof/>
          <w:sz w:val="24"/>
        </w:rPr>
        <w:lastRenderedPageBreak/>
        <w:t xml:space="preserve">СЪОБЩЕНИЕ НА КОМИСИЯТА ДО ЕВРОПЕЙСКИЯ ПАРЛАМЕНТ И СЪВЕТА </w:t>
      </w:r>
    </w:p>
    <w:p w:rsidR="00BB1553" w:rsidRDefault="005F636C">
      <w:pPr>
        <w:spacing w:before="360"/>
        <w:jc w:val="center"/>
        <w:rPr>
          <w:rFonts w:ascii="Times New Roman" w:eastAsia="Times New Roman" w:hAnsi="Times New Roman" w:cs="Times New Roman"/>
          <w:b/>
          <w:noProof/>
          <w:sz w:val="24"/>
          <w:szCs w:val="24"/>
        </w:rPr>
      </w:pPr>
      <w:r>
        <w:rPr>
          <w:rFonts w:ascii="Times New Roman" w:hAnsi="Times New Roman"/>
          <w:b/>
          <w:noProof/>
          <w:sz w:val="24"/>
        </w:rPr>
        <w:t xml:space="preserve">Консултация за възможностите за риболов </w:t>
      </w:r>
      <w:r>
        <w:rPr>
          <w:rFonts w:ascii="Times New Roman" w:hAnsi="Times New Roman"/>
          <w:b/>
          <w:noProof/>
          <w:sz w:val="24"/>
        </w:rPr>
        <w:t>за 2016 година</w:t>
      </w:r>
    </w:p>
    <w:p w:rsidR="00BB1553" w:rsidRDefault="005F636C">
      <w:pPr>
        <w:jc w:val="center"/>
        <w:rPr>
          <w:rFonts w:ascii="Times New Roman" w:eastAsia="Times New Roman" w:hAnsi="Times New Roman" w:cs="Times New Roman"/>
          <w:b/>
          <w:noProof/>
          <w:sz w:val="24"/>
          <w:szCs w:val="24"/>
        </w:rPr>
      </w:pPr>
      <w:r>
        <w:rPr>
          <w:rFonts w:ascii="Times New Roman" w:hAnsi="Times New Roman"/>
          <w:b/>
          <w:noProof/>
          <w:sz w:val="24"/>
        </w:rPr>
        <w:t>в рамките на общата политика в областта на рибарството</w:t>
      </w:r>
    </w:p>
    <w:p w:rsidR="00BB1553" w:rsidRDefault="005F636C">
      <w:pPr>
        <w:keepNext/>
        <w:tabs>
          <w:tab w:val="num" w:pos="850"/>
        </w:tabs>
        <w:spacing w:before="360" w:after="120"/>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Въведение</w:t>
      </w:r>
    </w:p>
    <w:p w:rsidR="00BB1553" w:rsidRDefault="00BB1553">
      <w:pPr>
        <w:jc w:val="both"/>
        <w:rPr>
          <w:rFonts w:ascii="Times New Roman" w:eastAsia="Times New Roman" w:hAnsi="Times New Roman" w:cs="Times New Roman"/>
          <w:b/>
          <w:noProof/>
          <w:sz w:val="24"/>
          <w:szCs w:val="24"/>
        </w:rPr>
      </w:pPr>
    </w:p>
    <w:p w:rsidR="00BB1553" w:rsidRDefault="005F636C">
      <w:pPr>
        <w:spacing w:before="120" w:after="120"/>
        <w:jc w:val="both"/>
        <w:rPr>
          <w:rFonts w:ascii="Times New Roman" w:eastAsia="Times New Roman" w:hAnsi="Times New Roman" w:cs="Times New Roman"/>
          <w:bCs/>
          <w:noProof/>
          <w:sz w:val="24"/>
          <w:szCs w:val="24"/>
        </w:rPr>
      </w:pPr>
      <w:r>
        <w:rPr>
          <w:rFonts w:ascii="Times New Roman" w:hAnsi="Times New Roman"/>
          <w:noProof/>
          <w:sz w:val="24"/>
        </w:rPr>
        <w:t>В настоящото съобщение се определят принципите, на които ще се основават предложенията на Комисията за възможностите за риболов за 2016 г. Държавите членки, консултативните съ</w:t>
      </w:r>
      <w:r>
        <w:rPr>
          <w:rFonts w:ascii="Times New Roman" w:hAnsi="Times New Roman"/>
          <w:noProof/>
          <w:sz w:val="24"/>
        </w:rPr>
        <w:t>вети, заинтересованите страни и обществеността се приканват да анализират насоките за политиката, изложени в настоящото съобщение, и до 1 октомври 2015 г. да представят на Комисията препоръки и предложения.</w:t>
      </w: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Възможностите за риболов за 2016 г. ще бъдат </w:t>
      </w:r>
      <w:r>
        <w:rPr>
          <w:rFonts w:ascii="Times New Roman" w:hAnsi="Times New Roman"/>
          <w:noProof/>
          <w:sz w:val="24"/>
        </w:rPr>
        <w:t>определени в съответствие с целите на новата обща политика в областта на рибарството (ОПОР) и в частност с целта за свеждане на въздействието на риболовните флотове върху запасите (смъртност от риболов) във възможно най-кратък срок до необходимите равнища,</w:t>
      </w:r>
      <w:r>
        <w:rPr>
          <w:rFonts w:ascii="Times New Roman" w:hAnsi="Times New Roman"/>
          <w:noProof/>
          <w:sz w:val="24"/>
        </w:rPr>
        <w:t xml:space="preserve"> при които запасите ще могат да се възстановят до нива на биомаса, позволяващи максимален устойчив улов. Това ще допринесе за постигане на добро екологично състояние в европейските морета до 2020 г.</w:t>
      </w:r>
      <w:r>
        <w:rPr>
          <w:rStyle w:val="FootnoteReference"/>
          <w:rFonts w:ascii="Times New Roman" w:hAnsi="Times New Roman"/>
          <w:noProof/>
          <w:sz w:val="24"/>
        </w:rPr>
        <w:footnoteReference w:id="2"/>
      </w:r>
      <w:r>
        <w:rPr>
          <w:rFonts w:ascii="Times New Roman" w:hAnsi="Times New Roman"/>
          <w:noProof/>
          <w:sz w:val="24"/>
        </w:rPr>
        <w:t xml:space="preserve"> и до намаляване на въздействието на риболова върху морск</w:t>
      </w:r>
      <w:r>
        <w:rPr>
          <w:rFonts w:ascii="Times New Roman" w:hAnsi="Times New Roman"/>
          <w:noProof/>
          <w:sz w:val="24"/>
        </w:rPr>
        <w:t>ата екосистема. Комисията ще основава своите предложения за възможностите за риболов на наличните биологични становища</w:t>
      </w:r>
      <w:r>
        <w:rPr>
          <w:rFonts w:ascii="Times New Roman" w:hAnsi="Times New Roman"/>
          <w:noProof/>
          <w:sz w:val="24"/>
          <w:vertAlign w:val="superscript"/>
        </w:rPr>
        <w:footnoteReference w:id="3"/>
      </w:r>
      <w:r>
        <w:rPr>
          <w:rFonts w:ascii="Times New Roman" w:hAnsi="Times New Roman"/>
          <w:noProof/>
          <w:sz w:val="24"/>
        </w:rPr>
        <w:t>. Когато няма такова становище, Комисията ще прилага подхода на предпазливост в съответствие с целите на ОПОР.</w:t>
      </w:r>
    </w:p>
    <w:p w:rsidR="00BB1553" w:rsidRDefault="00BB1553">
      <w:pPr>
        <w:jc w:val="both"/>
        <w:rPr>
          <w:rFonts w:ascii="Times New Roman" w:eastAsia="Times New Roman" w:hAnsi="Times New Roman" w:cs="Times New Roman"/>
          <w:noProof/>
          <w:sz w:val="24"/>
          <w:szCs w:val="24"/>
        </w:rPr>
      </w:pPr>
    </w:p>
    <w:p w:rsidR="00BB1553" w:rsidRDefault="005F636C">
      <w:pPr>
        <w:jc w:val="both"/>
        <w:rPr>
          <w:rFonts w:ascii="Times New Roman" w:eastAsia="Times New Roman" w:hAnsi="Times New Roman" w:cs="Times New Roman"/>
          <w:noProof/>
          <w:sz w:val="24"/>
          <w:szCs w:val="24"/>
        </w:rPr>
      </w:pPr>
      <w:r>
        <w:rPr>
          <w:rFonts w:ascii="Times New Roman" w:hAnsi="Times New Roman"/>
          <w:noProof/>
          <w:sz w:val="24"/>
        </w:rPr>
        <w:t>2016 е годината, през която ще влезе в сила задължението за разтоварване за дънния риболов в Северно море и във водите на Европейския съюз (ЕС) в Атлантическия океан, по силата на което съществена част от флота на ЕС в североизточната част на Атлантическия</w:t>
      </w:r>
      <w:r>
        <w:rPr>
          <w:rFonts w:ascii="Times New Roman" w:hAnsi="Times New Roman"/>
          <w:noProof/>
          <w:sz w:val="24"/>
        </w:rPr>
        <w:t xml:space="preserve"> океан ще бъде задължена да прибира и задържа целия улов на борда си и да го разтоварва на сушата. Възможностите за риболов за запасите, обхванати от задължението за разтоварване, трябва да се определят при отчитане на улова, а не разтоварванията на сушата</w:t>
      </w:r>
      <w:r>
        <w:rPr>
          <w:rFonts w:ascii="Times New Roman" w:hAnsi="Times New Roman"/>
          <w:noProof/>
          <w:sz w:val="24"/>
        </w:rPr>
        <w:t xml:space="preserve">, въз основа на биологичните становища и със съзнанието, че това не трябва да застрашава целта за максималния устойчив улов, нито да увеличи смъртността от риболов.  </w:t>
      </w:r>
    </w:p>
    <w:p w:rsidR="00BB1553" w:rsidRDefault="00BB1553">
      <w:pPr>
        <w:jc w:val="both"/>
        <w:rPr>
          <w:rFonts w:ascii="Times New Roman" w:hAnsi="Times New Roman"/>
          <w:noProof/>
          <w:sz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Прекомерният улов е широко разпространен в Средиземно море и в Черно море. Заедно с държ</w:t>
      </w:r>
      <w:r>
        <w:rPr>
          <w:rFonts w:ascii="Times New Roman" w:hAnsi="Times New Roman"/>
          <w:noProof/>
          <w:sz w:val="24"/>
        </w:rPr>
        <w:t xml:space="preserve">авите членки и заинтересованите страни, както и на международно равнище Комисията активно работи за промяна на това положение чрез подобряване на познанията за ресурсите и мерки за управление.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Съгласно член 50 от регламента за ОПОР Комисията е задължена </w:t>
      </w:r>
      <w:r>
        <w:rPr>
          <w:rFonts w:ascii="Times New Roman" w:hAnsi="Times New Roman"/>
          <w:noProof/>
          <w:sz w:val="24"/>
        </w:rPr>
        <w:t xml:space="preserve">да докладва ежегодно пред Европейския парламент и пред Съвета относно постигнатия напредък към </w:t>
      </w:r>
      <w:r>
        <w:rPr>
          <w:rFonts w:ascii="Times New Roman" w:hAnsi="Times New Roman"/>
          <w:noProof/>
          <w:sz w:val="24"/>
        </w:rPr>
        <w:lastRenderedPageBreak/>
        <w:t>максимален устойчив добив и относно състоянието на рибните запаси. С настоящото съобщение се докладва за напредъка.</w:t>
      </w:r>
    </w:p>
    <w:p w:rsidR="00BB1553" w:rsidRDefault="00BB1553">
      <w:pPr>
        <w:jc w:val="both"/>
        <w:rPr>
          <w:rFonts w:ascii="Times New Roman Bold" w:eastAsia="Times New Roman" w:hAnsi="Times New Roman Bold" w:cs="Times New Roman"/>
          <w:b/>
          <w:bCs/>
          <w:smallCaps/>
          <w:noProof/>
          <w:sz w:val="24"/>
          <w:szCs w:val="24"/>
        </w:rPr>
      </w:pPr>
    </w:p>
    <w:p w:rsidR="00BB1553" w:rsidRDefault="005F636C">
      <w:pPr>
        <w:jc w:val="both"/>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 xml:space="preserve">Максимален устойчив улов и взаимодействие с </w:t>
      </w:r>
      <w:r>
        <w:rPr>
          <w:rFonts w:ascii="Times New Roman Bold" w:hAnsi="Times New Roman Bold"/>
          <w:b/>
          <w:smallCaps/>
          <w:noProof/>
          <w:sz w:val="24"/>
        </w:rPr>
        <w:t>многогодишни планове</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След реформата на ОПОР беше създадена работна група, за да се сложи край на междуинституционалния застой по отношение на многогодишните планове. Работната група приключи работата си през април 2014 г. и в резултат представи рамка, коя</w:t>
      </w:r>
      <w:r>
        <w:rPr>
          <w:rFonts w:ascii="Times New Roman" w:hAnsi="Times New Roman"/>
          <w:noProof/>
          <w:sz w:val="24"/>
        </w:rPr>
        <w:t>то да улесни разработването и въвеждането на многогодишни планове в рамките на ОПОР. Новото поколение многогодишни планове следва да съдържа цели за максималния устойчив улов (с крайни срокове) за запасите, които са определящи за съответните видове риболов</w:t>
      </w:r>
      <w:r>
        <w:rPr>
          <w:rFonts w:ascii="Times New Roman" w:hAnsi="Times New Roman"/>
          <w:noProof/>
          <w:sz w:val="24"/>
        </w:rPr>
        <w:t>.  Освен това в плановете могат да бъдат включени и диапазони на нивата на експлоатация (смъртност от риболов), за които се счита, че са в съответствие с максималния устойчив улов.</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Въз основа на заключенията на работната група Комисията представи предложе</w:t>
      </w:r>
      <w:r>
        <w:rPr>
          <w:rFonts w:ascii="Times New Roman" w:hAnsi="Times New Roman"/>
          <w:noProof/>
          <w:sz w:val="24"/>
        </w:rPr>
        <w:t>ние за многогодишен план за риболова в Балтийско море</w:t>
      </w:r>
      <w:r>
        <w:rPr>
          <w:rFonts w:ascii="Times New Roman" w:hAnsi="Times New Roman"/>
          <w:noProof/>
          <w:sz w:val="24"/>
          <w:vertAlign w:val="superscript"/>
        </w:rPr>
        <w:footnoteReference w:id="4"/>
      </w:r>
      <w:r>
        <w:rPr>
          <w:rFonts w:ascii="Times New Roman" w:hAnsi="Times New Roman"/>
          <w:noProof/>
          <w:sz w:val="24"/>
        </w:rPr>
        <w:t>, което включва предложените целеви стойности и срокове за постигане на максималния устойчив улов.  Със заинтересованите страни се обсъждат в момента други предложения за план за смесен риболов на дънни</w:t>
      </w:r>
      <w:r>
        <w:rPr>
          <w:rFonts w:ascii="Times New Roman" w:hAnsi="Times New Roman"/>
          <w:noProof/>
          <w:sz w:val="24"/>
        </w:rPr>
        <w:t xml:space="preserve"> видове в Северно море, както и за план за смесен риболов на дънни видове в западните води. Обмисля се многогодишен план за риболова на пелагични видове в Атлантическия океан. При подготовката на своите предложения за тези планове Комисията поиска от Между</w:t>
      </w:r>
      <w:r>
        <w:rPr>
          <w:rFonts w:ascii="Times New Roman" w:hAnsi="Times New Roman"/>
          <w:noProof/>
          <w:sz w:val="24"/>
        </w:rPr>
        <w:t>народния съвет за изследване на морето (ICES) да предостави диапазони на максимален устойчив улов за запасите, за които възможностите за риболов се определят от ICES, за да бъдат използвани в управлението на видовете смесен риболов, за които са съставени п</w:t>
      </w:r>
      <w:r>
        <w:rPr>
          <w:rFonts w:ascii="Times New Roman" w:hAnsi="Times New Roman"/>
          <w:noProof/>
          <w:sz w:val="24"/>
        </w:rPr>
        <w:t>ланове. За значителен брой запаси ICES предостави тези диапазони</w:t>
      </w:r>
      <w:r>
        <w:rPr>
          <w:rStyle w:val="FootnoteReference"/>
          <w:rFonts w:ascii="Times New Roman" w:hAnsi="Times New Roman"/>
          <w:noProof/>
          <w:sz w:val="24"/>
        </w:rPr>
        <w:footnoteReference w:id="5"/>
      </w:r>
      <w:r>
        <w:rPr>
          <w:rFonts w:ascii="Times New Roman" w:hAnsi="Times New Roman"/>
          <w:noProof/>
          <w:sz w:val="24"/>
        </w:rPr>
        <w:t xml:space="preserve">.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Комисията е особено загрижена за положението в Средиземно море. Необходими са конкретни мерки, за да се постигне нивото на максимален устойчив улов. За преодоляване на тази ситуация Комис</w:t>
      </w:r>
      <w:r>
        <w:rPr>
          <w:rFonts w:ascii="Times New Roman" w:hAnsi="Times New Roman"/>
          <w:noProof/>
          <w:sz w:val="24"/>
        </w:rPr>
        <w:t>ията възнамерява да започне със запасите, които се експлоатират (почти) изключително от флотове на ЕС. През 2015/2016 г. Комисията възнамерява да предложи многогодишни планове на ЕС за Средиземно море, които съответстват на целта за максимален устойчив уло</w:t>
      </w:r>
      <w:r>
        <w:rPr>
          <w:rFonts w:ascii="Times New Roman" w:hAnsi="Times New Roman"/>
          <w:noProof/>
          <w:sz w:val="24"/>
        </w:rPr>
        <w:t>в и съдържат срокове, а именно: план за хамсия и сардина в северната част на Адриатическо море и план за дънни видове в северозападната част на Средиземно море. Започнаха и обсъждания с държавите членки и със заинтересованите страни за други многогодишни п</w:t>
      </w:r>
      <w:r>
        <w:rPr>
          <w:rFonts w:ascii="Times New Roman" w:hAnsi="Times New Roman"/>
          <w:noProof/>
          <w:sz w:val="24"/>
        </w:rPr>
        <w:t>ланове на ЕС (например за дънни видове в Адриатическо море и дребни пелагични видове в северозападната част на Средиземно море).  Освен това Комисията преразгледа национални планове за управление</w:t>
      </w:r>
      <w:r>
        <w:rPr>
          <w:rFonts w:ascii="Times New Roman" w:hAnsi="Times New Roman"/>
          <w:noProof/>
          <w:sz w:val="24"/>
          <w:vertAlign w:val="superscript"/>
        </w:rPr>
        <w:footnoteReference w:id="6"/>
      </w:r>
      <w:r>
        <w:rPr>
          <w:rFonts w:ascii="Times New Roman" w:hAnsi="Times New Roman"/>
          <w:noProof/>
          <w:sz w:val="24"/>
        </w:rPr>
        <w:t>, за да се прецени дали те адекватно отразяват целта за макс</w:t>
      </w:r>
      <w:r>
        <w:rPr>
          <w:rFonts w:ascii="Times New Roman" w:hAnsi="Times New Roman"/>
          <w:noProof/>
          <w:sz w:val="24"/>
        </w:rPr>
        <w:t>имален устойчив улов.  Около половината от националните планове се основават на (приблизителна) цел за максимален устойчив улов, преди всичко приетите през 2013 и 2014 г. планове. Плановете без параметри за максимален устойчив улов са приети главно въз осн</w:t>
      </w:r>
      <w:r>
        <w:rPr>
          <w:rFonts w:ascii="Times New Roman" w:hAnsi="Times New Roman"/>
          <w:noProof/>
          <w:sz w:val="24"/>
        </w:rPr>
        <w:t>ова на подхода на предпазливост. Комисията ще помоли Научния, технически и икономически комитет по рибарство (НТИКР) за преглед и за приоритетно предоставяне на прогнози за максималния устойчив улов за всички известни запаси. След това Комисията ще се свър</w:t>
      </w:r>
      <w:r>
        <w:rPr>
          <w:rFonts w:ascii="Times New Roman" w:hAnsi="Times New Roman"/>
          <w:noProof/>
          <w:sz w:val="24"/>
        </w:rPr>
        <w:t xml:space="preserve">же със съответните държави членки, за да се гарантира, че националните планове за управление бързо се адаптират, ако това е необходимо (т.е. да се включи целта за максимален устойчив улов с краен срок).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По отношение на запасите, които се поделят с трети</w:t>
      </w:r>
      <w:r>
        <w:rPr>
          <w:rFonts w:ascii="Times New Roman" w:hAnsi="Times New Roman"/>
          <w:noProof/>
          <w:sz w:val="24"/>
        </w:rPr>
        <w:t xml:space="preserve"> държави (например дънни запаси в Сицилийския пролив, дребни пелагични и дънни запаси в Йонийско и Егейско море) Комисията ще насърчава подходящи действия на равнището на Генералната комисия по риболова в Средиземно море (GFCM).</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В Черно море Комисията про</w:t>
      </w:r>
      <w:r>
        <w:rPr>
          <w:rFonts w:ascii="Times New Roman" w:hAnsi="Times New Roman"/>
          <w:noProof/>
          <w:sz w:val="24"/>
        </w:rPr>
        <w:t>дължава да работи със съответните държави членки и на равнището на GFCM, за да се вземат мерки за борбата с често неотчетения риболов на калкан и калканоподобни.</w:t>
      </w:r>
    </w:p>
    <w:p w:rsidR="00BB1553" w:rsidRDefault="00BB1553">
      <w:pPr>
        <w:jc w:val="both"/>
        <w:rPr>
          <w:rFonts w:ascii="Times New Roman Bold" w:eastAsia="Times New Roman" w:hAnsi="Times New Roman Bold" w:cs="Times New Roman"/>
          <w:b/>
          <w:bCs/>
          <w:smallCaps/>
          <w:noProof/>
          <w:sz w:val="24"/>
          <w:szCs w:val="24"/>
        </w:rPr>
      </w:pPr>
    </w:p>
    <w:p w:rsidR="00BB1553" w:rsidRDefault="005F636C">
      <w:pPr>
        <w:jc w:val="both"/>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Предложения за 2016 г. за общия допустим улов (ОДУ)</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u w:val="single"/>
        </w:rPr>
      </w:pPr>
      <w:r>
        <w:rPr>
          <w:rFonts w:ascii="Times New Roman" w:hAnsi="Times New Roman"/>
          <w:noProof/>
          <w:sz w:val="24"/>
          <w:u w:val="single"/>
        </w:rPr>
        <w:t xml:space="preserve">Запаси с оценка на максималния устойчив </w:t>
      </w:r>
      <w:r>
        <w:rPr>
          <w:rFonts w:ascii="Times New Roman" w:hAnsi="Times New Roman"/>
          <w:noProof/>
          <w:sz w:val="24"/>
          <w:u w:val="single"/>
        </w:rPr>
        <w:t>улов</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За предложенията за ОДУ за 2016 г. Комисията възнамерява да продължи да използва наличните точкови стойности за максималния устойчив улов и ще продължи да се позовава на тях, докато се съгласуват и приемат нови многогодишни планове.</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Значителният нап</w:t>
      </w:r>
      <w:r>
        <w:rPr>
          <w:rFonts w:ascii="Times New Roman" w:hAnsi="Times New Roman"/>
          <w:noProof/>
          <w:sz w:val="24"/>
        </w:rPr>
        <w:t>редък, постигнат от Съвета при определянето на ОДУ в съответствие с максималния устойчив улов (36 през 2015 г. спрямо 5 през 2009 г.), допринесе за увеличаване на броя на запасите, при които се практикува риболов на равнища, съответстващи на максималния ус</w:t>
      </w:r>
      <w:r>
        <w:rPr>
          <w:rFonts w:ascii="Times New Roman" w:hAnsi="Times New Roman"/>
          <w:noProof/>
          <w:sz w:val="24"/>
        </w:rPr>
        <w:t>тойчив улов (26 запаса през 2015 г.).  Нагледен пример е Балтийско море, където Съветът наскоро премина към определянето на ОДУ в съответствие с максималния устойчив улов, като в резултат броят на запасите, при които се практикува риболов на равнища на мак</w:t>
      </w:r>
      <w:r>
        <w:rPr>
          <w:rFonts w:ascii="Times New Roman" w:hAnsi="Times New Roman"/>
          <w:noProof/>
          <w:sz w:val="24"/>
        </w:rPr>
        <w:t xml:space="preserve">сималния устойчив улов, за последните години се е увеличил от 0 на 3 (от общо 6, за които е извършена оценка във връзка с максималния устойчив улов).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Необходимо е да се продължи работата в тази насока и през 2016 и 2017 г. и да се създадат условия за постигане на максималния устойчив улов възможно най-скоро, и не по-късно до 2020 г.  Поради това Комисията възнамерява да предложи ОДУ, с които да се пости</w:t>
      </w:r>
      <w:r>
        <w:rPr>
          <w:rFonts w:ascii="Times New Roman" w:hAnsi="Times New Roman"/>
          <w:noProof/>
          <w:sz w:val="24"/>
        </w:rPr>
        <w:t>гне целта за максимален устойчив улов през 2016 г.  Само ако това би означавало много големи годишни намаления на възможностите за риболов, които сериозно биха застрашили социалната и икономическата устойчивост на участващите флотове, едно отлагане на пост</w:t>
      </w:r>
      <w:r>
        <w:rPr>
          <w:rFonts w:ascii="Times New Roman" w:hAnsi="Times New Roman"/>
          <w:noProof/>
          <w:sz w:val="24"/>
        </w:rPr>
        <w:t xml:space="preserve">игането на целта за след 2016 г. (но не и след 2020 г.) би било приемливо, като възможностите за риболов постепенно се намаляват с оглед на своевременното постигане на максималния устойчив улов.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Комисията продължава да следи развитието на състоянието на </w:t>
      </w:r>
      <w:r>
        <w:rPr>
          <w:rFonts w:ascii="Times New Roman" w:hAnsi="Times New Roman"/>
          <w:noProof/>
          <w:sz w:val="24"/>
        </w:rPr>
        <w:t>запасите във всички морски басейни на ЕС, като обръща особено внимание на запасите, при които все още не се практикува риболов в съответствие с максималния устойчив улов, и изследва развитието на тези запаси, за да гарантира постигането на целта за максима</w:t>
      </w:r>
      <w:r>
        <w:rPr>
          <w:rFonts w:ascii="Times New Roman" w:hAnsi="Times New Roman"/>
          <w:noProof/>
          <w:sz w:val="24"/>
        </w:rPr>
        <w:t>лния устойчив улов в съответния срок. Това може да бъде улеснено чрез въвеждането на по-селективни риболовни практики.</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Когато съществуващите многогодишни планове са в съответствие с максималния устойчив улов, те следва да се прилагат. Ако тези планове веч</w:t>
      </w:r>
      <w:r>
        <w:rPr>
          <w:rFonts w:ascii="Times New Roman" w:hAnsi="Times New Roman"/>
          <w:noProof/>
          <w:sz w:val="24"/>
        </w:rPr>
        <w:t xml:space="preserve">е не са съвместими с ОПОР (например защото съдържат цел, различна от максималния устойчив улов, или такава цел е постигната), Комисията възнамерява да приеме предложения за ОДУ въз основа на максималния устойчив улов.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Calibri" w:hAnsi="Times New Roman" w:cs="Times New Roman"/>
          <w:noProof/>
          <w:color w:val="000000"/>
          <w:sz w:val="24"/>
          <w:szCs w:val="24"/>
        </w:rPr>
      </w:pPr>
      <w:r>
        <w:rPr>
          <w:rFonts w:ascii="Times New Roman" w:hAnsi="Times New Roman"/>
          <w:noProof/>
          <w:color w:val="000000"/>
          <w:sz w:val="24"/>
        </w:rPr>
        <w:t>За запаси (за които е извършена оце</w:t>
      </w:r>
      <w:r>
        <w:rPr>
          <w:rFonts w:ascii="Times New Roman" w:hAnsi="Times New Roman"/>
          <w:noProof/>
          <w:color w:val="000000"/>
          <w:sz w:val="24"/>
        </w:rPr>
        <w:t>нка във връзка с максималния устойчив улов), поделяни с трети държави, Комисията ще се стреми да се споразумее с партньорите за прилагане на същия подход. За запасите, управлявани от регионални организации за управление на рибарството (РОУР), Комисията въз</w:t>
      </w:r>
      <w:r>
        <w:rPr>
          <w:rFonts w:ascii="Times New Roman" w:hAnsi="Times New Roman"/>
          <w:noProof/>
          <w:color w:val="000000"/>
          <w:sz w:val="24"/>
        </w:rPr>
        <w:t>намерява да следва подхода, определен от Съвета в указанията за водене на преговори с РОУР, които предвиждат спазването едни и същи стандарти и принципи, както в ЕС, и, когато е уместно, да насърчава тясно сътрудничество в рамките на регионалните морски ко</w:t>
      </w:r>
      <w:r>
        <w:rPr>
          <w:rFonts w:ascii="Times New Roman" w:hAnsi="Times New Roman"/>
          <w:noProof/>
          <w:color w:val="000000"/>
          <w:sz w:val="24"/>
        </w:rPr>
        <w:t>нвенции за подобряване на наличността на данни и усъвършенстване на научните становища.</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u w:val="single"/>
        </w:rPr>
      </w:pPr>
      <w:r>
        <w:rPr>
          <w:rFonts w:ascii="Times New Roman" w:hAnsi="Times New Roman"/>
          <w:noProof/>
          <w:sz w:val="24"/>
          <w:u w:val="single"/>
        </w:rPr>
        <w:t>Други запаси</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За запасите, за които няма налични оценки и прогнози на максималния устойчив улов, Комисията ще използва приблизителни параметри. Предложенията за ОДУ се</w:t>
      </w:r>
      <w:r>
        <w:rPr>
          <w:rFonts w:ascii="Times New Roman" w:hAnsi="Times New Roman"/>
          <w:noProof/>
          <w:sz w:val="24"/>
        </w:rPr>
        <w:t xml:space="preserve"> основават на наличните биологични становища и не излагат на риск опазването на съответните запаси. Срещат се следните случаи.</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i/>
          <w:noProof/>
          <w:sz w:val="24"/>
        </w:rPr>
        <w:t>Запаси, за които са налични данни, позволяващи определянето на приблизителни стойности за максимален устойчив улов</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За тези запа</w:t>
      </w:r>
      <w:r>
        <w:rPr>
          <w:rFonts w:ascii="Times New Roman" w:hAnsi="Times New Roman"/>
          <w:noProof/>
          <w:sz w:val="24"/>
        </w:rPr>
        <w:t>си, за които е налице голямо количество данни, направени са аналитични оценки и са изготвени прогнозни тенденции, обикновено е на разположение приблизителна стойност за максимален устойчив улов с количествени  препоръки за улова. Подходът на Комисията за п</w:t>
      </w:r>
      <w:r>
        <w:rPr>
          <w:rFonts w:ascii="Times New Roman" w:hAnsi="Times New Roman"/>
          <w:noProof/>
          <w:sz w:val="24"/>
        </w:rPr>
        <w:t>редставяне на предложения за определяне на ОДУ ще бъде подобен, както по отношение на запасите с пълна оценка на максималния устойчив улов.</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i/>
          <w:noProof/>
          <w:sz w:val="24"/>
        </w:rPr>
        <w:t>Запаси, при които за разработването на приблизителни стойности за максимален устойчив улов се използват  тенденции,</w:t>
      </w:r>
      <w:r>
        <w:rPr>
          <w:rFonts w:ascii="Times New Roman" w:hAnsi="Times New Roman"/>
          <w:i/>
          <w:noProof/>
          <w:sz w:val="24"/>
        </w:rPr>
        <w:t xml:space="preserve"> изготвени на базата на проучвания или на динамични редове за улова</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При липса на оценка на максималния устойчив улов препоръките са количествени и предлагат ограничения на улова. Комисията възнамерява да използва становището на ICES за тези запаси и да ра</w:t>
      </w:r>
      <w:r>
        <w:rPr>
          <w:rFonts w:ascii="Times New Roman" w:hAnsi="Times New Roman"/>
          <w:noProof/>
          <w:sz w:val="24"/>
        </w:rPr>
        <w:t>згледа ситуацията за всеки отделен случай, като вземе предвид подхода на предпазливост.</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i/>
          <w:noProof/>
          <w:sz w:val="24"/>
        </w:rPr>
        <w:t>Запаси с презумпция за стабилност</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През предишни години Съветът и Комисията се споразумяха ОДУ за 26 запаса да останат непроменени, освен ако биологични становища соча</w:t>
      </w:r>
      <w:r>
        <w:rPr>
          <w:rFonts w:ascii="Times New Roman" w:hAnsi="Times New Roman"/>
          <w:noProof/>
          <w:sz w:val="24"/>
        </w:rPr>
        <w:t>т необходимостта от корекция. Като цяло тук става дума за запаси, които се експлоатират само като прилов или с ниска степен на оползотворяване на квотите, които не са от голямо икономическо значение и за чието състояние е налице само ограничена информация.</w:t>
      </w:r>
      <w:r>
        <w:rPr>
          <w:rFonts w:ascii="Times New Roman" w:hAnsi="Times New Roman"/>
          <w:noProof/>
          <w:sz w:val="24"/>
        </w:rPr>
        <w:t xml:space="preserve"> Комисията възнамерява да продължи с този подход, като  взема предвид евентуални указания на ICES за преразглеждане.</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i/>
          <w:noProof/>
          <w:sz w:val="24"/>
        </w:rPr>
        <w:t>Запаси без биологично становище</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При липса на биологично становище следва да се прилага подходът на предпазливост по систематичен, предвар</w:t>
      </w:r>
      <w:r>
        <w:rPr>
          <w:rFonts w:ascii="Times New Roman" w:hAnsi="Times New Roman"/>
          <w:noProof/>
          <w:sz w:val="24"/>
        </w:rPr>
        <w:t>ително определен и прозрачен начин в съответствие с член 2, параграф 2 от регламента за ОПОР. ICES работи за по-нататъшното разработване на инструменти за запълване на съществуващите празнини.</w:t>
      </w:r>
    </w:p>
    <w:p w:rsidR="00BB1553" w:rsidRDefault="00BB1553">
      <w:pPr>
        <w:jc w:val="both"/>
        <w:rPr>
          <w:rFonts w:ascii="Times New Roman" w:eastAsia="Times New Roman" w:hAnsi="Times New Roman" w:cs="Times New Roman"/>
          <w:bCs/>
          <w:noProof/>
          <w:sz w:val="24"/>
          <w:szCs w:val="24"/>
        </w:rPr>
      </w:pPr>
    </w:p>
    <w:p w:rsidR="00BB1553" w:rsidRDefault="005F636C">
      <w:pPr>
        <w:rPr>
          <w:rFonts w:ascii="Times New Roman" w:eastAsia="Times New Roman" w:hAnsi="Times New Roman" w:cs="Times New Roman"/>
          <w:bCs/>
          <w:noProof/>
          <w:sz w:val="24"/>
          <w:szCs w:val="24"/>
        </w:rPr>
      </w:pPr>
      <w:r>
        <w:rPr>
          <w:rFonts w:ascii="Times New Roman" w:hAnsi="Times New Roman"/>
          <w:noProof/>
          <w:sz w:val="24"/>
          <w:u w:val="single"/>
        </w:rPr>
        <w:t>ОДУ и задължението за разтоварване на сушата на целия улов</w:t>
      </w:r>
    </w:p>
    <w:p w:rsidR="00BB1553" w:rsidRDefault="00BB1553">
      <w:pPr>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През 2016 г. ще влезе в сила задължението за разтоварване на улова за определени видове дънен риболов в Северно море, както и в северозападните и югозападните води на Атлантическия океан. Значителен брой рибари ще бъдат засегнати за първи път от задължение</w:t>
      </w:r>
      <w:r>
        <w:rPr>
          <w:rFonts w:ascii="Times New Roman" w:hAnsi="Times New Roman"/>
          <w:noProof/>
          <w:sz w:val="24"/>
        </w:rPr>
        <w:t xml:space="preserve">то за разтоварване.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Държавите членки си сътрудничат на регионално равнище с цел прилагане на задължението за разтоварване на сушата, като разработват съвместни препоръки на регионално равнище за план за премахване на изхвърления улов (които впоследствие</w:t>
      </w:r>
      <w:r>
        <w:rPr>
          <w:rFonts w:ascii="Times New Roman" w:hAnsi="Times New Roman"/>
          <w:noProof/>
          <w:sz w:val="24"/>
        </w:rPr>
        <w:t xml:space="preserve"> могат да бъдат транспонирани при определени условия в регламенти на Комисията, приложими за всички засегнати кораби). В сравнение със задължението за разтоварване от 2015 г. държавите членки имат по-голяма свобода по отношение на постепенното въвеждане на</w:t>
      </w:r>
      <w:r>
        <w:rPr>
          <w:rFonts w:ascii="Times New Roman" w:hAnsi="Times New Roman"/>
          <w:noProof/>
          <w:sz w:val="24"/>
        </w:rPr>
        <w:t xml:space="preserve"> задължението за разтоварване (като се започне през 2016 г. с видовете, определящи за съответния вид риболов, за да бъдат до края на 2018 г. обхванати останалите видове, включени в него).</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По отношение на засегнатите видове риболов при определянето на ОДУ </w:t>
      </w:r>
      <w:r>
        <w:rPr>
          <w:rFonts w:ascii="Times New Roman" w:hAnsi="Times New Roman"/>
          <w:noProof/>
          <w:sz w:val="24"/>
        </w:rPr>
        <w:t xml:space="preserve">следва да се вземе предвид промяната, която се състои в отчитане на улова, а не на разтоварванията. На практика това означава, че становищата на ICES следва да се основават вече на улова (в това число улова, който по-рано е бил изхвърлян, а сега трябва да </w:t>
      </w:r>
      <w:r>
        <w:rPr>
          <w:rFonts w:ascii="Times New Roman" w:hAnsi="Times New Roman"/>
          <w:noProof/>
          <w:sz w:val="24"/>
        </w:rPr>
        <w:t xml:space="preserve">бъде разтоварван на сушата), а не на разтоварванията.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Корекциите на ОДУ са част от цялостния пакет от мерки за прилагане на задължението за разтоварване на сушата в засегнатите видове риболов. По-специално разпоредбите в приложимия план за премахване на </w:t>
      </w:r>
      <w:r>
        <w:rPr>
          <w:rFonts w:ascii="Times New Roman" w:hAnsi="Times New Roman"/>
          <w:noProof/>
          <w:sz w:val="24"/>
        </w:rPr>
        <w:t xml:space="preserve">изхвърления улов могат да се отразят на необходимостта и размера на корекциите на ОДУ.  Така например въвеждането на дадена разпоредба </w:t>
      </w:r>
      <w:r>
        <w:rPr>
          <w:rFonts w:ascii="Times New Roman" w:hAnsi="Times New Roman"/>
          <w:i/>
          <w:noProof/>
          <w:sz w:val="24"/>
        </w:rPr>
        <w:t>de minimis</w:t>
      </w:r>
      <w:r>
        <w:rPr>
          <w:rFonts w:ascii="Times New Roman" w:hAnsi="Times New Roman"/>
          <w:noProof/>
          <w:sz w:val="24"/>
        </w:rPr>
        <w:t xml:space="preserve"> в дадена риболовна дейност може да намали необходимостта от корекции на ОДУ. Подобреното управление на квотите</w:t>
      </w:r>
      <w:r>
        <w:rPr>
          <w:rFonts w:ascii="Times New Roman" w:hAnsi="Times New Roman"/>
          <w:noProof/>
          <w:sz w:val="24"/>
        </w:rPr>
        <w:t xml:space="preserve"> на национално равнище (включително адаптирани стратегии за замяна на квоти) и използването на инструмента за гъвкавост на квотите между видовете могат също така да се отразят на корекциите на ОДУ. При предложенията си за корекции на ОДУ Комисията ще се съ</w:t>
      </w:r>
      <w:r>
        <w:rPr>
          <w:rFonts w:ascii="Times New Roman" w:hAnsi="Times New Roman"/>
          <w:noProof/>
          <w:sz w:val="24"/>
        </w:rPr>
        <w:t xml:space="preserve">образява с тези елементи за всеки случай поотделно.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И в миналото данните за изхвърлянията не винаги са били пълни, затова няма да е винаги възможно за ICES да дава препоръки по конкретни цифри. В тези случаи, вместо да се въведат механични политически кр</w:t>
      </w:r>
      <w:r>
        <w:rPr>
          <w:rFonts w:ascii="Times New Roman" w:hAnsi="Times New Roman"/>
          <w:noProof/>
          <w:sz w:val="24"/>
        </w:rPr>
        <w:t>итерии, като например фиксиран таван за корекциите на ОДУ, Комисията моли ICES да оцени във възможно най-голяма степен общия улов от изминалите години, да включи нови налични (валидирани) данни и да направи екстраполации, когато това е необходимо и методол</w:t>
      </w:r>
      <w:r>
        <w:rPr>
          <w:rFonts w:ascii="Times New Roman" w:hAnsi="Times New Roman"/>
          <w:noProof/>
          <w:sz w:val="24"/>
        </w:rPr>
        <w:t xml:space="preserve">огично приемливо. </w:t>
      </w: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 </w:t>
      </w: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Комисията възнамерява да предложи корекции на ОДУ за запасите, които от 2016 г. ще бъдат обхванати от задължението за разтоварване. За случаите, при които част от улова от даден запас трябва да бъде разтоварена, защото става въпрос за </w:t>
      </w:r>
      <w:r>
        <w:rPr>
          <w:rFonts w:ascii="Times New Roman" w:hAnsi="Times New Roman"/>
          <w:noProof/>
          <w:sz w:val="24"/>
        </w:rPr>
        <w:t>риболов, обхванат от задължението за разтоварване от 2016 г., а друга част от улова от същия запас все още може да бъде изхвърлена (защото е уловена при видове риболов, попаднали в обхвата на задължението за разтоварване между 2017 г. и 2019 г.), Комисията</w:t>
      </w:r>
      <w:r>
        <w:rPr>
          <w:rFonts w:ascii="Times New Roman" w:hAnsi="Times New Roman"/>
          <w:noProof/>
          <w:sz w:val="24"/>
        </w:rPr>
        <w:t xml:space="preserve"> възнамерява да предложи корекции на ОДУ, когато уловът от даден запас е </w:t>
      </w:r>
      <w:r>
        <w:rPr>
          <w:rFonts w:ascii="Times New Roman" w:hAnsi="Times New Roman"/>
          <w:i/>
          <w:noProof/>
          <w:sz w:val="24"/>
        </w:rPr>
        <w:t>предимно</w:t>
      </w:r>
      <w:r>
        <w:rPr>
          <w:rFonts w:ascii="Times New Roman" w:hAnsi="Times New Roman"/>
          <w:noProof/>
          <w:sz w:val="24"/>
        </w:rPr>
        <w:t xml:space="preserve"> подложен на задължението за разтоварване. За запасите, за които задължението за разтоварване влиза в сила през по-късните години, през 2016 г. не са нужни корекции на ОДУ.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Ако са предвидени корекции на ОДУ за запаси, които се управляват съвместно с международни партньори (трети държави, РОУР), тези корекции са предмет на консултации и преговори със съответните партньори.</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От ICES бе поискано да включи наличните данни за изх</w:t>
      </w:r>
      <w:r>
        <w:rPr>
          <w:rFonts w:ascii="Times New Roman" w:hAnsi="Times New Roman"/>
          <w:noProof/>
          <w:sz w:val="24"/>
        </w:rPr>
        <w:t>върлянето на улов във възможно най-голяма степен в съответните оценки на запасите и прогнози за улова. ICES ще използва валидирани данни. Оценката на ситуацията (за която корекции на ОДУ са обосновани) може обаче да бъде завършена само след като съвместнит</w:t>
      </w:r>
      <w:r>
        <w:rPr>
          <w:rFonts w:ascii="Times New Roman" w:hAnsi="Times New Roman"/>
          <w:noProof/>
          <w:sz w:val="24"/>
        </w:rPr>
        <w:t>е препоръки за плановете за премахване на изхвърления улов са завършени и изпратени на Комисията.</w:t>
      </w:r>
    </w:p>
    <w:p w:rsidR="00BB1553" w:rsidRDefault="00BB1553">
      <w:pPr>
        <w:jc w:val="both"/>
        <w:rPr>
          <w:rFonts w:ascii="Times New Roman" w:eastAsia="Times New Roman" w:hAnsi="Times New Roman" w:cs="Times New Roman"/>
          <w:bCs/>
          <w:noProof/>
          <w:sz w:val="24"/>
          <w:szCs w:val="24"/>
        </w:rPr>
      </w:pPr>
    </w:p>
    <w:p w:rsidR="00BB1553" w:rsidRDefault="005F636C">
      <w:pPr>
        <w:spacing w:after="360"/>
        <w:jc w:val="both"/>
        <w:rPr>
          <w:rFonts w:ascii="Times New Roman" w:eastAsia="Times New Roman" w:hAnsi="Times New Roman" w:cs="Times New Roman"/>
          <w:bCs/>
          <w:noProof/>
          <w:sz w:val="24"/>
          <w:szCs w:val="24"/>
        </w:rPr>
      </w:pPr>
      <w:r>
        <w:rPr>
          <w:rFonts w:ascii="Times New Roman" w:hAnsi="Times New Roman"/>
          <w:noProof/>
          <w:sz w:val="24"/>
        </w:rPr>
        <w:t>По принцип корекциите на ОДУ трябва да бъдат съвместими с постигането на целта за максимален устойчив улов и не следва да доведат до увеличаване на процентит</w:t>
      </w:r>
      <w:r>
        <w:rPr>
          <w:rFonts w:ascii="Times New Roman" w:hAnsi="Times New Roman"/>
          <w:noProof/>
          <w:sz w:val="24"/>
        </w:rPr>
        <w:t>е на смъртност от риболов.</w:t>
      </w:r>
    </w:p>
    <w:p w:rsidR="00BB1553" w:rsidRDefault="005F636C">
      <w:pPr>
        <w:keepNext/>
        <w:tabs>
          <w:tab w:val="num" w:pos="850"/>
        </w:tabs>
        <w:spacing w:after="120"/>
        <w:ind w:left="851" w:hanging="851"/>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Развитие на състоянието на запасите</w:t>
      </w:r>
    </w:p>
    <w:p w:rsidR="00BB1553" w:rsidRDefault="005F636C">
      <w:pPr>
        <w:keepNext/>
        <w:tabs>
          <w:tab w:val="num" w:pos="0"/>
        </w:tabs>
        <w:spacing w:before="360" w:after="120"/>
        <w:jc w:val="both"/>
        <w:outlineLvl w:val="0"/>
        <w:rPr>
          <w:rFonts w:ascii="Times New Roman" w:eastAsia="Times New Roman" w:hAnsi="Times New Roman" w:cs="Times New Roman"/>
          <w:b/>
          <w:noProof/>
          <w:sz w:val="24"/>
          <w:szCs w:val="24"/>
        </w:rPr>
      </w:pPr>
      <w:r>
        <w:rPr>
          <w:rFonts w:ascii="Times New Roman" w:hAnsi="Times New Roman"/>
          <w:b/>
          <w:noProof/>
          <w:sz w:val="24"/>
        </w:rPr>
        <w:t>Напредък в постигането на максимален устойчив улов</w:t>
      </w: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 xml:space="preserve">Настоящото съобщение е десетата годишна политическа декларация относно възможностите за риболов. 2006 г. — годината на първото съобщение на </w:t>
      </w:r>
      <w:r>
        <w:rPr>
          <w:rFonts w:ascii="Times New Roman" w:hAnsi="Times New Roman"/>
          <w:noProof/>
          <w:sz w:val="24"/>
        </w:rPr>
        <w:t>Комисията, бе и годината, в която Комисията за първи път обяви намерението си да прилага концепцията за минималния устойчив улов при определяне на ОДУ</w:t>
      </w:r>
      <w:r>
        <w:rPr>
          <w:rFonts w:ascii="Times New Roman" w:hAnsi="Times New Roman"/>
          <w:noProof/>
          <w:sz w:val="24"/>
          <w:vertAlign w:val="superscript"/>
        </w:rPr>
        <w:footnoteReference w:id="7"/>
      </w:r>
      <w:r>
        <w:rPr>
          <w:rFonts w:ascii="Times New Roman" w:hAnsi="Times New Roman"/>
          <w:noProof/>
          <w:sz w:val="24"/>
        </w:rPr>
        <w:t xml:space="preserve">. </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В отговор на задължението за докладване (член 50 от регламента за ОПОР) Комисията помоли НТИКР да раз</w:t>
      </w:r>
      <w:r>
        <w:rPr>
          <w:rFonts w:ascii="Times New Roman" w:hAnsi="Times New Roman"/>
          <w:noProof/>
          <w:sz w:val="24"/>
        </w:rPr>
        <w:t>работи нова методика за докладване относно напредъка в постигането на максимален устойчив улов</w:t>
      </w:r>
      <w:r>
        <w:rPr>
          <w:rFonts w:ascii="Times New Roman" w:hAnsi="Times New Roman"/>
          <w:noProof/>
          <w:sz w:val="24"/>
          <w:vertAlign w:val="superscript"/>
        </w:rPr>
        <w:footnoteReference w:id="8"/>
      </w:r>
      <w:r>
        <w:rPr>
          <w:rFonts w:ascii="Times New Roman" w:hAnsi="Times New Roman"/>
          <w:noProof/>
          <w:sz w:val="24"/>
        </w:rPr>
        <w:t>. Този метод дава възможност за измерване на напредъка с помощта на динамичните редове. Той предоставя данни за броя на запасите, експлоатирани на равнища на мак</w:t>
      </w:r>
      <w:r>
        <w:rPr>
          <w:rFonts w:ascii="Times New Roman" w:hAnsi="Times New Roman"/>
          <w:noProof/>
          <w:sz w:val="24"/>
        </w:rPr>
        <w:t>сималния устойчив улов, и за съответни параметри на биомасата. Той обхваща повече запаси, отколкото бяха включени в предишните динамичните редове. За да се избегне объркване, предишните динамични редове вече не се актуализират</w:t>
      </w:r>
      <w:r>
        <w:rPr>
          <w:rFonts w:ascii="Times New Roman" w:hAnsi="Times New Roman"/>
          <w:noProof/>
          <w:sz w:val="24"/>
          <w:vertAlign w:val="superscript"/>
        </w:rPr>
        <w:footnoteReference w:id="9"/>
      </w:r>
      <w:r>
        <w:rPr>
          <w:rFonts w:ascii="Times New Roman" w:hAnsi="Times New Roman"/>
          <w:noProof/>
          <w:sz w:val="24"/>
        </w:rPr>
        <w:t>. Приложение I съдържа първия</w:t>
      </w:r>
      <w:r>
        <w:rPr>
          <w:rFonts w:ascii="Times New Roman" w:hAnsi="Times New Roman"/>
          <w:noProof/>
          <w:sz w:val="24"/>
        </w:rPr>
        <w:t xml:space="preserve"> преглед, съставен по новата методика. </w:t>
      </w:r>
    </w:p>
    <w:p w:rsidR="00BB1553" w:rsidRDefault="00BB1553">
      <w:pPr>
        <w:jc w:val="both"/>
        <w:rPr>
          <w:rFonts w:ascii="Times New Roman" w:eastAsia="Times New Roman" w:hAnsi="Times New Roman" w:cs="Times New Roman"/>
          <w:bCs/>
          <w:noProof/>
          <w:sz w:val="24"/>
          <w:szCs w:val="24"/>
          <w:highlight w:val="green"/>
        </w:rPr>
      </w:pPr>
    </w:p>
    <w:p w:rsidR="00BB1553" w:rsidRDefault="005F636C">
      <w:pPr>
        <w:jc w:val="both"/>
        <w:rPr>
          <w:rFonts w:ascii="Times New Roman" w:eastAsia="Times New Roman" w:hAnsi="Times New Roman" w:cs="Times New Roman"/>
          <w:noProof/>
          <w:sz w:val="24"/>
          <w:szCs w:val="24"/>
        </w:rPr>
      </w:pPr>
      <w:r>
        <w:rPr>
          <w:rFonts w:ascii="Times New Roman" w:hAnsi="Times New Roman"/>
          <w:noProof/>
          <w:sz w:val="24"/>
        </w:rPr>
        <w:t>За Средиземно море понастоящем няма сравними прогнози. По този въпрос Комисията продължава да работи с НТИКР и за близкото бъдеще очаква подобрения, най-вече въвеждането на прогнози за максимален устойчив улов.</w:t>
      </w:r>
    </w:p>
    <w:p w:rsidR="00BB1553" w:rsidRDefault="00BB1553">
      <w:pPr>
        <w:jc w:val="both"/>
        <w:rPr>
          <w:rFonts w:ascii="Times New Roman" w:eastAsia="Times New Roman" w:hAnsi="Times New Roman" w:cs="Times New Roman"/>
          <w:bCs/>
          <w:noProof/>
          <w:sz w:val="24"/>
          <w:szCs w:val="24"/>
        </w:rPr>
      </w:pPr>
    </w:p>
    <w:p w:rsidR="00BB1553" w:rsidRDefault="005F636C">
      <w:pPr>
        <w:jc w:val="both"/>
        <w:rPr>
          <w:rFonts w:ascii="Times New Roman" w:eastAsia="Times New Roman" w:hAnsi="Times New Roman" w:cs="Times New Roman"/>
          <w:bCs/>
          <w:noProof/>
          <w:sz w:val="24"/>
          <w:szCs w:val="24"/>
          <w:highlight w:val="yellow"/>
        </w:rPr>
      </w:pPr>
      <w:r>
        <w:rPr>
          <w:rFonts w:ascii="Times New Roman" w:hAnsi="Times New Roman"/>
          <w:b/>
          <w:noProof/>
          <w:sz w:val="24"/>
        </w:rPr>
        <w:t>Регионална оценка</w:t>
      </w:r>
    </w:p>
    <w:p w:rsidR="00BB1553" w:rsidRDefault="00BB1553">
      <w:pPr>
        <w:jc w:val="both"/>
        <w:rPr>
          <w:rFonts w:ascii="Times New Roman" w:eastAsia="Times New Roman" w:hAnsi="Times New Roman" w:cs="Times New Roman"/>
          <w:noProof/>
          <w:sz w:val="24"/>
          <w:szCs w:val="24"/>
        </w:rPr>
      </w:pPr>
    </w:p>
    <w:p w:rsidR="00BB1553" w:rsidRDefault="005F636C">
      <w:pPr>
        <w:jc w:val="both"/>
        <w:rPr>
          <w:rFonts w:ascii="Times New Roman" w:eastAsia="Times New Roman" w:hAnsi="Times New Roman" w:cs="Times New Roman"/>
          <w:bCs/>
          <w:noProof/>
          <w:sz w:val="24"/>
          <w:szCs w:val="24"/>
        </w:rPr>
      </w:pPr>
      <w:r>
        <w:rPr>
          <w:rFonts w:ascii="Times New Roman" w:hAnsi="Times New Roman"/>
          <w:noProof/>
          <w:sz w:val="24"/>
        </w:rPr>
        <w:t>Като цяло от 2006 г. насам във всички зони на североизточната част на Атлантическия океан, Северно море и Балтийско море риболовът се движи по посоката към съобразяване с максималния устойчив улов (експлоатиране на равнището на максималн</w:t>
      </w:r>
      <w:r>
        <w:rPr>
          <w:rFonts w:ascii="Times New Roman" w:hAnsi="Times New Roman"/>
          <w:noProof/>
          <w:sz w:val="24"/>
        </w:rPr>
        <w:t>ия устойчив улов или под него). Сред основните характеристики на развитието в тези води между 2006 и 2014 г. са следните:</w:t>
      </w:r>
    </w:p>
    <w:p w:rsidR="00BB1553" w:rsidRDefault="00BB1553">
      <w:pPr>
        <w:jc w:val="both"/>
        <w:rPr>
          <w:rFonts w:ascii="Times New Roman" w:eastAsia="Times New Roman" w:hAnsi="Times New Roman" w:cs="Times New Roman"/>
          <w:bCs/>
          <w:noProof/>
          <w:sz w:val="24"/>
          <w:szCs w:val="24"/>
        </w:rPr>
      </w:pPr>
    </w:p>
    <w:p w:rsidR="00BB1553" w:rsidRDefault="005F636C">
      <w:pPr>
        <w:numPr>
          <w:ilvl w:val="0"/>
          <w:numId w:val="9"/>
        </w:numPr>
        <w:spacing w:after="200" w:line="276" w:lineRule="auto"/>
        <w:jc w:val="both"/>
        <w:rPr>
          <w:rFonts w:ascii="Times New Roman" w:eastAsia="Times New Roman" w:hAnsi="Times New Roman" w:cs="Times New Roman"/>
          <w:bCs/>
          <w:noProof/>
          <w:sz w:val="24"/>
          <w:szCs w:val="24"/>
        </w:rPr>
      </w:pPr>
      <w:r>
        <w:rPr>
          <w:rFonts w:ascii="Times New Roman" w:hAnsi="Times New Roman"/>
          <w:noProof/>
          <w:sz w:val="24"/>
        </w:rPr>
        <w:t>Броят на записите, експлоатирани на равнището на максималния устойчив улов, се увеличи от 2 на 26</w:t>
      </w:r>
      <w:r>
        <w:rPr>
          <w:rStyle w:val="FootnoteReference"/>
          <w:rFonts w:ascii="Times New Roman" w:hAnsi="Times New Roman"/>
          <w:noProof/>
          <w:sz w:val="24"/>
        </w:rPr>
        <w:footnoteReference w:id="10"/>
      </w:r>
      <w:r>
        <w:rPr>
          <w:rFonts w:ascii="Times New Roman" w:hAnsi="Times New Roman"/>
          <w:noProof/>
          <w:sz w:val="24"/>
        </w:rPr>
        <w:t>.</w:t>
      </w:r>
    </w:p>
    <w:p w:rsidR="00BB1553" w:rsidRDefault="005F636C">
      <w:pPr>
        <w:numPr>
          <w:ilvl w:val="0"/>
          <w:numId w:val="9"/>
        </w:numPr>
        <w:spacing w:after="200" w:line="276"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Броят на запасите в рамките на </w:t>
      </w:r>
      <w:r>
        <w:rPr>
          <w:rFonts w:ascii="Times New Roman" w:hAnsi="Times New Roman"/>
          <w:noProof/>
          <w:sz w:val="24"/>
        </w:rPr>
        <w:t>безопасните биологични граници се увеличи от 11 на 21.</w:t>
      </w:r>
    </w:p>
    <w:p w:rsidR="00BB1553" w:rsidRDefault="005F636C">
      <w:pPr>
        <w:numPr>
          <w:ilvl w:val="0"/>
          <w:numId w:val="9"/>
        </w:numPr>
        <w:spacing w:after="200" w:line="276" w:lineRule="auto"/>
        <w:jc w:val="both"/>
        <w:rPr>
          <w:rFonts w:ascii="Times New Roman" w:eastAsia="Times New Roman" w:hAnsi="Times New Roman" w:cs="Times New Roman"/>
          <w:bCs/>
          <w:noProof/>
          <w:sz w:val="24"/>
          <w:szCs w:val="24"/>
        </w:rPr>
      </w:pPr>
      <w:r>
        <w:rPr>
          <w:rFonts w:ascii="Times New Roman" w:hAnsi="Times New Roman"/>
          <w:noProof/>
          <w:sz w:val="24"/>
        </w:rPr>
        <w:t>Броят на запасите с количествени  препоръки за улова се увеличи от 59 на 72.</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Понастоящем многобройни важни запаси от пелагични видове и запаси в Северно и Балтийско море средно са близки до равнището н</w:t>
      </w:r>
      <w:r>
        <w:rPr>
          <w:rFonts w:ascii="Times New Roman" w:hAnsi="Times New Roman"/>
          <w:noProof/>
          <w:sz w:val="24"/>
        </w:rPr>
        <w:t>а максималния устойчив улов, докато при риболова на дънни видове в западните води на ЕС напредъкът е по-малък (вж. приложение I, таблица 3</w:t>
      </w:r>
      <w:r>
        <w:rPr>
          <w:rFonts w:ascii="Times New Roman" w:hAnsi="Times New Roman"/>
          <w:noProof/>
          <w:sz w:val="24"/>
          <w:vertAlign w:val="superscript"/>
        </w:rPr>
        <w:footnoteReference w:id="11"/>
      </w:r>
      <w:r>
        <w:rPr>
          <w:rFonts w:ascii="Times New Roman" w:hAnsi="Times New Roman"/>
          <w:noProof/>
          <w:sz w:val="24"/>
        </w:rPr>
        <w:t>). Това може да е свързано с факта, че в някои морски басейни постоянно бяха определени по-високи стойности на ОДУ от</w:t>
      </w:r>
      <w:r>
        <w:rPr>
          <w:rFonts w:ascii="Times New Roman" w:hAnsi="Times New Roman"/>
          <w:noProof/>
          <w:sz w:val="24"/>
        </w:rPr>
        <w:t xml:space="preserve"> предложените.  Изглежда, че и новата методика за докладване показва, че тенденцията на силен напредък очевидно се забавя.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Запасите в Средиземно и в Черно море са до голяма степен подложени на прекомерен улов и/или в лошо състояние, по-специално запасите,</w:t>
      </w:r>
      <w:r>
        <w:rPr>
          <w:rFonts w:ascii="Times New Roman" w:hAnsi="Times New Roman"/>
          <w:noProof/>
          <w:sz w:val="24"/>
        </w:rPr>
        <w:t xml:space="preserve"> експлоатирани главно или изключително от оператори на ЕС. </w:t>
      </w:r>
    </w:p>
    <w:p w:rsidR="00BB1553" w:rsidRDefault="00BB1553">
      <w:pPr>
        <w:spacing w:before="120" w:after="120"/>
        <w:jc w:val="both"/>
        <w:rPr>
          <w:rFonts w:ascii="Times New Roman" w:eastAsia="Times New Roman" w:hAnsi="Times New Roman" w:cs="Times New Roman"/>
          <w:b/>
          <w:noProof/>
          <w:sz w:val="24"/>
          <w:szCs w:val="24"/>
        </w:rPr>
      </w:pPr>
    </w:p>
    <w:p w:rsidR="00BB1553" w:rsidRDefault="005F636C">
      <w:pPr>
        <w:spacing w:before="120" w:after="120"/>
        <w:jc w:val="both"/>
        <w:rPr>
          <w:rFonts w:ascii="Times New Roman" w:eastAsia="Times New Roman" w:hAnsi="Times New Roman" w:cs="Times New Roman"/>
          <w:b/>
          <w:noProof/>
          <w:sz w:val="24"/>
          <w:szCs w:val="24"/>
        </w:rPr>
      </w:pPr>
      <w:r>
        <w:rPr>
          <w:rFonts w:ascii="Times New Roman" w:hAnsi="Times New Roman"/>
          <w:b/>
          <w:noProof/>
          <w:sz w:val="24"/>
        </w:rPr>
        <w:t>Средиземно море и Черно море</w:t>
      </w:r>
    </w:p>
    <w:p w:rsidR="00BB1553" w:rsidRDefault="005F636C">
      <w:pPr>
        <w:spacing w:after="360"/>
        <w:jc w:val="both"/>
        <w:rPr>
          <w:rFonts w:ascii="Times New Roman" w:eastAsia="Times New Roman" w:hAnsi="Times New Roman" w:cs="Times New Roman"/>
          <w:noProof/>
          <w:sz w:val="24"/>
          <w:szCs w:val="24"/>
        </w:rPr>
      </w:pPr>
      <w:r>
        <w:rPr>
          <w:rFonts w:ascii="Times New Roman" w:hAnsi="Times New Roman"/>
          <w:noProof/>
          <w:sz w:val="24"/>
        </w:rPr>
        <w:t>В Средиземно море някои рибни запаси се експлоатират най-вече от риболовни кораби на ЕС, докато други се експлоатират съвместно с държави извън ЕС. Общо от всички оце</w:t>
      </w:r>
      <w:r>
        <w:rPr>
          <w:rFonts w:ascii="Times New Roman" w:hAnsi="Times New Roman"/>
          <w:noProof/>
          <w:sz w:val="24"/>
        </w:rPr>
        <w:t>нени запаси в Средиземно и Черно море (експлоатираните само от ЕС и поделените запаси, взети заедно) само 8,6 % се експлоатират в съответствие с равнищата на максималния устойчив улов (приложение II). Въпреки подобренията от последно време броят на запасит</w:t>
      </w:r>
      <w:r>
        <w:rPr>
          <w:rFonts w:ascii="Times New Roman" w:hAnsi="Times New Roman"/>
          <w:noProof/>
          <w:sz w:val="24"/>
        </w:rPr>
        <w:t xml:space="preserve">е с неизвестно състояние все още е голям. Комисията се стреми към подобрено събиране на данни за всички засегнати запаси и поиска от НТИКР становища за нови запаси. </w:t>
      </w:r>
    </w:p>
    <w:p w:rsidR="00BB1553" w:rsidRDefault="005F636C">
      <w:pPr>
        <w:spacing w:after="240"/>
        <w:jc w:val="both"/>
        <w:rPr>
          <w:rFonts w:ascii="Times New Roman" w:eastAsia="Times New Roman" w:hAnsi="Times New Roman" w:cs="Times New Roman"/>
          <w:noProof/>
          <w:sz w:val="24"/>
          <w:szCs w:val="24"/>
        </w:rPr>
      </w:pPr>
      <w:r>
        <w:rPr>
          <w:rFonts w:ascii="Times New Roman" w:hAnsi="Times New Roman"/>
          <w:noProof/>
          <w:sz w:val="24"/>
        </w:rPr>
        <w:t>Рибните запаси на ЕС се намират предимно в северозападната част на Средиземно море (т.е. С</w:t>
      </w:r>
      <w:r>
        <w:rPr>
          <w:rFonts w:ascii="Times New Roman" w:hAnsi="Times New Roman"/>
          <w:noProof/>
          <w:sz w:val="24"/>
        </w:rPr>
        <w:t>еверна Испания, Балеарски острови, Лионски залив, Корсика и Сардиния, Лигурско и Тиренско море) и в централната част на Средиземно море (т.е. Северно Адриатическо море). Съгласно данните от 2013 г. 96 % от рибните запаси на ЕС се експлоатират на равнища на</w:t>
      </w:r>
      <w:r>
        <w:rPr>
          <w:rFonts w:ascii="Times New Roman" w:hAnsi="Times New Roman"/>
          <w:noProof/>
          <w:sz w:val="24"/>
        </w:rPr>
        <w:t>д максималния устойчив улов</w:t>
      </w:r>
      <w:r>
        <w:rPr>
          <w:rStyle w:val="FootnoteReference"/>
          <w:rFonts w:ascii="Times New Roman" w:hAnsi="Times New Roman"/>
          <w:noProof/>
          <w:sz w:val="24"/>
        </w:rPr>
        <w:footnoteReference w:id="12"/>
      </w:r>
      <w:r>
        <w:rPr>
          <w:rFonts w:ascii="Times New Roman" w:hAnsi="Times New Roman"/>
          <w:noProof/>
          <w:sz w:val="24"/>
        </w:rPr>
        <w:t>. За рибни запаси като например мерлуза, барбуня, чернокоремен морски дявол и син меджид настоящите проценти на смъртност от риболов са повече от шест пъти по-високи от максималния устойчив улов. Само 4 % от рибните запаси на ЕС</w:t>
      </w:r>
      <w:r>
        <w:rPr>
          <w:rFonts w:ascii="Times New Roman" w:hAnsi="Times New Roman"/>
          <w:noProof/>
          <w:sz w:val="24"/>
        </w:rPr>
        <w:t xml:space="preserve"> се експлоатират на равнища, близки до максималния устойчив улов</w:t>
      </w:r>
      <w:r>
        <w:rPr>
          <w:rFonts w:ascii="Times New Roman" w:hAnsi="Times New Roman"/>
          <w:noProof/>
          <w:sz w:val="24"/>
          <w:vertAlign w:val="superscript"/>
        </w:rPr>
        <w:footnoteReference w:id="13"/>
      </w:r>
      <w:r>
        <w:rPr>
          <w:rFonts w:ascii="Times New Roman" w:hAnsi="Times New Roman"/>
          <w:noProof/>
          <w:sz w:val="24"/>
        </w:rPr>
        <w:t xml:space="preserve">. </w:t>
      </w:r>
    </w:p>
    <w:p w:rsidR="00BB1553" w:rsidRDefault="005F636C">
      <w:pPr>
        <w:spacing w:after="240"/>
        <w:jc w:val="both"/>
        <w:rPr>
          <w:rFonts w:ascii="Times New Roman" w:eastAsia="Times New Roman" w:hAnsi="Times New Roman" w:cs="Times New Roman"/>
          <w:noProof/>
          <w:sz w:val="24"/>
          <w:szCs w:val="24"/>
        </w:rPr>
      </w:pPr>
      <w:r>
        <w:rPr>
          <w:rFonts w:ascii="Times New Roman" w:hAnsi="Times New Roman"/>
          <w:noProof/>
          <w:sz w:val="24"/>
        </w:rPr>
        <w:t>Запасите, поделяни с трети държави, се намират предимно в западната част на Средиземно море (т.е. Алборанско море и по алжирското крайбрежие), в централната му част (т.е. в Сицилийски прол</w:t>
      </w:r>
      <w:r>
        <w:rPr>
          <w:rFonts w:ascii="Times New Roman" w:hAnsi="Times New Roman"/>
          <w:noProof/>
          <w:sz w:val="24"/>
        </w:rPr>
        <w:t>ив, около остров Малта, в южната част на Адриатическо море и в Йонийско море), в източната му част (т.е. Егейско море, около остров Крит и остров Кипър и в Левантийско море), както и в Черно море. Съгласно данните от 2013 г. 91 % от тези запаси се експлоат</w:t>
      </w:r>
      <w:r>
        <w:rPr>
          <w:rFonts w:ascii="Times New Roman" w:hAnsi="Times New Roman"/>
          <w:noProof/>
          <w:sz w:val="24"/>
        </w:rPr>
        <w:t>ират на равнища далече над максималния устойчив улов</w:t>
      </w:r>
      <w:r>
        <w:rPr>
          <w:rStyle w:val="FootnoteReference"/>
          <w:rFonts w:ascii="Times New Roman" w:hAnsi="Times New Roman"/>
          <w:noProof/>
          <w:sz w:val="24"/>
        </w:rPr>
        <w:footnoteReference w:id="14"/>
      </w:r>
      <w:r>
        <w:rPr>
          <w:rFonts w:ascii="Times New Roman" w:hAnsi="Times New Roman"/>
          <w:noProof/>
          <w:sz w:val="24"/>
        </w:rPr>
        <w:t>. Само 9 % от тези запаси се експлоатират на равнища, близки до максималния устойчив улов</w:t>
      </w:r>
      <w:r>
        <w:rPr>
          <w:rFonts w:ascii="Times New Roman" w:hAnsi="Times New Roman"/>
          <w:noProof/>
          <w:sz w:val="24"/>
          <w:vertAlign w:val="superscript"/>
        </w:rPr>
        <w:footnoteReference w:id="15"/>
      </w:r>
      <w:r>
        <w:rPr>
          <w:rFonts w:ascii="Times New Roman" w:hAnsi="Times New Roman"/>
          <w:noProof/>
          <w:sz w:val="24"/>
        </w:rPr>
        <w:t>.  В момента се подготвят конкретни мерки, както на равнището на ЕС, така и на международно равнище, за постигане</w:t>
      </w:r>
      <w:r>
        <w:rPr>
          <w:rFonts w:ascii="Times New Roman" w:hAnsi="Times New Roman"/>
          <w:noProof/>
          <w:sz w:val="24"/>
        </w:rPr>
        <w:t xml:space="preserve"> на целите за максимален устойчив улов.</w:t>
      </w:r>
    </w:p>
    <w:p w:rsidR="00BB1553" w:rsidRDefault="005F636C">
      <w:pPr>
        <w:spacing w:after="240"/>
        <w:jc w:val="both"/>
        <w:rPr>
          <w:rFonts w:ascii="Times New Roman" w:eastAsia="Times New Roman" w:hAnsi="Times New Roman" w:cs="Times New Roman"/>
          <w:noProof/>
          <w:sz w:val="24"/>
          <w:szCs w:val="24"/>
        </w:rPr>
      </w:pPr>
      <w:r>
        <w:rPr>
          <w:rFonts w:ascii="Times New Roman" w:hAnsi="Times New Roman"/>
          <w:noProof/>
          <w:sz w:val="24"/>
        </w:rPr>
        <w:t>В Черно море все още съществуват предизвикателства, свързани със стопанисването и управлението на ресурсите, които отчасти се дължат на поделянето на запаси с трети държави. Заедно с държавите членки и GFCM Комисията</w:t>
      </w:r>
      <w:r>
        <w:rPr>
          <w:rFonts w:ascii="Times New Roman" w:hAnsi="Times New Roman"/>
          <w:noProof/>
          <w:sz w:val="24"/>
        </w:rPr>
        <w:t xml:space="preserve"> работи над подобрения. </w:t>
      </w:r>
    </w:p>
    <w:p w:rsidR="00BB1553" w:rsidRDefault="005F636C">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Балтийско море</w:t>
      </w:r>
    </w:p>
    <w:p w:rsidR="00BB1553" w:rsidRDefault="005F636C">
      <w:pPr>
        <w:spacing w:before="120" w:after="12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Ситуацията на запасите през последните години беше подобрена вследствие на решителни действия при определяне на възможностите за риболов:  през 2006 г. нито един запас не бе експлоатиран на равнището на максималния у</w:t>
      </w:r>
      <w:r>
        <w:rPr>
          <w:rFonts w:ascii="Times New Roman" w:hAnsi="Times New Roman"/>
          <w:noProof/>
          <w:color w:val="000000"/>
          <w:sz w:val="24"/>
        </w:rPr>
        <w:t xml:space="preserve">стойчив улов, докато през тази година ОДУ за херинга (4) и цаца (1) бе определен на равнището на максималния устойчив улов.  </w:t>
      </w:r>
      <w:r>
        <w:rPr>
          <w:rFonts w:ascii="Times New Roman" w:hAnsi="Times New Roman"/>
          <w:noProof/>
          <w:sz w:val="24"/>
        </w:rPr>
        <w:t xml:space="preserve">Възможностите за риболов на атлантическа треска в западната част на Балтийско море са определени с оглед на постигането на </w:t>
      </w:r>
      <w:r>
        <w:rPr>
          <w:rFonts w:ascii="Times New Roman" w:hAnsi="Times New Roman"/>
          <w:noProof/>
          <w:sz w:val="24"/>
        </w:rPr>
        <w:t xml:space="preserve">максималния устойчив улов до 2016 г. (на две еднакви стъпки). За други запаси ОДУ са в съответствие с подхода на предпазливост (морска писия и атлантическа треска в източната част на Балтийско море, когато няма биологични становища) или с предложения план </w:t>
      </w:r>
      <w:r>
        <w:rPr>
          <w:rFonts w:ascii="Times New Roman" w:hAnsi="Times New Roman"/>
          <w:noProof/>
          <w:sz w:val="24"/>
        </w:rPr>
        <w:t>за управление (сьомга).</w:t>
      </w:r>
      <w:r>
        <w:rPr>
          <w:rFonts w:ascii="Times New Roman" w:hAnsi="Times New Roman"/>
          <w:noProof/>
          <w:color w:val="1F497D"/>
          <w:sz w:val="24"/>
        </w:rPr>
        <w:t xml:space="preserve"> </w:t>
      </w:r>
    </w:p>
    <w:p w:rsidR="00BB1553" w:rsidRDefault="005F636C">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Северно море, Скагерак и Категат</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Дънните запаси от сайда, морска писия и пикша се експлоатират на равнища, съответстващи на максималния устойчив улов, същото се отнася за норвежки омар в Скагерак, както и в зоните Fladen grounds, </w:t>
      </w:r>
      <w:r>
        <w:rPr>
          <w:rFonts w:ascii="Times New Roman" w:hAnsi="Times New Roman"/>
          <w:noProof/>
          <w:sz w:val="24"/>
        </w:rPr>
        <w:t>Firth of Forth и Moray Firth. Морски език в Северно море се експлоатира тъкмо на равнището на максималния устойчив улов. Всички други запаси се експлоатират над максималния устойчив улов или за тях няма пълна оценка.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Смъртността от риболов на треска в Се</w:t>
      </w:r>
      <w:r>
        <w:rPr>
          <w:rFonts w:ascii="Times New Roman" w:hAnsi="Times New Roman"/>
          <w:noProof/>
          <w:sz w:val="24"/>
        </w:rPr>
        <w:t>верно море е намаляла, но все още е над максималния устойчив улов; Размерът на запаса се увеличава, но надвишава само съвсем малко граничните стойности на биомасата (и е далеч от нивото на предпазливост). Количествата изхвърляна риба са намалели, но все ощ</w:t>
      </w:r>
      <w:r>
        <w:rPr>
          <w:rFonts w:ascii="Times New Roman" w:hAnsi="Times New Roman"/>
          <w:noProof/>
          <w:sz w:val="24"/>
        </w:rPr>
        <w:t xml:space="preserve">е възлизат на около 25 % от разтоварванията на сушата. В Категат и Скагерак запасите от атлантическа треска (в Категат) и морски език са много ниски и може да са необходими допълнителни мерки освен ограничените възможности за риболов. </w:t>
      </w:r>
    </w:p>
    <w:p w:rsidR="00BB1553" w:rsidRDefault="005F636C">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Пелагични запаси в с</w:t>
      </w:r>
      <w:r>
        <w:rPr>
          <w:rFonts w:ascii="Times New Roman" w:hAnsi="Times New Roman"/>
          <w:b/>
          <w:noProof/>
          <w:sz w:val="24"/>
        </w:rPr>
        <w:t>евероизточната част на Атлантическия океан</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Повечето запаси от херинга (в Северно море, на запад от Шотландия, в Ирландско море и Келтско море) се експлоатират в съответствие с максималния устойчив улов. ОДУ за 2015 г. за тези запаси бяха определени в съотв</w:t>
      </w:r>
      <w:r>
        <w:rPr>
          <w:rFonts w:ascii="Times New Roman" w:hAnsi="Times New Roman"/>
          <w:noProof/>
          <w:sz w:val="24"/>
        </w:rPr>
        <w:t>етствие с максималния устойчив улов. Положителна е ситуацията и за южен сафрид, а ОДУ позволява и през 2015 г. риболов на равнища, съответстващи на максималния устойчив улов. За някои запаси ситуацията се подобри, например за западен сафрид (експлоатиран н</w:t>
      </w:r>
      <w:r>
        <w:rPr>
          <w:rFonts w:ascii="Times New Roman" w:hAnsi="Times New Roman"/>
          <w:noProof/>
          <w:sz w:val="24"/>
        </w:rPr>
        <w:t>ад равнището на максималния устойчив улов, но ОДУ за 2015 г. е в съответствие с максималния устойчив улов). Херинга се експлоатира на северозапад от Ирландия над максималния устойчив улов и има индикации, че същото важи и за сафрида в Северно море и източн</w:t>
      </w:r>
      <w:r>
        <w:rPr>
          <w:rFonts w:ascii="Times New Roman" w:hAnsi="Times New Roman"/>
          <w:noProof/>
          <w:sz w:val="24"/>
        </w:rPr>
        <w:t xml:space="preserve">ата част на Ламанша.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Въз основа на постигнатото неотдавна споразумение между Фарьорските острови, Норвегия и ЕС за устойчивото управление на скумрия ЕС се застъпи за ОДУ за 2015 г. в съответствие с максималния устойчив улов, но Норвегия не се съгласи с ОД</w:t>
      </w:r>
      <w:r>
        <w:rPr>
          <w:rFonts w:ascii="Times New Roman" w:hAnsi="Times New Roman"/>
          <w:noProof/>
          <w:sz w:val="24"/>
        </w:rPr>
        <w:t>У, по-нисък от съответстващата стойност F</w:t>
      </w:r>
      <w:r>
        <w:rPr>
          <w:rFonts w:ascii="Times New Roman" w:hAnsi="Times New Roman"/>
          <w:noProof/>
          <w:sz w:val="24"/>
          <w:vertAlign w:val="subscript"/>
        </w:rPr>
        <w:t>PA</w:t>
      </w:r>
      <w:r>
        <w:rPr>
          <w:rFonts w:ascii="Times New Roman" w:hAnsi="Times New Roman"/>
          <w:noProof/>
          <w:sz w:val="24"/>
        </w:rPr>
        <w:t xml:space="preserve"> (смъртност от риболов на равнището на подхода на предпазливост).  За запасите от син меджид крайбрежните държави договориха ОДУ под максималния устойчив улов, но не беше постигнато съгласие по преразгледана догов</w:t>
      </w:r>
      <w:r>
        <w:rPr>
          <w:rFonts w:ascii="Times New Roman" w:hAnsi="Times New Roman"/>
          <w:noProof/>
          <w:sz w:val="24"/>
        </w:rPr>
        <w:t>ореност за разпределение на квотите. Впоследствие ЕС определи своя дял от ОДУ за 2015 г. въз основа на хипотетична стойност за ОДУ под максималния устойчив улов и въз основа на своя дял в квотата за запаса от 2014 г.</w:t>
      </w:r>
    </w:p>
    <w:p w:rsidR="00BB1553" w:rsidRDefault="005F636C">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Иберийско-Атлантическа зона и Бискайски</w:t>
      </w:r>
      <w:r>
        <w:rPr>
          <w:rFonts w:ascii="Times New Roman" w:hAnsi="Times New Roman"/>
          <w:b/>
          <w:noProof/>
          <w:sz w:val="24"/>
        </w:rPr>
        <w:t xml:space="preserve"> залив</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Запасът от южен хек продължава да нараства, но все още се експлоатира над равнището на максималния устойчив улов, както и запасът от мегрим. Състоянието на южния морски дявол е добро и риболовът му е устойчив. Норвежки омар в Кантабрийско море и на </w:t>
      </w:r>
      <w:r>
        <w:rPr>
          <w:rFonts w:ascii="Times New Roman" w:hAnsi="Times New Roman"/>
          <w:noProof/>
          <w:sz w:val="24"/>
        </w:rPr>
        <w:t xml:space="preserve">север от Иберийския полуостров все още е изчезващ запас, докато на юг размерът на запаса му е стабилен или дори се увеличава.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Риболовът на хамсия в Бискайския залив е устойчив, размерът на този запас е по-голям от средното за последните години и запасът и</w:t>
      </w:r>
      <w:r>
        <w:rPr>
          <w:rFonts w:ascii="Times New Roman" w:hAnsi="Times New Roman"/>
          <w:noProof/>
          <w:sz w:val="24"/>
        </w:rPr>
        <w:t>ма пълна възпроизводителна способност. Смъртността от риболов на морски език напоследък се е повишила, поради което със засегнатите държави членки са договорени допълнителни контролни мерки. Като цяло за Бискайския залив и Иберийско- атлантическите зони им</w:t>
      </w:r>
      <w:r>
        <w:rPr>
          <w:rFonts w:ascii="Times New Roman" w:hAnsi="Times New Roman"/>
          <w:noProof/>
          <w:sz w:val="24"/>
        </w:rPr>
        <w:t xml:space="preserve">а само ограничен брой оценки на запасите. </w:t>
      </w:r>
    </w:p>
    <w:p w:rsidR="00BB1553" w:rsidRDefault="005F636C">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Води на запад от Шотландия, Ирландско море и Келтско море</w:t>
      </w:r>
    </w:p>
    <w:p w:rsidR="00BB1553" w:rsidRDefault="005F636C">
      <w:pPr>
        <w:spacing w:before="120" w:after="120"/>
        <w:jc w:val="both"/>
        <w:rPr>
          <w:rFonts w:ascii="Times New Roman" w:eastAsia="Times New Roman" w:hAnsi="Times New Roman" w:cs="Times New Roman"/>
          <w:noProof/>
          <w:color w:val="000000"/>
          <w:sz w:val="24"/>
          <w:szCs w:val="24"/>
        </w:rPr>
      </w:pPr>
      <w:r>
        <w:rPr>
          <w:rFonts w:ascii="Times New Roman" w:hAnsi="Times New Roman"/>
          <w:noProof/>
          <w:sz w:val="24"/>
        </w:rPr>
        <w:t>Запасите на пикша на запад от Шотландия и в Ирландско море бележат подобрение, но тези на атлантическа треска и меджид продължават да бъдат на ниски нива и</w:t>
      </w:r>
      <w:r>
        <w:rPr>
          <w:rFonts w:ascii="Times New Roman" w:hAnsi="Times New Roman"/>
          <w:noProof/>
          <w:sz w:val="24"/>
        </w:rPr>
        <w:t xml:space="preserve"> се характеризират с висока смъртност от риболов и високи нива на изхвърляне. Държавите членки и предприятията разработват заедно технически мерки за намаляване на смъртността при треска и за избягване на нежелан улов (напр. в Ирландско море), освен това в</w:t>
      </w:r>
      <w:r>
        <w:rPr>
          <w:rFonts w:ascii="Times New Roman" w:hAnsi="Times New Roman"/>
          <w:noProof/>
          <w:sz w:val="24"/>
        </w:rPr>
        <w:t xml:space="preserve"> ход е и по-задълбочено проучване на ситуацията.  За няколко запаса няма аналитични оценки (данните са ограничени или нисък улов), така че са необходими допълнителни усилия за подобряване на статуса на данните за тях.</w:t>
      </w:r>
    </w:p>
    <w:p w:rsidR="00BB1553" w:rsidRDefault="005F636C">
      <w:pPr>
        <w:spacing w:before="120" w:after="120"/>
        <w:jc w:val="both"/>
        <w:rPr>
          <w:rFonts w:ascii="Times New Roman" w:eastAsia="Times New Roman" w:hAnsi="Times New Roman" w:cs="Times New Roman"/>
          <w:noProof/>
          <w:color w:val="000000"/>
          <w:sz w:val="24"/>
          <w:szCs w:val="24"/>
        </w:rPr>
      </w:pPr>
      <w:r>
        <w:rPr>
          <w:rFonts w:ascii="Times New Roman" w:hAnsi="Times New Roman"/>
          <w:noProof/>
          <w:sz w:val="24"/>
        </w:rPr>
        <w:t>В Келтско море възможностите за риболо</w:t>
      </w:r>
      <w:r>
        <w:rPr>
          <w:rFonts w:ascii="Times New Roman" w:hAnsi="Times New Roman"/>
          <w:noProof/>
          <w:sz w:val="24"/>
        </w:rPr>
        <w:t>в бяха намалени, тъй като ефектът от неотдавнашното солидно попълване на запасите с млади риби изчезва. Становища за максималния устойчив улов (за първи път през 2014 г.) за атлантическата треска и меджид служеха за основа за съществено намаляване на възмо</w:t>
      </w:r>
      <w:r>
        <w:rPr>
          <w:rFonts w:ascii="Times New Roman" w:hAnsi="Times New Roman"/>
          <w:noProof/>
          <w:sz w:val="24"/>
        </w:rPr>
        <w:t>жностите за риболов.  При пикша напоследък попълването беше по-малко и изхвърлените количества представляват проблем. Комисията измени регламента за изпълнение от 2012 г. (за използване на платно от мрежа с квадратно око от определени флотове за улов на си</w:t>
      </w:r>
      <w:r>
        <w:rPr>
          <w:rFonts w:ascii="Times New Roman" w:hAnsi="Times New Roman"/>
          <w:noProof/>
          <w:sz w:val="24"/>
        </w:rPr>
        <w:t>г в Келтско море), за да бъде допълнително увеличена селективността и да бъдат намалени изхвърляните количества. За по-голямата част от запасите на норвежки омар вече са налице биологични становища, които се основават на подхода на максималния устойчив уло</w:t>
      </w:r>
      <w:r>
        <w:rPr>
          <w:rFonts w:ascii="Times New Roman" w:hAnsi="Times New Roman"/>
          <w:noProof/>
          <w:sz w:val="24"/>
        </w:rPr>
        <w:t>в.  Норвежки омар в Porcupine Bank продължава да бъде управляван с подкатегория за ОДУ и сезонна забрана на риболова.</w:t>
      </w:r>
    </w:p>
    <w:p w:rsidR="00BB1553" w:rsidRDefault="005F636C">
      <w:pPr>
        <w:spacing w:before="120" w:after="120"/>
        <w:jc w:val="both"/>
        <w:rPr>
          <w:rFonts w:ascii="Times New Roman" w:eastAsia="Calibri" w:hAnsi="Times New Roman" w:cs="Times New Roman"/>
          <w:noProof/>
          <w:color w:val="000000"/>
          <w:sz w:val="24"/>
          <w:szCs w:val="24"/>
        </w:rPr>
      </w:pPr>
      <w:r>
        <w:rPr>
          <w:rFonts w:ascii="Times New Roman" w:hAnsi="Times New Roman"/>
          <w:noProof/>
          <w:color w:val="000000"/>
          <w:sz w:val="24"/>
        </w:rPr>
        <w:t>При някои от рибните запаси, като например морски език в западната част на Ламанша, атлантическа треска в Ирландско море и норвежки омар в</w:t>
      </w:r>
      <w:r>
        <w:rPr>
          <w:rFonts w:ascii="Times New Roman" w:hAnsi="Times New Roman"/>
          <w:noProof/>
          <w:color w:val="000000"/>
          <w:sz w:val="24"/>
        </w:rPr>
        <w:t xml:space="preserve"> части от зона IX, нивата са обезпокоително ниски. </w:t>
      </w:r>
    </w:p>
    <w:p w:rsidR="00BB1553" w:rsidRDefault="005F636C">
      <w:pPr>
        <w:spacing w:before="120" w:after="120"/>
        <w:jc w:val="both"/>
        <w:rPr>
          <w:rFonts w:ascii="Times New Roman" w:eastAsia="Times New Roman" w:hAnsi="Times New Roman" w:cs="Times New Roman"/>
          <w:b/>
          <w:noProof/>
          <w:sz w:val="24"/>
          <w:szCs w:val="24"/>
        </w:rPr>
      </w:pPr>
      <w:r>
        <w:rPr>
          <w:rFonts w:ascii="Times New Roman" w:hAnsi="Times New Roman"/>
          <w:b/>
          <w:noProof/>
          <w:sz w:val="24"/>
        </w:rPr>
        <w:t>Атлантически лаврак</w:t>
      </w:r>
    </w:p>
    <w:p w:rsidR="00BB1553" w:rsidRDefault="005F636C">
      <w:pPr>
        <w:jc w:val="both"/>
        <w:rPr>
          <w:rFonts w:ascii="Arial" w:eastAsia="Calibri" w:hAnsi="Arial" w:cs="Arial"/>
          <w:noProof/>
          <w:sz w:val="20"/>
          <w:szCs w:val="20"/>
        </w:rPr>
      </w:pPr>
      <w:r>
        <w:rPr>
          <w:rFonts w:ascii="Times New Roman" w:hAnsi="Times New Roman"/>
          <w:noProof/>
          <w:sz w:val="24"/>
        </w:rPr>
        <w:t xml:space="preserve">Атлантическият лаврак (в южна част на Северно море и в Ламанша по посока на Келтско море и Атлантическия океан) е в много лошо състояние. Със спешните мерки, приети от Комисията през </w:t>
      </w:r>
      <w:r>
        <w:rPr>
          <w:rFonts w:ascii="Times New Roman" w:hAnsi="Times New Roman"/>
          <w:noProof/>
          <w:sz w:val="24"/>
        </w:rPr>
        <w:t>януари 2015 г. за опазване на струпванията от размножаваща се риба, бе въведена забрана на риболова на лаврак с пелагични тралове, а Съветът установи ограничения за любителския риболов във всички води на ЕС. През 2015 г. Комисията предложи допълнителни мер</w:t>
      </w:r>
      <w:r>
        <w:rPr>
          <w:rFonts w:ascii="Times New Roman" w:hAnsi="Times New Roman"/>
          <w:noProof/>
          <w:sz w:val="24"/>
        </w:rPr>
        <w:t>ки (месечни ограничения на улова за различни видове риболов с въздействие върху лаврак и увеличаване на размера на окото на мрежите. В контекста на предложение за многогодишен план за западните води Комисията ще предложи мерки за устойчиво управление на за</w:t>
      </w:r>
      <w:r>
        <w:rPr>
          <w:rFonts w:ascii="Times New Roman" w:hAnsi="Times New Roman"/>
          <w:noProof/>
          <w:sz w:val="24"/>
        </w:rPr>
        <w:t>паса от лаврак.</w:t>
      </w:r>
    </w:p>
    <w:p w:rsidR="00BB1553" w:rsidRDefault="005F636C">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Дълбоководни видове</w:t>
      </w:r>
    </w:p>
    <w:p w:rsidR="00BB1553" w:rsidRDefault="005F636C">
      <w:pPr>
        <w:spacing w:before="120" w:after="120"/>
        <w:jc w:val="both"/>
        <w:rPr>
          <w:rFonts w:ascii="Times New Roman" w:eastAsia="Times New Roman" w:hAnsi="Times New Roman" w:cs="Times New Roman"/>
          <w:noProof/>
          <w:color w:val="000000"/>
          <w:sz w:val="24"/>
          <w:szCs w:val="24"/>
        </w:rPr>
      </w:pPr>
      <w:r>
        <w:rPr>
          <w:rFonts w:ascii="Times New Roman" w:hAnsi="Times New Roman"/>
          <w:noProof/>
          <w:sz w:val="24"/>
        </w:rPr>
        <w:t>Възможностите за риболов на дълбоководните запаси се определят в рамките на двугодишен цикъл, а следващото становище на ICES се очаква през 2016 г. (ОДУ за 2017 и 2018 г.).</w:t>
      </w:r>
      <w:r>
        <w:rPr>
          <w:rFonts w:ascii="Times New Roman" w:hAnsi="Times New Roman"/>
          <w:noProof/>
          <w:color w:val="000000"/>
          <w:sz w:val="24"/>
        </w:rPr>
        <w:t xml:space="preserve"> Комисията наблюдава спазването на задълженията </w:t>
      </w:r>
      <w:r>
        <w:rPr>
          <w:rFonts w:ascii="Times New Roman" w:hAnsi="Times New Roman"/>
          <w:noProof/>
          <w:color w:val="000000"/>
          <w:sz w:val="24"/>
        </w:rPr>
        <w:t>на държавите членки по отношение на мерките за управление на червеноперия пагел и улесни сътрудничеството с трети държави (в зона IX на ICES). Това следва да доведе до по-добри познания за състоянието на запаса и начина на неговата експлоатация, за да може</w:t>
      </w:r>
      <w:r>
        <w:rPr>
          <w:rFonts w:ascii="Times New Roman" w:hAnsi="Times New Roman"/>
          <w:noProof/>
          <w:color w:val="000000"/>
          <w:sz w:val="24"/>
        </w:rPr>
        <w:t xml:space="preserve"> да се постигне споразумение с трети страни относно мерки за управление, с които да се спре по-нататъшното намаляване и да се осигури устойчиво управление на запаса.  </w:t>
      </w:r>
    </w:p>
    <w:p w:rsidR="00BB1553" w:rsidRDefault="005F636C">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Икономически резултати на флотовете и максимален устойчив улов</w:t>
      </w:r>
    </w:p>
    <w:p w:rsidR="00BB1553" w:rsidRDefault="005F636C">
      <w:pPr>
        <w:keepNext/>
        <w:numPr>
          <w:ilvl w:val="1"/>
          <w:numId w:val="0"/>
        </w:numPr>
        <w:tabs>
          <w:tab w:val="num" w:pos="0"/>
        </w:tabs>
        <w:spacing w:before="120" w:after="120"/>
        <w:jc w:val="both"/>
        <w:outlineLvl w:val="1"/>
        <w:rPr>
          <w:rFonts w:ascii="Times New Roman" w:eastAsia="Times New Roman" w:hAnsi="Times New Roman" w:cs="Times New Roman"/>
          <w:bCs/>
          <w:iCs/>
          <w:noProof/>
          <w:sz w:val="24"/>
          <w:szCs w:val="28"/>
        </w:rPr>
      </w:pPr>
      <w:r>
        <w:rPr>
          <w:rFonts w:ascii="Times New Roman" w:hAnsi="Times New Roman"/>
          <w:noProof/>
          <w:sz w:val="24"/>
        </w:rPr>
        <w:t>Риболовът на равнища, съо</w:t>
      </w:r>
      <w:r>
        <w:rPr>
          <w:rFonts w:ascii="Times New Roman" w:hAnsi="Times New Roman"/>
          <w:noProof/>
          <w:sz w:val="24"/>
        </w:rPr>
        <w:t>тветстващи на максималния устойчив улов, създава перспективата за възстановяване на рибните запаси до нива, които биха могли да осигурят висок улов. Забележителен пример за по-висока рентабилност от риболов на равнища на максималния устойчив улов е насочен</w:t>
      </w:r>
      <w:r>
        <w:rPr>
          <w:rFonts w:ascii="Times New Roman" w:hAnsi="Times New Roman"/>
          <w:noProof/>
          <w:sz w:val="24"/>
        </w:rPr>
        <w:t>ият към пикша риболов в североизточната част на Атлантическия океан: Флотовете, които най-много зависят от запасите от пикша, са увеличили значително рентабилността си</w:t>
      </w:r>
      <w:r>
        <w:rPr>
          <w:rStyle w:val="FootnoteReference"/>
          <w:rFonts w:ascii="Times New Roman" w:hAnsi="Times New Roman"/>
          <w:noProof/>
          <w:sz w:val="24"/>
        </w:rPr>
        <w:footnoteReference w:id="16"/>
      </w:r>
      <w:r>
        <w:rPr>
          <w:rFonts w:ascii="Times New Roman" w:hAnsi="Times New Roman"/>
          <w:noProof/>
          <w:sz w:val="24"/>
        </w:rPr>
        <w:t>, като между 2008 г. и 2012 г. нетните печалби са се удвоили, а брутната добавена стойно</w:t>
      </w:r>
      <w:r>
        <w:rPr>
          <w:rFonts w:ascii="Times New Roman" w:hAnsi="Times New Roman"/>
          <w:noProof/>
          <w:sz w:val="24"/>
        </w:rPr>
        <w:t>ст се е увеличила с почти 20 млн. евро. Увеличаването на разтоварените количества (по тегло) бе неразривно свързано с повишаването на средната работна заплата и запазването на работни места. Примерът с риболова на норвежки омар в Северно море също така пок</w:t>
      </w:r>
      <w:r>
        <w:rPr>
          <w:rFonts w:ascii="Times New Roman" w:hAnsi="Times New Roman"/>
          <w:noProof/>
          <w:sz w:val="24"/>
        </w:rPr>
        <w:t>азва по-добри икономически резултати (2009—2012 г.)</w:t>
      </w:r>
      <w:r>
        <w:rPr>
          <w:rStyle w:val="FootnoteReference"/>
          <w:rFonts w:ascii="Times New Roman" w:hAnsi="Times New Roman"/>
          <w:noProof/>
          <w:sz w:val="24"/>
        </w:rPr>
        <w:footnoteReference w:id="17"/>
      </w:r>
      <w:r>
        <w:rPr>
          <w:rFonts w:ascii="Times New Roman" w:hAnsi="Times New Roman"/>
          <w:noProof/>
          <w:sz w:val="24"/>
        </w:rPr>
        <w:t xml:space="preserve">. Графично представяне на примерите са включени в приложение III.   </w:t>
      </w:r>
    </w:p>
    <w:p w:rsidR="00BB1553" w:rsidRDefault="005F636C">
      <w:pPr>
        <w:keepNext/>
        <w:tabs>
          <w:tab w:val="num" w:pos="850"/>
        </w:tabs>
        <w:spacing w:before="360" w:after="120"/>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Заключение</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По пътя към постигане на целта за максималния устойчив улов бе постигнат значителен напредък: понастоящем 32 запаса (от общо 62 с оценка на максималния устойчив улов)  във водите на ЕС в Атлантическия океан, Северно море и Балтийско море се експлоатират на</w:t>
      </w:r>
      <w:r>
        <w:rPr>
          <w:rFonts w:ascii="Times New Roman" w:hAnsi="Times New Roman"/>
          <w:noProof/>
          <w:sz w:val="24"/>
        </w:rPr>
        <w:t xml:space="preserve"> равнището на максималния устойчив улов или под него.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Положението се е подобрило за пелагичните видове риболов в Атлантическия океан и като цяло за дънния риболов в Северно море и Балтийско море, докато в някои части от западните води то продължава да бу</w:t>
      </w:r>
      <w:r>
        <w:rPr>
          <w:rFonts w:ascii="Times New Roman" w:hAnsi="Times New Roman"/>
          <w:noProof/>
          <w:sz w:val="24"/>
        </w:rPr>
        <w:t xml:space="preserve">ди загриженост.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Комисията ще продължи да наблюдава развитието във всички зони и възнамерява да представи предложения за възможности за риболов в съответствие със стремежа за своевременното постигане на нивото на максималния устойчив улов за всички запаси.</w:t>
      </w:r>
      <w:r>
        <w:rPr>
          <w:rFonts w:ascii="Times New Roman" w:hAnsi="Times New Roman"/>
          <w:noProof/>
          <w:sz w:val="24"/>
        </w:rPr>
        <w:t xml:space="preserve"> С цел да се осигури възможно най-голяма стабилност Комисията възнамерява да предложи стабилни стойности за ОДУ за определени запаси, освен ако становищата сочат необходимост от преразглеждане.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Съвсем различна е обаче ситуацията в Средиземно море: Напредв</w:t>
      </w:r>
      <w:r>
        <w:rPr>
          <w:rFonts w:ascii="Times New Roman" w:hAnsi="Times New Roman"/>
          <w:noProof/>
          <w:sz w:val="24"/>
        </w:rPr>
        <w:t>а се много бавно, както по отношение на познанията за ресурсите, така и по отношение на устойчивата експлоатация на запасите. Това тревожно положение е много сходно за запасите, които се експлоатират изключително от флотовете на държавите членки, и за поде</w:t>
      </w:r>
      <w:r>
        <w:rPr>
          <w:rFonts w:ascii="Times New Roman" w:hAnsi="Times New Roman"/>
          <w:noProof/>
          <w:sz w:val="24"/>
        </w:rPr>
        <w:t>ляните с трети държави запаси. Комисията възнамерява да положи повече усилия в зоните, които бележат най-малкия напредък.</w:t>
      </w:r>
    </w:p>
    <w:p w:rsidR="005F636C" w:rsidRDefault="005F636C">
      <w:pPr>
        <w:spacing w:line="276" w:lineRule="auto"/>
        <w:rPr>
          <w:rFonts w:ascii="Times New Roman" w:hAnsi="Times New Roman"/>
          <w:b/>
          <w:smallCaps/>
          <w:noProof/>
          <w:sz w:val="24"/>
        </w:rPr>
      </w:pPr>
      <w:r>
        <w:rPr>
          <w:rFonts w:ascii="Times New Roman" w:hAnsi="Times New Roman"/>
          <w:b/>
          <w:smallCaps/>
          <w:noProof/>
          <w:sz w:val="24"/>
        </w:rPr>
        <w:br w:type="page"/>
      </w:r>
    </w:p>
    <w:p w:rsidR="00BB1553" w:rsidRDefault="005F636C">
      <w:pPr>
        <w:keepNext/>
        <w:tabs>
          <w:tab w:val="num" w:pos="850"/>
        </w:tabs>
        <w:spacing w:before="360" w:after="120"/>
        <w:ind w:left="850" w:hanging="850"/>
        <w:jc w:val="both"/>
        <w:outlineLvl w:val="0"/>
        <w:rPr>
          <w:rFonts w:ascii="Times New Roman" w:eastAsia="Times New Roman" w:hAnsi="Times New Roman" w:cs="Times New Roman"/>
          <w:b/>
          <w:bCs/>
          <w:smallCaps/>
          <w:noProof/>
          <w:sz w:val="24"/>
          <w:szCs w:val="32"/>
        </w:rPr>
      </w:pPr>
      <w:bookmarkStart w:id="1" w:name="_GoBack"/>
      <w:bookmarkEnd w:id="1"/>
      <w:r>
        <w:rPr>
          <w:rFonts w:ascii="Times New Roman" w:hAnsi="Times New Roman"/>
          <w:b/>
          <w:smallCaps/>
          <w:noProof/>
          <w:sz w:val="24"/>
        </w:rPr>
        <w:t xml:space="preserve">График </w:t>
      </w:r>
    </w:p>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Работата е планирана съгласно графика по-долу.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64"/>
        <w:gridCol w:w="2552"/>
        <w:gridCol w:w="1951"/>
      </w:tblGrid>
      <w:tr w:rsidR="00BB1553">
        <w:tc>
          <w:tcPr>
            <w:tcW w:w="2322" w:type="dxa"/>
            <w:shd w:val="clear" w:color="auto" w:fill="auto"/>
          </w:tcPr>
          <w:p w:rsidR="00BB1553" w:rsidRDefault="005F636C">
            <w:pPr>
              <w:spacing w:before="120" w:after="120"/>
              <w:jc w:val="both"/>
              <w:rPr>
                <w:rFonts w:ascii="Times New Roman" w:eastAsia="Times New Roman" w:hAnsi="Times New Roman" w:cs="Times New Roman"/>
                <w:b/>
                <w:noProof/>
                <w:sz w:val="24"/>
                <w:szCs w:val="24"/>
              </w:rPr>
            </w:pPr>
            <w:r>
              <w:rPr>
                <w:rFonts w:ascii="Times New Roman" w:hAnsi="Times New Roman"/>
                <w:b/>
                <w:noProof/>
                <w:sz w:val="24"/>
              </w:rPr>
              <w:t>Регламент</w:t>
            </w:r>
          </w:p>
        </w:tc>
        <w:tc>
          <w:tcPr>
            <w:tcW w:w="2464" w:type="dxa"/>
            <w:shd w:val="clear" w:color="auto" w:fill="auto"/>
          </w:tcPr>
          <w:p w:rsidR="00BB1553" w:rsidRDefault="005F636C">
            <w:pPr>
              <w:spacing w:before="120" w:after="120"/>
              <w:jc w:val="both"/>
              <w:rPr>
                <w:rFonts w:ascii="Times New Roman" w:eastAsia="Times New Roman" w:hAnsi="Times New Roman" w:cs="Times New Roman"/>
                <w:b/>
                <w:noProof/>
                <w:sz w:val="24"/>
                <w:szCs w:val="24"/>
              </w:rPr>
            </w:pPr>
            <w:r>
              <w:rPr>
                <w:rFonts w:ascii="Times New Roman" w:hAnsi="Times New Roman"/>
                <w:b/>
                <w:noProof/>
                <w:sz w:val="24"/>
              </w:rPr>
              <w:t>Становище на ICES</w:t>
            </w:r>
          </w:p>
        </w:tc>
        <w:tc>
          <w:tcPr>
            <w:tcW w:w="2552" w:type="dxa"/>
            <w:shd w:val="clear" w:color="auto" w:fill="auto"/>
          </w:tcPr>
          <w:p w:rsidR="00BB1553" w:rsidRDefault="005F636C">
            <w:pPr>
              <w:spacing w:before="120" w:after="120"/>
              <w:jc w:val="both"/>
              <w:rPr>
                <w:rFonts w:ascii="Times New Roman" w:eastAsia="Times New Roman" w:hAnsi="Times New Roman" w:cs="Times New Roman"/>
                <w:b/>
                <w:noProof/>
                <w:sz w:val="24"/>
                <w:szCs w:val="24"/>
              </w:rPr>
            </w:pPr>
            <w:r>
              <w:rPr>
                <w:rFonts w:ascii="Times New Roman" w:hAnsi="Times New Roman"/>
                <w:b/>
                <w:noProof/>
                <w:sz w:val="24"/>
              </w:rPr>
              <w:t>Предложение на Комисията</w:t>
            </w:r>
          </w:p>
        </w:tc>
        <w:tc>
          <w:tcPr>
            <w:tcW w:w="1951" w:type="dxa"/>
            <w:shd w:val="clear" w:color="auto" w:fill="auto"/>
          </w:tcPr>
          <w:p w:rsidR="00BB1553" w:rsidRDefault="005F636C">
            <w:pPr>
              <w:spacing w:before="120" w:after="120"/>
              <w:jc w:val="both"/>
              <w:rPr>
                <w:rFonts w:ascii="Times New Roman" w:eastAsia="Times New Roman" w:hAnsi="Times New Roman" w:cs="Times New Roman"/>
                <w:b/>
                <w:noProof/>
                <w:sz w:val="24"/>
                <w:szCs w:val="24"/>
              </w:rPr>
            </w:pPr>
            <w:r>
              <w:rPr>
                <w:rFonts w:ascii="Times New Roman" w:hAnsi="Times New Roman"/>
                <w:b/>
                <w:noProof/>
                <w:sz w:val="24"/>
              </w:rPr>
              <w:t>Съвет</w:t>
            </w:r>
          </w:p>
        </w:tc>
      </w:tr>
      <w:tr w:rsidR="00BB1553">
        <w:tc>
          <w:tcPr>
            <w:tcW w:w="2322"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Балтийско море</w:t>
            </w:r>
          </w:p>
        </w:tc>
        <w:tc>
          <w:tcPr>
            <w:tcW w:w="2464"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Края на май</w:t>
            </w:r>
          </w:p>
        </w:tc>
        <w:tc>
          <w:tcPr>
            <w:tcW w:w="2552"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Август</w:t>
            </w:r>
          </w:p>
        </w:tc>
        <w:tc>
          <w:tcPr>
            <w:tcW w:w="1951"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Октомври</w:t>
            </w:r>
          </w:p>
        </w:tc>
      </w:tr>
      <w:tr w:rsidR="00BB1553">
        <w:tc>
          <w:tcPr>
            <w:tcW w:w="2322"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Атлантически океан, Северно море и други зони (извън ЕС)</w:t>
            </w:r>
          </w:p>
        </w:tc>
        <w:tc>
          <w:tcPr>
            <w:tcW w:w="2464"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Края на юни (и октомври)</w:t>
            </w:r>
          </w:p>
        </w:tc>
        <w:tc>
          <w:tcPr>
            <w:tcW w:w="2552"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Октомври</w:t>
            </w:r>
          </w:p>
        </w:tc>
        <w:tc>
          <w:tcPr>
            <w:tcW w:w="1951" w:type="dxa"/>
            <w:vMerge w:val="restart"/>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Декември</w:t>
            </w:r>
          </w:p>
        </w:tc>
      </w:tr>
      <w:tr w:rsidR="00BB1553">
        <w:tc>
          <w:tcPr>
            <w:tcW w:w="2322"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Черно море</w:t>
            </w:r>
          </w:p>
        </w:tc>
        <w:tc>
          <w:tcPr>
            <w:tcW w:w="2464"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Края на октомври</w:t>
            </w:r>
          </w:p>
        </w:tc>
        <w:tc>
          <w:tcPr>
            <w:tcW w:w="2552" w:type="dxa"/>
            <w:shd w:val="clear" w:color="auto" w:fill="auto"/>
          </w:tcPr>
          <w:p w:rsidR="00BB1553" w:rsidRDefault="005F636C">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Ноември</w:t>
            </w:r>
          </w:p>
        </w:tc>
        <w:tc>
          <w:tcPr>
            <w:tcW w:w="1951" w:type="dxa"/>
            <w:vMerge/>
            <w:shd w:val="clear" w:color="auto" w:fill="auto"/>
          </w:tcPr>
          <w:p w:rsidR="00BB1553" w:rsidRDefault="00BB1553">
            <w:pPr>
              <w:spacing w:before="120" w:after="120"/>
              <w:jc w:val="both"/>
              <w:rPr>
                <w:rFonts w:ascii="Times New Roman" w:eastAsia="Times New Roman" w:hAnsi="Times New Roman" w:cs="Times New Roman"/>
                <w:noProof/>
                <w:sz w:val="24"/>
                <w:szCs w:val="24"/>
              </w:rPr>
            </w:pPr>
          </w:p>
        </w:tc>
      </w:tr>
    </w:tbl>
    <w:p w:rsidR="00BB1553" w:rsidRDefault="00BB1553">
      <w:pPr>
        <w:spacing w:after="200" w:line="276" w:lineRule="auto"/>
        <w:jc w:val="center"/>
        <w:rPr>
          <w:noProof/>
          <w:lang w:val="en-GB"/>
        </w:rPr>
      </w:pPr>
    </w:p>
    <w:sectPr w:rsidR="00BB1553" w:rsidSect="005F636C">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53" w:rsidRDefault="005F636C">
      <w:r>
        <w:separator/>
      </w:r>
    </w:p>
  </w:endnote>
  <w:endnote w:type="continuationSeparator" w:id="0">
    <w:p w:rsidR="00BB1553" w:rsidRDefault="005F636C">
      <w:r>
        <w:continuationSeparator/>
      </w:r>
    </w:p>
  </w:endnote>
  <w:endnote w:type="continuationNotice" w:id="1">
    <w:p w:rsidR="00BB1553" w:rsidRDefault="00BB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6C" w:rsidRDefault="005F6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53" w:rsidRDefault="005F636C">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6C" w:rsidRDefault="005F63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53" w:rsidRDefault="00BB15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53" w:rsidRDefault="005F636C">
    <w:pPr>
      <w:pStyle w:val="Footer"/>
      <w:jc w:val="center"/>
    </w:pPr>
    <w:r>
      <w:fldChar w:fldCharType="begin"/>
    </w:r>
    <w:r>
      <w:instrText xml:space="preserve"> PAGE   \* MERGEFORMAT </w:instrText>
    </w:r>
    <w:r>
      <w:fldChar w:fldCharType="separate"/>
    </w:r>
    <w:r>
      <w:rPr>
        <w:noProof/>
      </w:rPr>
      <w:t>13</w:t>
    </w:r>
    <w:r>
      <w:rPr>
        <w:noProof/>
      </w:rPr>
      <w:fldChar w:fldCharType="end"/>
    </w:r>
  </w:p>
  <w:p w:rsidR="00BB1553" w:rsidRDefault="00BB15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53" w:rsidRDefault="00BB1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53" w:rsidRDefault="005F636C">
      <w:r>
        <w:separator/>
      </w:r>
    </w:p>
  </w:footnote>
  <w:footnote w:type="continuationSeparator" w:id="0">
    <w:p w:rsidR="00BB1553" w:rsidRDefault="005F636C">
      <w:r>
        <w:continuationSeparator/>
      </w:r>
    </w:p>
  </w:footnote>
  <w:footnote w:type="continuationNotice" w:id="1">
    <w:p w:rsidR="00BB1553" w:rsidRDefault="00BB1553"/>
  </w:footnote>
  <w:footnote w:id="2">
    <w:p w:rsidR="00BB1553" w:rsidRDefault="005F636C">
      <w:pPr>
        <w:pStyle w:val="FootnoteText"/>
        <w:rPr>
          <w:lang w:val="ru-RU"/>
        </w:rPr>
      </w:pPr>
      <w:r>
        <w:rPr>
          <w:rStyle w:val="FootnoteReference"/>
        </w:rPr>
        <w:footnoteRef/>
      </w:r>
      <w:r>
        <w:t xml:space="preserve"> Както се изисква съгласно Директива 2008/56/ЕО от 25 юни 2008 г. — Рамковата директива за морска стратегия</w:t>
      </w:r>
    </w:p>
  </w:footnote>
  <w:footnote w:id="3">
    <w:p w:rsidR="00BB1553" w:rsidRDefault="005F636C">
      <w:pPr>
        <w:pStyle w:val="FootnoteText"/>
        <w:spacing w:after="0"/>
        <w:rPr>
          <w:lang w:val="ru-RU"/>
        </w:rPr>
      </w:pPr>
      <w:r>
        <w:rPr>
          <w:rStyle w:val="FootnoteReference"/>
        </w:rPr>
        <w:footnoteRef/>
      </w:r>
      <w:r>
        <w:t xml:space="preserve"> От ICES и, когато е приложимо, от НТИКР и  SAC (Научен консултативен комитет на GFCM)</w:t>
      </w:r>
    </w:p>
  </w:footnote>
  <w:footnote w:id="4">
    <w:p w:rsidR="00BB1553" w:rsidRDefault="005F636C">
      <w:pPr>
        <w:pStyle w:val="FootnoteText"/>
        <w:spacing w:after="0"/>
        <w:rPr>
          <w:rFonts w:ascii="Times New Roman" w:hAnsi="Times New Roman"/>
          <w:lang w:val="ru-RU"/>
        </w:rPr>
      </w:pPr>
      <w:r>
        <w:rPr>
          <w:rStyle w:val="FootnoteReference"/>
          <w:rFonts w:ascii="Times New Roman" w:hAnsi="Times New Roman"/>
        </w:rPr>
        <w:footnoteRef/>
      </w:r>
      <w:r>
        <w:rPr>
          <w:rFonts w:ascii="Times New Roman" w:hAnsi="Times New Roman"/>
        </w:rPr>
        <w:t xml:space="preserve"> СOM (2104) 614 final, 6 октомври 2014 г.</w:t>
      </w:r>
    </w:p>
  </w:footnote>
  <w:footnote w:id="5">
    <w:p w:rsidR="00BB1553" w:rsidRDefault="005F636C">
      <w:pPr>
        <w:pStyle w:val="FootnoteText"/>
        <w:rPr>
          <w:lang w:val="ru-RU"/>
        </w:rPr>
      </w:pPr>
      <w:r>
        <w:rPr>
          <w:rStyle w:val="FootnoteReference"/>
        </w:rPr>
        <w:footnoteRef/>
      </w:r>
      <w:r>
        <w:t xml:space="preserve"> ICES, становище по специално искане, 31 март 2015 г.</w:t>
      </w:r>
    </w:p>
  </w:footnote>
  <w:footnote w:id="6">
    <w:p w:rsidR="00BB1553" w:rsidRDefault="005F636C">
      <w:pPr>
        <w:pStyle w:val="FootnoteText"/>
        <w:rPr>
          <w:rFonts w:ascii="Times New Roman" w:hAnsi="Times New Roman"/>
          <w:lang w:val="ru-RU"/>
        </w:rPr>
      </w:pPr>
      <w:r>
        <w:rPr>
          <w:rStyle w:val="FootnoteReference"/>
          <w:rFonts w:ascii="Times New Roman" w:hAnsi="Times New Roman"/>
        </w:rPr>
        <w:footnoteRef/>
      </w:r>
      <w:r>
        <w:rPr>
          <w:rFonts w:ascii="Times New Roman" w:hAnsi="Times New Roman"/>
        </w:rPr>
        <w:t xml:space="preserve"> Приети съгласно член 19 от Регламент (ЕО) № 1967/2006.</w:t>
      </w:r>
    </w:p>
  </w:footnote>
  <w:footnote w:id="7">
    <w:p w:rsidR="00BB1553" w:rsidRDefault="005F636C">
      <w:pPr>
        <w:pStyle w:val="FootnoteText"/>
        <w:spacing w:after="0"/>
        <w:rPr>
          <w:rFonts w:ascii="Times New Roman" w:hAnsi="Times New Roman"/>
          <w:lang w:val="ru-RU"/>
        </w:rPr>
      </w:pPr>
      <w:r>
        <w:rPr>
          <w:rStyle w:val="FootnoteReference"/>
          <w:rFonts w:ascii="Times New Roman" w:hAnsi="Times New Roman"/>
        </w:rPr>
        <w:footnoteRef/>
      </w:r>
      <w:r>
        <w:rPr>
          <w:rFonts w:ascii="Times New Roman" w:hAnsi="Times New Roman"/>
        </w:rPr>
        <w:t xml:space="preserve"> COM(2006) 360 окончателен.</w:t>
      </w:r>
    </w:p>
  </w:footnote>
  <w:footnote w:id="8">
    <w:p w:rsidR="00BB1553" w:rsidRDefault="005F636C">
      <w:pPr>
        <w:pStyle w:val="FootnoteText"/>
        <w:spacing w:after="0"/>
        <w:rPr>
          <w:rFonts w:ascii="Times New Roman" w:hAnsi="Times New Roman"/>
          <w:lang w:val="ru-RU"/>
        </w:rPr>
      </w:pPr>
      <w:r>
        <w:rPr>
          <w:rStyle w:val="FootnoteReference"/>
          <w:rFonts w:ascii="Times New Roman" w:hAnsi="Times New Roman"/>
        </w:rPr>
        <w:footnoteRef/>
      </w:r>
      <w:r>
        <w:rPr>
          <w:rFonts w:ascii="Times New Roman" w:hAnsi="Times New Roman"/>
        </w:rPr>
        <w:t xml:space="preserve"> Отчетност в рамките на новата ОПОР (НТИКР-14-23), декември 2014 г.</w:t>
      </w:r>
    </w:p>
  </w:footnote>
  <w:footnote w:id="9">
    <w:p w:rsidR="00BB1553" w:rsidRDefault="005F636C">
      <w:pPr>
        <w:pStyle w:val="FootnoteText"/>
        <w:rPr>
          <w:rFonts w:ascii="Times New Roman" w:hAnsi="Times New Roman"/>
          <w:lang w:val="ru-RU"/>
        </w:rPr>
      </w:pPr>
      <w:r>
        <w:rPr>
          <w:rStyle w:val="FootnoteReference"/>
          <w:rFonts w:ascii="Times New Roman" w:hAnsi="Times New Roman"/>
        </w:rPr>
        <w:footnoteRef/>
      </w:r>
      <w:r>
        <w:rPr>
          <w:rFonts w:ascii="Times New Roman" w:hAnsi="Times New Roman"/>
        </w:rPr>
        <w:t xml:space="preserve"> Предишните динамични редове се съдържат в Съо</w:t>
      </w:r>
      <w:r>
        <w:rPr>
          <w:rFonts w:ascii="Times New Roman" w:hAnsi="Times New Roman"/>
        </w:rPr>
        <w:t xml:space="preserve">бщението от 2014 г. — COM(2014) 388 final. </w:t>
      </w:r>
    </w:p>
  </w:footnote>
  <w:footnote w:id="10">
    <w:p w:rsidR="00BB1553" w:rsidRDefault="005F636C">
      <w:pPr>
        <w:pStyle w:val="FootnoteText"/>
        <w:rPr>
          <w:lang w:val="ru-RU"/>
        </w:rPr>
      </w:pPr>
      <w:r>
        <w:rPr>
          <w:rStyle w:val="FootnoteReference"/>
        </w:rPr>
        <w:footnoteRef/>
      </w:r>
      <w:r>
        <w:t xml:space="preserve"> Използвани са данни от периода между 2002 и 2015 г.</w:t>
      </w:r>
    </w:p>
  </w:footnote>
  <w:footnote w:id="11">
    <w:p w:rsidR="00BB1553" w:rsidRDefault="005F636C">
      <w:pPr>
        <w:pStyle w:val="FootnoteText"/>
        <w:rPr>
          <w:lang w:val="ru-RU"/>
        </w:rPr>
      </w:pPr>
      <w:r>
        <w:rPr>
          <w:rStyle w:val="FootnoteReference"/>
          <w:rFonts w:ascii="Times New Roman" w:hAnsi="Times New Roman"/>
        </w:rPr>
        <w:footnoteRef/>
      </w:r>
      <w:r>
        <w:rPr>
          <w:rFonts w:ascii="Times New Roman" w:hAnsi="Times New Roman"/>
        </w:rPr>
        <w:t xml:space="preserve"> От доклада на НТИКР „Monitoring the performance of the Common Fisheries Policy“(Наблюдение на изпълнението на общата политика в областта на рибарството) (НТ</w:t>
      </w:r>
      <w:r>
        <w:rPr>
          <w:rFonts w:ascii="Times New Roman" w:hAnsi="Times New Roman"/>
        </w:rPr>
        <w:t>ИКР-15-04) — JRC Scientific and Policy Reports, 2015 г., под печат.</w:t>
      </w:r>
    </w:p>
  </w:footnote>
  <w:footnote w:id="12">
    <w:p w:rsidR="00BB1553" w:rsidRDefault="005F636C">
      <w:pPr>
        <w:pStyle w:val="FootnoteText"/>
        <w:rPr>
          <w:lang w:val="ru-RU"/>
        </w:rPr>
      </w:pPr>
      <w:r>
        <w:rPr>
          <w:rStyle w:val="FootnoteReference"/>
        </w:rPr>
        <w:footnoteRef/>
      </w:r>
      <w:r>
        <w:t xml:space="preserve"> Със следното средно съотношение на сегашния риболов и риболова на равнището на максималния устойчив улов: Fcurr/Fmsy = 3,32.</w:t>
      </w:r>
    </w:p>
  </w:footnote>
  <w:footnote w:id="13">
    <w:p w:rsidR="00BB1553" w:rsidRDefault="005F636C">
      <w:pPr>
        <w:pStyle w:val="FootnoteText"/>
        <w:rPr>
          <w:rFonts w:ascii="Times New Roman" w:hAnsi="Times New Roman"/>
          <w:lang w:val="ru-RU"/>
        </w:rPr>
      </w:pPr>
      <w:r>
        <w:rPr>
          <w:rStyle w:val="FootnoteReference"/>
        </w:rPr>
        <w:footnoteRef/>
      </w:r>
      <w:r>
        <w:t xml:space="preserve"> </w:t>
      </w:r>
      <w:r>
        <w:rPr>
          <w:rFonts w:ascii="Times New Roman" w:hAnsi="Times New Roman"/>
        </w:rPr>
        <w:t>Един запас от сардина (на юг от Сицилия) и един запас от ок</w:t>
      </w:r>
      <w:r>
        <w:rPr>
          <w:rFonts w:ascii="Times New Roman" w:hAnsi="Times New Roman"/>
        </w:rPr>
        <w:t>еански розови скариди (разпределен в Лигурско море и северната част на Тиренско море).</w:t>
      </w:r>
    </w:p>
  </w:footnote>
  <w:footnote w:id="14">
    <w:p w:rsidR="00BB1553" w:rsidRDefault="005F636C">
      <w:pPr>
        <w:pStyle w:val="FootnoteText"/>
        <w:rPr>
          <w:lang w:val="ru-RU"/>
        </w:rPr>
      </w:pPr>
      <w:r>
        <w:rPr>
          <w:rStyle w:val="FootnoteReference"/>
        </w:rPr>
        <w:footnoteRef/>
      </w:r>
      <w:r>
        <w:t xml:space="preserve"> </w:t>
      </w:r>
      <w:r>
        <w:rPr>
          <w:rFonts w:ascii="Times New Roman" w:hAnsi="Times New Roman"/>
          <w:noProof/>
        </w:rPr>
        <w:t>Със следното средно съотношение на сегашния риболов и риболова на равнището на максималния устойчив улов: Fcurr/Fmsy = 2,42.</w:t>
      </w:r>
    </w:p>
  </w:footnote>
  <w:footnote w:id="15">
    <w:p w:rsidR="00BB1553" w:rsidRDefault="005F636C">
      <w:pPr>
        <w:pStyle w:val="FootnoteText"/>
        <w:rPr>
          <w:rFonts w:ascii="Times New Roman" w:hAnsi="Times New Roman"/>
          <w:lang w:val="ru-RU"/>
        </w:rPr>
      </w:pPr>
      <w:r>
        <w:rPr>
          <w:rStyle w:val="FootnoteReference"/>
        </w:rPr>
        <w:footnoteRef/>
      </w:r>
      <w:r>
        <w:t xml:space="preserve"> </w:t>
      </w:r>
      <w:r>
        <w:rPr>
          <w:rFonts w:ascii="Times New Roman" w:hAnsi="Times New Roman"/>
        </w:rPr>
        <w:t>Два запаса от сардина (северно и южно Ал</w:t>
      </w:r>
      <w:r>
        <w:rPr>
          <w:rFonts w:ascii="Times New Roman" w:hAnsi="Times New Roman"/>
        </w:rPr>
        <w:t>боранско море), един от цаца (в Черно море) и един от норвежки омар (на юг от Сицилия и около остров Малта).</w:t>
      </w:r>
    </w:p>
  </w:footnote>
  <w:footnote w:id="16">
    <w:p w:rsidR="00BB1553" w:rsidRDefault="005F636C">
      <w:pPr>
        <w:pStyle w:val="FootnoteText"/>
        <w:rPr>
          <w:lang w:val="ru-RU"/>
        </w:rPr>
      </w:pPr>
      <w:r>
        <w:rPr>
          <w:rStyle w:val="FootnoteReference"/>
        </w:rPr>
        <w:footnoteRef/>
      </w:r>
      <w:r>
        <w:t xml:space="preserve"> </w:t>
      </w:r>
      <w:r>
        <w:rPr>
          <w:rFonts w:ascii="Times New Roman" w:hAnsi="Times New Roman"/>
        </w:rPr>
        <w:t>Въпреки увеличение на разходите за гориво от 30 % между 2008 и 2012 г.</w:t>
      </w:r>
    </w:p>
  </w:footnote>
  <w:footnote w:id="17">
    <w:p w:rsidR="00BB1553" w:rsidRDefault="005F636C">
      <w:pPr>
        <w:pStyle w:val="FootnoteText"/>
        <w:rPr>
          <w:rFonts w:ascii="Times New Roman" w:hAnsi="Times New Roman"/>
          <w:lang w:val="ru-RU"/>
        </w:rPr>
      </w:pPr>
      <w:r>
        <w:rPr>
          <w:rStyle w:val="FootnoteReference"/>
          <w:rFonts w:ascii="Times New Roman" w:hAnsi="Times New Roman"/>
        </w:rPr>
        <w:footnoteRef/>
      </w:r>
      <w:r>
        <w:rPr>
          <w:rFonts w:ascii="Times New Roman" w:hAnsi="Times New Roman"/>
        </w:rPr>
        <w:t xml:space="preserve"> Наблюдение въз основа на годишния икономически доклад за риболовния флот</w:t>
      </w:r>
      <w:r>
        <w:rPr>
          <w:rFonts w:ascii="Times New Roman" w:hAnsi="Times New Roman"/>
        </w:rPr>
        <w:t xml:space="preserve"> на ЕС за 2014 г. (</w:t>
      </w:r>
      <w:r>
        <w:rPr>
          <w:rFonts w:ascii="Times New Roman" w:hAnsi="Times New Roman"/>
          <w:lang w:val="de-DE"/>
        </w:rPr>
        <w:t>STECF</w:t>
      </w:r>
      <w:r>
        <w:rPr>
          <w:rFonts w:ascii="Times New Roman" w:hAnsi="Times New Roman"/>
          <w:lang w:val="ru-RU"/>
        </w:rPr>
        <w:t>-14-16</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6C" w:rsidRDefault="005F6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6C" w:rsidRDefault="005F6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6C" w:rsidRDefault="005F63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53" w:rsidRDefault="00BB15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53" w:rsidRDefault="00BB15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53" w:rsidRDefault="00BB1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2FE6"/>
    <w:multiLevelType w:val="hybridMultilevel"/>
    <w:tmpl w:val="9D7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02CB0"/>
    <w:multiLevelType w:val="hybridMultilevel"/>
    <w:tmpl w:val="FFBA4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6D49F3"/>
    <w:multiLevelType w:val="hybridMultilevel"/>
    <w:tmpl w:val="6052B7D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2EB2216D"/>
    <w:multiLevelType w:val="hybridMultilevel"/>
    <w:tmpl w:val="FC20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B04A93"/>
    <w:multiLevelType w:val="hybridMultilevel"/>
    <w:tmpl w:val="59A8065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C6E13E1"/>
    <w:multiLevelType w:val="hybridMultilevel"/>
    <w:tmpl w:val="9280BE5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4524FFE"/>
    <w:multiLevelType w:val="hybridMultilevel"/>
    <w:tmpl w:val="DD5CB26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5771618"/>
    <w:multiLevelType w:val="hybridMultilevel"/>
    <w:tmpl w:val="54BAF63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7F867C96"/>
    <w:multiLevelType w:val="hybridMultilevel"/>
    <w:tmpl w:val="B118667C"/>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1"/>
  </w:num>
  <w:num w:numId="6">
    <w:abstractNumId w:val="2"/>
  </w:num>
  <w:num w:numId="7">
    <w:abstractNumId w:val="2"/>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2D88567612442C58E2638F5D532D455"/>
    <w:docVar w:name="LW_CROSSREFERENCE" w:val="&lt;UNUSED&gt;"/>
    <w:docVar w:name="LW_DocType" w:val="NORMAL"/>
    <w:docVar w:name="LW_EMISSION" w:val="2.6.2015"/>
    <w:docVar w:name="LW_EMISSION_ISODATE" w:val="2015-06-02"/>
    <w:docVar w:name="LW_EMISSION_LOCATION" w:val="BRX"/>
    <w:docVar w:name="LW_EMISSION_PREFIX" w:val="Брюксел, "/>
    <w:docVar w:name="LW_EMISSION_SUFFIX" w:val=" \u1075?."/>
    <w:docVar w:name="LW_ID_DOCTYPE_NONLW" w:val="CP-00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39"/>
    <w:docVar w:name="LW_REF.INTERNE" w:val="&lt;UNUSED&gt;"/>
    <w:docVar w:name="LW_SOUS.TITRE.OBJ.CP" w:val="&lt;UNUSED&gt;"/>
    <w:docVar w:name="LW_SUPERTITRE" w:val="&lt;UNUSED&gt;"/>
    <w:docVar w:name="LW_TITRE.OBJ.CP" w:val="\u1050?\u1086?\u1085?\u1089?\u1091?\u1083?\u1090?\u1072?\u1094?\u1080?\u1103? \u1079?\u1072? \u1074?\u1098?\u1079?\u1084?\u1086?\u1078?\u1085?\u1086?\u1089?\u1090?\u1080?\u1090?\u1077? \u1079?\u1072? \u1088?\u1080?\u1073?\u1086?\u1083?\u1086?\u1074? \u1079?\u1072? 2016 \u1075?\u1086?\u1076?\u1080?\u1085?\u1072? \u1074? \u1088?\u1072?\u1084?\u1082?\u1080?\u1090?\u1077? \u1085?\u1072? \u1086?\u1073?\u1097?\u1072?\u1090?\u1072? \u1087?\u1086?\u1083?\u1080?\u1090?\u1080?\u1082?\u1072? \u1074? \u1086?\u1073?\u1083?\u1072?\u1089?\u1090?\u1090?\u1072? \u1085?\u1072? \u1088?\u1080?\u1073?\u1072?\u1088?\u1089?\u1090?\u1074?\u1086?\u1090?\u1086?"/>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8? \u1057?\u1066?\u1042?\u1045?\u1058?\u1040?"/>
  </w:docVars>
  <w:rsids>
    <w:rsidRoot w:val="00BB1553"/>
    <w:rsid w:val="005F636C"/>
    <w:rsid w:val="00BB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lang w:val="bg-BG"/>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paragraph" w:styleId="NormalWeb">
    <w:name w:val="Normal (Web)"/>
    <w:basedOn w:val="Normal"/>
    <w:uiPriority w:val="99"/>
    <w:unhideWhenUsed/>
    <w:pPr>
      <w:spacing w:after="200" w:line="276" w:lineRule="auto"/>
    </w:pPr>
    <w:rPr>
      <w:rFonts w:ascii="Times New Roman" w:eastAsia="Calibri" w:hAnsi="Times New Roman" w:cs="Times New Roman"/>
      <w:sz w:val="24"/>
      <w:szCs w:val="24"/>
    </w:rPr>
  </w:style>
  <w:style w:type="character" w:styleId="FootnoteReference">
    <w:name w:val="footnote reference"/>
    <w:semiHidden/>
    <w:rPr>
      <w:shd w:val="clear" w:color="auto" w:fill="auto"/>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table" w:styleId="TableGrid">
    <w:name w:val="Table Grid"/>
    <w:basedOn w:val="TableNormal"/>
    <w:uiPriority w:val="59"/>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lang w:val="bg-BG"/>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paragraph" w:styleId="NormalWeb">
    <w:name w:val="Normal (Web)"/>
    <w:basedOn w:val="Normal"/>
    <w:uiPriority w:val="99"/>
    <w:unhideWhenUsed/>
    <w:pPr>
      <w:spacing w:after="200" w:line="276" w:lineRule="auto"/>
    </w:pPr>
    <w:rPr>
      <w:rFonts w:ascii="Times New Roman" w:eastAsia="Calibri" w:hAnsi="Times New Roman" w:cs="Times New Roman"/>
      <w:sz w:val="24"/>
      <w:szCs w:val="24"/>
    </w:rPr>
  </w:style>
  <w:style w:type="character" w:styleId="FootnoteReference">
    <w:name w:val="footnote reference"/>
    <w:semiHidden/>
    <w:rPr>
      <w:shd w:val="clear" w:color="auto" w:fill="auto"/>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table" w:styleId="TableGrid">
    <w:name w:val="Table Grid"/>
    <w:basedOn w:val="TableNormal"/>
    <w:uiPriority w:val="59"/>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7576-48BE-4813-8CE2-94E49B5A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24</cp:revision>
  <cp:lastPrinted>2015-05-06T09:14:00Z</cp:lastPrinted>
  <dcterms:created xsi:type="dcterms:W3CDTF">2015-05-06T10:15:00Z</dcterms:created>
  <dcterms:modified xsi:type="dcterms:W3CDTF">2015-05-29T12:13:00Z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