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3133156196B2426E837A6317C090A502" style="width:450.5pt;height:420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color w:val="000000"/>
        </w:rPr>
      </w:pPr>
      <w:bookmarkStart w:id="1" w:name="_GoBack"/>
      <w:bookmarkEnd w:id="1"/>
      <w:r>
        <w:rPr>
          <w:rFonts w:ascii="Times New Roman" w:eastAsia="Calibri" w:hAnsi="Times New Roman" w:cs="Times New Roman"/>
          <w:b/>
          <w:noProof/>
          <w:color w:val="000000"/>
        </w:rPr>
        <w:lastRenderedPageBreak/>
        <w:t>ANNEX I –Assessment of the state of  stocks in the North-East Atlantic and adjacent waters</w:t>
      </w:r>
    </w:p>
    <w:p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The stock sample assessed by STECF under the new methodology is larger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  <w:lang w:eastAsia="en-GB"/>
        </w:rPr>
        <w:footnoteReference w:id="1"/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 xml:space="preserve"> than the sample used for the time series 2007-2014 (in earlier Communications). It includes stocks with an estimate of the ratio F/Fmsy of EU relevance for the monitoring of the CFP implementation. This results in a sample of 62 stocks. </w:t>
      </w:r>
    </w:p>
    <w:p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w:t>The indicators are: a) number of stocks fished at/below Fmsy, b) number of stocks inside/outside safe biological limits, c) number of stocks with unknown status (with respect to safe biological limits). STECF also produced an indicator on the arithmetic mean value of F/Fmsy, and one on changes in advice coverage.</w:t>
      </w:r>
    </w:p>
    <w:p>
      <w:pPr>
        <w:spacing w:after="200" w:line="276" w:lineRule="auto"/>
        <w:jc w:val="both"/>
        <w:rPr>
          <w:rFonts w:ascii="Times New Roman" w:eastAsia="Calibri" w:hAnsi="Times New Roman" w:cs="Times New Roman"/>
          <w:b/>
          <w:noProof/>
          <w:color w:val="000000"/>
        </w:rPr>
      </w:pPr>
      <w:r>
        <w:rPr>
          <w:rFonts w:ascii="Times New Roman" w:eastAsia="Calibri" w:hAnsi="Times New Roman" w:cs="Times New Roman"/>
          <w:b/>
          <w:noProof/>
          <w:color w:val="000000"/>
        </w:rPr>
        <w:t>Table 1. Achievement of MSY and status of stocks: 2015</w:t>
      </w:r>
      <w:r>
        <w:rPr>
          <w:rFonts w:ascii="Times New Roman" w:eastAsia="Calibri" w:hAnsi="Times New Roman" w:cs="Times New Roman"/>
          <w:b/>
          <w:noProof/>
          <w:color w:val="000000"/>
          <w:vertAlign w:val="superscript"/>
        </w:rPr>
        <w:footnoteReference w:id="2"/>
      </w:r>
      <w:r>
        <w:rPr>
          <w:rFonts w:ascii="Times New Roman" w:eastAsia="Calibri" w:hAnsi="Times New Roman" w:cs="Times New Roman"/>
          <w:b/>
          <w:noProof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551"/>
      </w:tblGrid>
      <w:tr>
        <w:tc>
          <w:tcPr>
            <w:tcW w:w="4361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Assessment used to provide advice for year: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2015</w:t>
            </w:r>
          </w:p>
        </w:tc>
      </w:tr>
      <w:tr>
        <w:tc>
          <w:tcPr>
            <w:tcW w:w="4361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Number of fish stocks</w:t>
            </w:r>
          </w:p>
        </w:tc>
      </w:tr>
      <w:tr>
        <w:tc>
          <w:tcPr>
            <w:tcW w:w="4361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Stocks with MSY estimates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62</w:t>
            </w:r>
          </w:p>
        </w:tc>
      </w:tr>
      <w:tr>
        <w:tc>
          <w:tcPr>
            <w:tcW w:w="4361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Stocks fished at or below Fmsy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32</w:t>
            </w:r>
          </w:p>
        </w:tc>
      </w:tr>
      <w:tr>
        <w:tc>
          <w:tcPr>
            <w:tcW w:w="4361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Stocks fished above Fmsy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30</w:t>
            </w:r>
          </w:p>
        </w:tc>
      </w:tr>
      <w:tr>
        <w:tc>
          <w:tcPr>
            <w:tcW w:w="4361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</w:tr>
      <w:tr>
        <w:tc>
          <w:tcPr>
            <w:tcW w:w="4361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Stocks inside safe biological limits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20</w:t>
            </w:r>
          </w:p>
        </w:tc>
      </w:tr>
      <w:tr>
        <w:tc>
          <w:tcPr>
            <w:tcW w:w="4361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Stocks outside safe biological limits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16</w:t>
            </w:r>
          </w:p>
        </w:tc>
      </w:tr>
      <w:tr>
        <w:tc>
          <w:tcPr>
            <w:tcW w:w="4361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</w:tr>
      <w:tr>
        <w:tc>
          <w:tcPr>
            <w:tcW w:w="4361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Stocks with advice to stop fishing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</w:rPr>
              <w:t>11</w:t>
            </w:r>
          </w:p>
        </w:tc>
      </w:tr>
    </w:tbl>
    <w:p>
      <w:pPr>
        <w:spacing w:after="200" w:line="276" w:lineRule="auto"/>
        <w:rPr>
          <w:rFonts w:ascii="Times New Roman" w:eastAsia="Calibri" w:hAnsi="Times New Roman" w:cs="Times New Roman"/>
          <w:b/>
          <w:noProof/>
        </w:rPr>
      </w:pPr>
    </w:p>
    <w:p>
      <w:pPr>
        <w:spacing w:after="200" w:line="276" w:lineRule="auto"/>
        <w:rPr>
          <w:rFonts w:ascii="Times New Roman" w:eastAsia="Calibri" w:hAnsi="Times New Roman" w:cs="Times New Roman"/>
          <w:b/>
          <w:noProof/>
        </w:rPr>
      </w:pPr>
    </w:p>
    <w:p>
      <w:pPr>
        <w:spacing w:line="276" w:lineRule="auto"/>
        <w:rPr>
          <w:rFonts w:ascii="Times New Roman" w:eastAsia="Calibri" w:hAnsi="Times New Roman" w:cs="Times New Roman"/>
          <w:b/>
          <w:noProof/>
        </w:rPr>
      </w:pPr>
      <w:r>
        <w:rPr>
          <w:rFonts w:ascii="Times New Roman" w:eastAsia="Calibri" w:hAnsi="Times New Roman" w:cs="Times New Roman"/>
          <w:b/>
          <w:noProof/>
        </w:rPr>
        <w:br w:type="page"/>
      </w:r>
    </w:p>
    <w:p>
      <w:pPr>
        <w:spacing w:after="200" w:line="276" w:lineRule="auto"/>
        <w:rPr>
          <w:rFonts w:ascii="Calibri" w:eastAsia="Calibri" w:hAnsi="Calibri" w:cs="Times New Roman"/>
          <w:b/>
          <w:noProof/>
        </w:rPr>
      </w:pPr>
      <w:r>
        <w:rPr>
          <w:rFonts w:ascii="Times New Roman" w:eastAsia="Calibri" w:hAnsi="Times New Roman" w:cs="Times New Roman"/>
          <w:b/>
          <w:noProof/>
        </w:rPr>
        <w:lastRenderedPageBreak/>
        <w:t xml:space="preserve">Graph 1: Coverage of advice in the north-east Atlantic </w:t>
      </w:r>
      <w:r>
        <w:rPr>
          <w:rFonts w:ascii="Times New Roman" w:hAnsi="Times New Roman"/>
          <w:b/>
          <w:noProof/>
        </w:rPr>
        <w:t>including North Sea and Baltic Sea</w:t>
      </w:r>
      <w:r>
        <w:rPr>
          <w:rFonts w:ascii="Times New Roman" w:hAnsi="Times New Roman"/>
          <w:b/>
          <w:noProof/>
          <w:vertAlign w:val="superscript"/>
        </w:rPr>
        <w:footnoteReference w:id="3"/>
      </w:r>
    </w:p>
    <w:p>
      <w:pPr>
        <w:spacing w:after="200" w:line="276" w:lineRule="auto"/>
        <w:rPr>
          <w:rFonts w:ascii="Calibri" w:eastAsia="Calibri" w:hAnsi="Calibri" w:cs="Times New Roman"/>
          <w:noProof/>
          <w:lang w:val="fr-BE"/>
        </w:rPr>
      </w:pPr>
      <w:r>
        <w:rPr>
          <w:rFonts w:ascii="Calibri" w:eastAsia="Calibri" w:hAnsi="Calibri" w:cs="Times New Roman"/>
          <w:noProof/>
          <w:lang w:val="fr-BE" w:eastAsia="fr-BE"/>
        </w:rPr>
        <w:drawing>
          <wp:inline distT="0" distB="0" distL="0" distR="0">
            <wp:extent cx="4476750" cy="3076575"/>
            <wp:effectExtent l="0" t="0" r="19050" b="9525"/>
            <wp:docPr id="21" name="Chart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spacing w:after="200" w:line="276" w:lineRule="auto"/>
        <w:rPr>
          <w:rFonts w:ascii="Times New Roman" w:eastAsia="Calibri" w:hAnsi="Times New Roman" w:cs="Times New Roman"/>
          <w:b/>
          <w:noProof/>
        </w:rPr>
      </w:pPr>
      <w:r>
        <w:rPr>
          <w:rFonts w:ascii="Times New Roman" w:eastAsia="Calibri" w:hAnsi="Times New Roman" w:cs="Times New Roman"/>
          <w:b/>
          <w:noProof/>
        </w:rPr>
        <w:t>Graph 2: Number of stocks with advice to stop fishing</w:t>
      </w:r>
      <w:r>
        <w:rPr>
          <w:rFonts w:ascii="Times New Roman" w:eastAsia="Calibri" w:hAnsi="Times New Roman" w:cs="Times New Roman"/>
          <w:b/>
          <w:noProof/>
          <w:vertAlign w:val="superscript"/>
        </w:rPr>
        <w:footnoteReference w:id="4"/>
      </w:r>
    </w:p>
    <w:p>
      <w:pPr>
        <w:spacing w:after="200" w:line="276" w:lineRule="auto"/>
        <w:rPr>
          <w:rFonts w:ascii="Times New Roman" w:eastAsia="Calibri" w:hAnsi="Times New Roman" w:cs="Times New Roman"/>
          <w:noProof/>
        </w:rPr>
      </w:pPr>
      <w:r>
        <w:rPr>
          <w:rFonts w:ascii="Calibri" w:eastAsia="Calibri" w:hAnsi="Calibri" w:cs="Times New Roman"/>
          <w:noProof/>
          <w:lang w:val="fr-BE" w:eastAsia="fr-BE"/>
        </w:rPr>
        <w:drawing>
          <wp:inline distT="0" distB="0" distL="0" distR="0">
            <wp:extent cx="4476750" cy="3114675"/>
            <wp:effectExtent l="0" t="0" r="19050" b="9525"/>
            <wp:docPr id="20" name="Chart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spacing w:line="276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br w:type="page"/>
      </w:r>
    </w:p>
    <w:p>
      <w:pPr>
        <w:spacing w:before="120" w:after="1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Table 3. Status of stocks fished at MSY (as assessed in 2013 for 2015 advice)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>
        <w:tc>
          <w:tcPr>
            <w:tcW w:w="52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  <w:t>Fished at or below MSY</w:t>
            </w:r>
          </w:p>
        </w:tc>
        <w:tc>
          <w:tcPr>
            <w:tcW w:w="396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  <w:t>Fished above MSY</w:t>
            </w:r>
          </w:p>
        </w:tc>
      </w:tr>
      <w:tr>
        <w:tc>
          <w:tcPr>
            <w:tcW w:w="52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  <w:t xml:space="preserve">Baltic Sea: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Herring in Subdivisions 25 - 29 (excluding Gulf of Riga) and 32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Herring in Subdivision 30 (Bothnian Sea)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>Herring in Subdivision 28.1 (Gulf of Riga)</w:t>
            </w:r>
          </w:p>
        </w:tc>
        <w:tc>
          <w:tcPr>
            <w:tcW w:w="396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Cod in Subdivisions 22-24 (Western Baltic Sea)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>Herring in Division IIIa and Subdivisions 22 - 24 (Western Baltic spring spawners)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Sprat in Subdivisions 22 - 32 (Baltic Sea) </w:t>
            </w:r>
          </w:p>
        </w:tc>
      </w:tr>
      <w:tr>
        <w:tc>
          <w:tcPr>
            <w:tcW w:w="52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  <w:t>North Sea (Including Skagerrak and Eastern Channel):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Haddock in Subarea IV and Divisions IIIa West and VIa (North Sea. Skagerrak and West of Scotland)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Herring in Subarea IV and Divisions IIIa and VIId (North Sea autumn spawners)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Nephrops in Fladen Ground (FU 7), in Firth of Forth (FU 8) and in Moray Firth (FU 9)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Norway Pout in Subarea IV (North Sea) and Division IIIa (Skagerrak - Kattegat) - Autumn assessment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Northern shrimp (Pandalus borealis) in Divisions IIIa West and IVa East (Skagerrak and Norwegian Deeps)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Plaice Subarea IV (North Sea)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Sole in Division VIIe (Western Channel)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Sprat in Subarea IV (North Sea) </w:t>
            </w:r>
          </w:p>
        </w:tc>
        <w:tc>
          <w:tcPr>
            <w:tcW w:w="396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Cod in Subarea IV (North Sea). Divison VIId (Eastern Channel) and IIIa West (Skagerrak)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Nephrops in Farn Deeps (FU 6)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>Saithe</w:t>
            </w:r>
            <w:r>
              <w:rPr>
                <w:rStyle w:val="FootnoteReference"/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footnoteReference w:id="5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 in Subarea IV (North Sea) Division IIIa West (Skagerrak) and Subarea VI (West of Scotland and Rockall)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Sandeel in the Dogger Bank area (SA 1)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Sandeel in the South Eastern North Sea (SA 2)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Sandeel in the Central Eastern North Sea (SA 3)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Sole in Division VIId (Eastern Channel)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Sole in Subarea IV (North Sea)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Sole in Division IIIa and Subdivisions 22-24 (Skagerrak. Kattegat. and the Belts)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</w:pPr>
          </w:p>
        </w:tc>
      </w:tr>
      <w:tr>
        <w:tc>
          <w:tcPr>
            <w:tcW w:w="52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  <w:t>Western European Waters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Black-bellied anglerfish (Lophius budegassa) in Divisions VIIIc and IXa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White anglerfish (Lophius piscatorius) in Divisions VIIIc and IXa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>Herring in Division VIIa South of 52° 30’ N and VIIg.h.j.k (Celtic Sea and South of Ireland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Herring in Division VIIa North of 52° 30’ N (Irish Sea)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Horse mackerel (Trachurus trachurus) in Division IXa (Southern stock)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Megrim (Lepidorhombus whiffiagonis) in Divisions VIIIc and IXa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Nephrops in North Minch (FU 11)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Nephrops in South Minch (FU 12)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Nephrops in the Firth of Clyde (FU 13)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Nephrops in the Sound of Jura (FU 13)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Nephrops in Irish Sea East (FU 14)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Nephrops on Porcupine Bank (FU 16)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Nephrops in the Smalls (FU 22)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Whiting in Division VIIe-k </w:t>
            </w:r>
          </w:p>
        </w:tc>
        <w:tc>
          <w:tcPr>
            <w:tcW w:w="396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Cod in Divisions VIIe-k (Celtic Sea cod)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Cod in Division VIIa (Irish Sea)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Cod in Division VIa (West of Scotland)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v-SE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v-SE" w:eastAsia="en-GB"/>
              </w:rPr>
              <w:t xml:space="preserve">Haddock in Divisions VIIb.c.e-k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v-SE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v-SE" w:eastAsia="en-GB"/>
              </w:rPr>
              <w:t xml:space="preserve">Haddock in Division VIb (Rockall) </w:t>
            </w:r>
          </w:p>
          <w:p>
            <w:pPr>
              <w:spacing w:before="120" w:after="24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Herring in Division VIa (North)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Hake in Division VIIIc and IXa (Southern stock)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Megrim (Lepidorhombus spp.) in Divisions IVa and VIa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Four-spot megrim (Lepidorhombus boscii) in Divisions VIIIc and IXa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Nephrops in Irish Sea West (FU 15)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Nephrops on the Aran Grounds (FU 17)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>Plaice in Division VIIe (Western Channel)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Sole in Divisions VIIIa.b (Bay of Biscay)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Sole in Divisions VIIf. g (Celtic Sea)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Sole in Division VIIa (Irish Sea)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Nephrops off the southeastern and southwestern coasts of Ireland (FU 19) </w:t>
            </w:r>
          </w:p>
        </w:tc>
      </w:tr>
      <w:tr>
        <w:tc>
          <w:tcPr>
            <w:tcW w:w="521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  <w:t>Widely distributed stocks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Blue ling (Molva dypterygia) in Division Vb. and Subareas VI and VII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Herring in Subareas I. II. V and Divisions IVa and XIVa (Norwegian spring-spawning herring)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Mackerel in the Northeast Atlantic (combined Southern. Western and North Sea spawning components)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Roundnose grenadier (Coryphaenoides rupenstris) in Subareas VI and VII. and Divisons Vb and XIIb </w:t>
            </w:r>
          </w:p>
          <w:p>
            <w:pPr>
              <w:spacing w:before="120" w:after="240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Blue whiting in Subareas I-IX. XII and XIV (combined stock) </w:t>
            </w:r>
          </w:p>
        </w:tc>
        <w:tc>
          <w:tcPr>
            <w:tcW w:w="396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Hake in Division IIIa. Subareas IV. VI and VII and Divisions VIIIa.b.d (Northern stock)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  <w:t xml:space="preserve">Horse mackerel (Trachurus trachurus) in Divisions IIa. IVa. Vb. VIa. VIIa-c. e-k. VIII (Western stock)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en-GB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en-GB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en-GB"/>
        </w:rPr>
      </w:pPr>
    </w:p>
    <w:p>
      <w:pPr>
        <w:spacing w:line="276" w:lineRule="auto"/>
        <w:rPr>
          <w:rFonts w:ascii="Times New Roman" w:eastAsia="Times New Roman" w:hAnsi="Times New Roman" w:cs="Times New Roman"/>
          <w:b/>
          <w:noProof/>
          <w:sz w:val="21"/>
          <w:szCs w:val="21"/>
        </w:rPr>
      </w:pPr>
      <w:r>
        <w:rPr>
          <w:rFonts w:ascii="Times New Roman" w:eastAsia="Times New Roman" w:hAnsi="Times New Roman" w:cs="Times New Roman"/>
          <w:b/>
          <w:noProof/>
          <w:sz w:val="21"/>
          <w:szCs w:val="21"/>
        </w:rPr>
        <w:t>Annex II Mediterranean</w:t>
      </w:r>
    </w:p>
    <w:p>
      <w:pPr>
        <w:spacing w:after="240" w:line="276" w:lineRule="auto"/>
        <w:jc w:val="both"/>
        <w:rPr>
          <w:rFonts w:ascii="Times New Roman" w:eastAsia="Times New Roman" w:hAnsi="Times New Roman" w:cs="Times New Roman"/>
          <w:noProof/>
          <w:sz w:val="21"/>
          <w:szCs w:val="21"/>
        </w:rPr>
      </w:pPr>
      <w:r>
        <w:rPr>
          <w:rFonts w:ascii="Times New Roman" w:eastAsia="Times New Roman" w:hAnsi="Times New Roman" w:cs="Times New Roman"/>
          <w:b/>
          <w:noProof/>
          <w:sz w:val="21"/>
          <w:szCs w:val="21"/>
        </w:rPr>
        <w:t>Table 1</w:t>
      </w:r>
      <w:r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noProof/>
          <w:sz w:val="21"/>
          <w:szCs w:val="21"/>
        </w:rPr>
        <w:t xml:space="preserve">Number of known stocks and proportion of stocks assessed as overfished </w:t>
      </w:r>
      <w:r>
        <w:rPr>
          <w:rFonts w:ascii="Times New Roman" w:eastAsia="Times New Roman" w:hAnsi="Times New Roman" w:cs="Times New Roman"/>
          <w:bCs/>
          <w:noProof/>
          <w:sz w:val="21"/>
          <w:szCs w:val="21"/>
        </w:rPr>
        <w:t xml:space="preserve">in the Mediterranean and </w:t>
      </w:r>
      <w:r>
        <w:rPr>
          <w:rFonts w:ascii="Times New Roman" w:eastAsia="Times New Roman" w:hAnsi="Times New Roman" w:cs="Times New Roman"/>
          <w:noProof/>
          <w:sz w:val="21"/>
          <w:szCs w:val="21"/>
        </w:rPr>
        <w:t>Black Sea, per region, 2010 - 2013 (</w:t>
      </w:r>
      <w:r>
        <w:rPr>
          <w:rFonts w:ascii="Times New Roman" w:eastAsia="Times New Roman" w:hAnsi="Times New Roman" w:cs="Times New Roman"/>
          <w:b/>
          <w:noProof/>
          <w:sz w:val="21"/>
          <w:szCs w:val="21"/>
        </w:rPr>
        <w:t>Source</w:t>
      </w:r>
      <w:r>
        <w:rPr>
          <w:rFonts w:ascii="Times New Roman" w:eastAsia="Times New Roman" w:hAnsi="Times New Roman" w:cs="Times New Roman"/>
          <w:noProof/>
          <w:sz w:val="21"/>
          <w:szCs w:val="21"/>
        </w:rPr>
        <w:t>: STECF and GFCM-SAC).</w:t>
      </w:r>
      <w:r>
        <w:rPr>
          <w:rFonts w:ascii="Times New Roman" w:eastAsia="Times New Roman" w:hAnsi="Times New Roman" w:cs="Times New Roman"/>
          <w:noProof/>
          <w:sz w:val="21"/>
          <w:szCs w:val="21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noProof/>
          <w:sz w:val="21"/>
          <w:szCs w:val="21"/>
        </w:rPr>
        <w:t>,</w:t>
      </w:r>
      <w:r>
        <w:rPr>
          <w:rStyle w:val="FootnoteReference"/>
          <w:rFonts w:ascii="Times New Roman" w:eastAsia="Times New Roman" w:hAnsi="Times New Roman" w:cs="Times New Roman"/>
          <w:noProof/>
          <w:sz w:val="21"/>
          <w:szCs w:val="21"/>
        </w:rPr>
        <w:footnoteReference w:id="7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41"/>
        <w:gridCol w:w="4111"/>
        <w:gridCol w:w="1134"/>
        <w:gridCol w:w="1134"/>
        <w:gridCol w:w="1134"/>
        <w:gridCol w:w="1100"/>
      </w:tblGrid>
      <w:tr>
        <w:tc>
          <w:tcPr>
            <w:tcW w:w="4786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Area</w:t>
            </w:r>
          </w:p>
          <w:p>
            <w:pPr>
              <w:rPr>
                <w:b/>
                <w:noProof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2010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2011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2012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2013</w:t>
            </w:r>
          </w:p>
        </w:tc>
      </w:tr>
      <w:t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b/>
                <w:noProof/>
              </w:rPr>
            </w:pPr>
          </w:p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MEDITERRANEAN SEA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</w:tr>
      <w:t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Number of known stocks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83</w:t>
            </w:r>
          </w:p>
        </w:tc>
      </w:tr>
      <w:tr>
        <w:tc>
          <w:tcPr>
            <w:tcW w:w="4786" w:type="dxa"/>
            <w:gridSpan w:val="3"/>
            <w:tcBorders>
              <w:top w:val="nil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Proportion of stocks assessed as overfished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87%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95%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93%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93%</w:t>
            </w:r>
          </w:p>
        </w:tc>
      </w:tr>
      <w:t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Western Mediterranean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</w:tr>
      <w:t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Number of known stocks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57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52</w:t>
            </w:r>
          </w:p>
        </w:tc>
      </w:tr>
      <w:t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Proportion of stocks assessed as overfished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95%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97%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95%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92%</w:t>
            </w:r>
          </w:p>
        </w:tc>
      </w:tr>
      <w:t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Central Mediterranean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</w:tr>
      <w:t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Number of known stocks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27</w:t>
            </w:r>
          </w:p>
        </w:tc>
      </w:tr>
      <w:t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Proportion of stocks assessed as overfished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80%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93%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93%</w:t>
            </w:r>
          </w:p>
        </w:tc>
      </w:tr>
      <w:t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Eastern Mediterranean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</w:tr>
      <w:t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Number of known stocks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Proportion of stocks assessed as overfished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82%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75%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83%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75%</w:t>
            </w:r>
          </w:p>
        </w:tc>
      </w:tr>
      <w:t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b/>
                <w:noProof/>
              </w:rPr>
            </w:pPr>
          </w:p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BLACK SEA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</w:p>
        </w:tc>
      </w:tr>
      <w:t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Number of known stocks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  <w:r>
              <w:rPr>
                <w:noProof/>
              </w:rPr>
              <w:t>Proportion of stocks assessed as overfished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75%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100%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83%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noProof/>
              </w:rPr>
            </w:pPr>
            <w:r>
              <w:rPr>
                <w:noProof/>
              </w:rPr>
              <w:t>86%</w:t>
            </w:r>
          </w:p>
        </w:tc>
      </w:tr>
      <w:tr>
        <w:tc>
          <w:tcPr>
            <w:tcW w:w="4786" w:type="dxa"/>
            <w:gridSpan w:val="3"/>
            <w:tcBorders>
              <w:top w:val="single" w:sz="4" w:space="0" w:color="auto"/>
            </w:tcBorders>
          </w:tcPr>
          <w:p>
            <w:pPr>
              <w:rPr>
                <w:b/>
                <w:noProof/>
              </w:rPr>
            </w:pPr>
          </w:p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TOTAL Number of known stocks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jc w:val="right"/>
              <w:rPr>
                <w:b/>
                <w:noProof/>
              </w:rPr>
            </w:pPr>
          </w:p>
          <w:p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jc w:val="right"/>
              <w:rPr>
                <w:b/>
                <w:noProof/>
              </w:rPr>
            </w:pPr>
          </w:p>
          <w:p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>
            <w:pPr>
              <w:jc w:val="right"/>
              <w:rPr>
                <w:b/>
                <w:noProof/>
              </w:rPr>
            </w:pPr>
          </w:p>
          <w:p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96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>
            <w:pPr>
              <w:jc w:val="right"/>
              <w:rPr>
                <w:b/>
                <w:noProof/>
              </w:rPr>
            </w:pPr>
          </w:p>
          <w:p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90</w:t>
            </w:r>
          </w:p>
        </w:tc>
      </w:tr>
    </w:tbl>
    <w:p>
      <w:pPr>
        <w:spacing w:after="24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20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BE" w:eastAsia="fr-BE"/>
        </w:rPr>
        <w:drawing>
          <wp:inline distT="0" distB="0" distL="0" distR="0">
            <wp:extent cx="5410200" cy="2209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600"/>
        <w:jc w:val="center"/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noProof/>
          <w:sz w:val="21"/>
          <w:szCs w:val="21"/>
        </w:rPr>
        <w:t>Figure 1</w:t>
      </w:r>
      <w:r>
        <w:rPr>
          <w:rFonts w:ascii="Times New Roman" w:eastAsia="Calibri" w:hAnsi="Times New Roman" w:cs="Times New Roman"/>
          <w:noProof/>
          <w:sz w:val="21"/>
          <w:szCs w:val="21"/>
        </w:rPr>
        <w:t>. Number of known stocks 2007-2013 by Mediterranean sub-region and Black Sea.</w:t>
      </w:r>
    </w:p>
    <w:p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BE" w:eastAsia="fr-BE"/>
        </w:rPr>
        <w:drawing>
          <wp:inline distT="0" distB="0" distL="0" distR="0">
            <wp:extent cx="4257675" cy="21431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600"/>
        <w:jc w:val="right"/>
        <w:rPr>
          <w:rFonts w:ascii="Times New Roman" w:eastAsia="Calibri" w:hAnsi="Times New Roman" w:cs="Times New Roman"/>
          <w:noProof/>
          <w:sz w:val="21"/>
          <w:szCs w:val="21"/>
          <w:lang w:eastAsia="en-GB"/>
        </w:rPr>
      </w:pPr>
      <w:r>
        <w:rPr>
          <w:rFonts w:ascii="Times New Roman" w:eastAsia="Calibri" w:hAnsi="Times New Roman" w:cs="Times New Roman"/>
          <w:b/>
          <w:bCs/>
          <w:noProof/>
          <w:sz w:val="21"/>
          <w:szCs w:val="21"/>
          <w:lang w:eastAsia="en-GB"/>
        </w:rPr>
        <w:t xml:space="preserve">Figure 2. </w:t>
      </w:r>
      <w:r>
        <w:rPr>
          <w:rFonts w:ascii="Times New Roman" w:eastAsia="Calibri" w:hAnsi="Times New Roman" w:cs="Times New Roman"/>
          <w:noProof/>
          <w:sz w:val="21"/>
          <w:szCs w:val="21"/>
          <w:lang w:eastAsia="en-GB"/>
        </w:rPr>
        <w:t>Number of known stocks from 2007-2013 by fishery in the Mediterranean and Black Sea.</w:t>
      </w:r>
    </w:p>
    <w:p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fr-BE" w:eastAsia="fr-BE"/>
        </w:rPr>
        <w:drawing>
          <wp:inline distT="0" distB="0" distL="0" distR="0">
            <wp:extent cx="5114925" cy="2286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 New Roman" w:eastAsia="Calibri" w:hAnsi="Times New Roman" w:cs="Times New Roman"/>
          <w:noProof/>
          <w:sz w:val="21"/>
          <w:szCs w:val="21"/>
          <w:lang w:eastAsia="en-GB"/>
        </w:rPr>
      </w:pPr>
      <w:r>
        <w:rPr>
          <w:rFonts w:ascii="Times New Roman" w:eastAsia="Calibri" w:hAnsi="Times New Roman" w:cs="Times New Roman"/>
          <w:b/>
          <w:bCs/>
          <w:noProof/>
          <w:sz w:val="21"/>
          <w:szCs w:val="21"/>
          <w:lang w:eastAsia="en-GB"/>
        </w:rPr>
        <w:t xml:space="preserve">Figure 3. </w:t>
      </w:r>
      <w:r>
        <w:rPr>
          <w:rFonts w:ascii="Times New Roman" w:eastAsia="Calibri" w:hAnsi="Times New Roman" w:cs="Times New Roman"/>
          <w:noProof/>
          <w:sz w:val="21"/>
          <w:szCs w:val="21"/>
          <w:lang w:eastAsia="en-GB"/>
        </w:rPr>
        <w:t>Number of overfished stocks from 2007-2013 by fishery in the Mediterranean and Black Sea</w:t>
      </w:r>
    </w:p>
    <w:p>
      <w:pPr>
        <w:spacing w:before="120" w:after="240"/>
        <w:rPr>
          <w:noProof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br w:type="page"/>
      </w:r>
    </w:p>
    <w:p>
      <w:pPr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</w:rPr>
        <w:t xml:space="preserve">Annex III.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Economic performance in haddock fisheries in the Atlantic</w:t>
      </w:r>
    </w:p>
    <w:p>
      <w:pPr>
        <w:keepNext/>
        <w:numPr>
          <w:ilvl w:val="1"/>
          <w:numId w:val="0"/>
        </w:numPr>
        <w:tabs>
          <w:tab w:val="num" w:pos="850"/>
        </w:tabs>
        <w:spacing w:before="120" w:after="120"/>
        <w:ind w:left="850" w:hanging="850"/>
        <w:jc w:val="both"/>
        <w:outlineLvl w:val="1"/>
        <w:rPr>
          <w:rFonts w:ascii="Times New Roman" w:eastAsia="Times New Roman" w:hAnsi="Times New Roman" w:cs="Times New Roman"/>
          <w:bCs/>
          <w:iCs/>
          <w:noProof/>
          <w:sz w:val="24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8"/>
          <w:lang w:val="nl-NL"/>
        </w:rPr>
        <w:t>Graph 1 Net profits demersal trawlers UK (vessel length 24-40)</w:t>
      </w:r>
    </w:p>
    <w:p>
      <w:pPr>
        <w:keepNext/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  <w:noProof/>
          <w:sz w:val="24"/>
          <w:szCs w:val="28"/>
          <w:lang w:val="nl-NL"/>
        </w:rPr>
      </w:pPr>
      <w:r>
        <w:rPr>
          <w:noProof/>
          <w:lang w:val="fr-BE" w:eastAsia="fr-BE"/>
        </w:rPr>
        <w:drawing>
          <wp:inline distT="0" distB="0" distL="0" distR="0">
            <wp:extent cx="4333875" cy="2714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  <w:noProof/>
          <w:sz w:val="24"/>
          <w:szCs w:val="28"/>
          <w:lang w:val="nl-NL"/>
        </w:rPr>
      </w:pPr>
    </w:p>
    <w:p>
      <w:pPr>
        <w:keepNext/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  <w:noProof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8"/>
        </w:rPr>
        <w:t xml:space="preserve">Graph 2 Average wage and GVA per vessel 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8"/>
          <w:lang w:val="nl-NL"/>
        </w:rPr>
        <w:t>demersal trawlers UK (vessel length 24-40)</w:t>
      </w:r>
    </w:p>
    <w:p>
      <w:pPr>
        <w:keepNext/>
        <w:tabs>
          <w:tab w:val="num" w:pos="850"/>
        </w:tabs>
        <w:spacing w:before="360" w:after="120"/>
        <w:jc w:val="both"/>
        <w:outlineLvl w:val="0"/>
        <w:rPr>
          <w:noProof/>
        </w:rPr>
      </w:pPr>
      <w:r>
        <w:rPr>
          <w:noProof/>
          <w:lang w:val="fr-BE" w:eastAsia="fr-BE"/>
        </w:rPr>
        <w:drawing>
          <wp:inline distT="0" distB="0" distL="0" distR="0">
            <wp:extent cx="4352925" cy="2943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noProof/>
        </w:rPr>
      </w:pPr>
    </w:p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5314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rPr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 xml:space="preserve"> This evaluation includes small stocks of  Nephrops</w:t>
      </w:r>
    </w:p>
  </w:footnote>
  <w:footnote w:id="2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rFonts w:ascii="Times New Roman" w:hAnsi="Times New Roman"/>
          <w:noProof/>
          <w:color w:val="000000"/>
          <w:lang w:val="en-GB"/>
        </w:rPr>
        <w:t xml:space="preserve"> This evaluation applies the STECF methodology and is based on the latest data and assessments on stocks including small stocks of Nephrops and short-lived species managed within a biomass escapement MSY target. </w:t>
      </w:r>
    </w:p>
  </w:footnote>
  <w:footnote w:id="3">
    <w:p>
      <w:pPr>
        <w:spacing w:before="120" w:after="120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noProof/>
          <w:sz w:val="20"/>
          <w:szCs w:val="20"/>
        </w:rPr>
        <w:t xml:space="preserve">From data compiled by European Commission, using the same method as in </w:t>
      </w:r>
      <w:r>
        <w:rPr>
          <w:rFonts w:ascii="Times New Roman" w:eastAsia="Times New Roman" w:hAnsi="Times New Roman"/>
          <w:noProof/>
          <w:sz w:val="20"/>
          <w:szCs w:val="20"/>
        </w:rPr>
        <w:t>previous editions of this Communication.</w:t>
      </w:r>
    </w:p>
  </w:footnote>
  <w:footnote w:id="4">
    <w:p>
      <w:pPr>
        <w:rPr>
          <w:rFonts w:ascii="Times New Roman" w:hAnsi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A</w:t>
      </w:r>
      <w:r>
        <w:rPr>
          <w:rFonts w:ascii="Times New Roman" w:hAnsi="Times New Roman"/>
          <w:sz w:val="18"/>
          <w:szCs w:val="18"/>
        </w:rPr>
        <w:t>dvice to stop fishing, for a zero catch, for the lowest possible level of catch or similar wording</w:t>
      </w:r>
    </w:p>
    <w:p>
      <w:pPr>
        <w:pStyle w:val="FootnoteText"/>
        <w:rPr>
          <w:lang w:val="en-GB"/>
        </w:rPr>
      </w:pPr>
    </w:p>
  </w:footnote>
  <w:footnote w:id="5">
    <w:p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rPr>
          <w:lang w:val="en-GB"/>
        </w:rPr>
        <w:t xml:space="preserve"> </w:t>
      </w:r>
      <w:r>
        <w:rPr>
          <w:rFonts w:ascii="Times New Roman" w:hAnsi="Times New Roman"/>
          <w:lang w:val="en-GB"/>
        </w:rPr>
        <w:t>Only very slightly overfished</w:t>
      </w:r>
    </w:p>
  </w:footnote>
  <w:footnote w:id="6">
    <w:p>
      <w:pPr>
        <w:pStyle w:val="FootnoteText"/>
        <w:jc w:val="both"/>
        <w:rPr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 xml:space="preserve"> The respective catches, in live weight, of the known stocks correspond to a limited part of the total catches in the Mediterranean and Black Seas (</w:t>
      </w:r>
      <w:r>
        <w:rPr>
          <w:rFonts w:ascii="Times New Roman" w:hAnsi="Times New Roman"/>
          <w:i/>
          <w:lang w:val="en-GB"/>
        </w:rPr>
        <w:t>i.e</w:t>
      </w:r>
      <w:r>
        <w:rPr>
          <w:rFonts w:ascii="Times New Roman" w:hAnsi="Times New Roman"/>
          <w:lang w:val="en-GB"/>
        </w:rPr>
        <w:t xml:space="preserve">. approx. </w:t>
      </w:r>
      <w:r>
        <w:rPr>
          <w:rFonts w:ascii="Times New Roman" w:eastAsia="Times New Roman" w:hAnsi="Times New Roman"/>
          <w:noProof/>
          <w:lang w:val="en-GB"/>
        </w:rPr>
        <w:t>495</w:t>
      </w:r>
      <w:r>
        <w:rPr>
          <w:rFonts w:ascii="Times New Roman" w:hAnsi="Times New Roman"/>
          <w:lang w:val="en-GB"/>
        </w:rPr>
        <w:t xml:space="preserve"> Kt out of 1</w:t>
      </w:r>
      <w:r>
        <w:rPr>
          <w:rFonts w:ascii="Times New Roman" w:eastAsia="Times New Roman" w:hAnsi="Times New Roman"/>
          <w:noProof/>
          <w:lang w:val="en-GB"/>
        </w:rPr>
        <w:t>.4</w:t>
      </w:r>
      <w:r>
        <w:rPr>
          <w:rFonts w:ascii="Times New Roman" w:hAnsi="Times New Roman"/>
          <w:lang w:val="en-GB"/>
        </w:rPr>
        <w:t xml:space="preserve">.Mt total estimated, </w:t>
      </w:r>
      <w:r>
        <w:rPr>
          <w:rFonts w:ascii="Times New Roman" w:hAnsi="Times New Roman"/>
          <w:b/>
          <w:lang w:val="en-GB"/>
        </w:rPr>
        <w:t>Source</w:t>
      </w:r>
      <w:r>
        <w:rPr>
          <w:rFonts w:ascii="Times New Roman" w:hAnsi="Times New Roman"/>
          <w:lang w:val="en-GB"/>
        </w:rPr>
        <w:t>: STECF, GFCM-SAC, and FAO Capture Production). The total number of known stocks may therefore be still very limited compared to the total compared to the total number of stocks.</w:t>
      </w:r>
    </w:p>
  </w:footnote>
  <w:footnote w:id="7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GB"/>
        </w:rPr>
        <w:t xml:space="preserve"> </w:t>
      </w:r>
      <w:r>
        <w:rPr>
          <w:rFonts w:ascii="Times New Roman" w:hAnsi="Times New Roman"/>
          <w:lang w:val="en-GB"/>
        </w:rPr>
        <w:t>"TOTAL number of known stocks" means the overall number of advices provided per sub-region and per year. The total number of advices can include the same stock in several years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FigNum" w:val="1"/>
    <w:docVar w:name="LW_ACCOMPAGNANT.CP" w:val="to the "/>
    <w:docVar w:name="LW_ANNEX_NBR_FIRST" w:val="1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3133156196B2426E837A6317C090A502"/>
    <w:docVar w:name="LW_CROSSREFERENCE" w:val="&lt;UNUSED&gt;"/>
    <w:docVar w:name="LW_DocType" w:val="NORMAL"/>
    <w:docVar w:name="LW_EMISSION" w:val="2.6.2015"/>
    <w:docVar w:name="LW_EMISSION_ISODATE" w:val="2015-06-02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Consultation on the fishing opportunities for 2016_x000b_under the Common Fisheries Policy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5) 239"/>
    <w:docVar w:name="LW_REF.INTERNE" w:val="&lt;UNUSED&gt;"/>
    <w:docVar w:name="LW_SUPERTITRE" w:val="&lt;UNUSED&gt;"/>
    <w:docVar w:name="LW_TITRE.OBJ.CP" w:val="&lt;UNUSED&gt;"/>
    <w:docVar w:name="LW_TYPE.DOC.CP" w:val="ANNEXES_x000b_"/>
    <w:docVar w:name="LW_TYPEACTEPRINCIPAL.CP" w:val="COMMUNICATION FROM THE COMMISSION TO THE EUROPEAN PARLIAMENT AND THE COUNC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200" w:line="276" w:lineRule="auto"/>
    </w:pPr>
    <w:rPr>
      <w:rFonts w:ascii="Calibri" w:eastAsia="Calibri" w:hAnsi="Calibri" w:cs="Times New Roman"/>
      <w:sz w:val="20"/>
      <w:szCs w:val="20"/>
      <w:lang w:val="fr-B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  <w:lang w:val="fr-BE"/>
    </w:rPr>
  </w:style>
  <w:style w:type="paragraph" w:styleId="NormalWeb">
    <w:name w:val="Normal (Web)"/>
    <w:basedOn w:val="Normal"/>
    <w:uiPriority w:val="99"/>
    <w:unhideWhenUsed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fr-BE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eastAsia="Calibri" w:hAnsi="Times New Roman" w:cs="Times New Roman"/>
      <w:noProof/>
      <w:color w:val="000000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color w:val="00000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eastAsia="Calibri" w:hAnsi="Times New Roman" w:cs="Times New Roman"/>
      <w:noProof/>
      <w:color w:val="000000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color w:val="000000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200" w:line="276" w:lineRule="auto"/>
    </w:pPr>
    <w:rPr>
      <w:rFonts w:ascii="Calibri" w:eastAsia="Calibri" w:hAnsi="Calibri" w:cs="Times New Roman"/>
      <w:sz w:val="20"/>
      <w:szCs w:val="20"/>
      <w:lang w:val="fr-B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  <w:lang w:val="fr-BE"/>
    </w:rPr>
  </w:style>
  <w:style w:type="paragraph" w:styleId="NormalWeb">
    <w:name w:val="Normal (Web)"/>
    <w:basedOn w:val="Normal"/>
    <w:uiPriority w:val="99"/>
    <w:unhideWhenUsed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fr-BE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ascii="Times New Roman" w:eastAsia="Calibri" w:hAnsi="Times New Roman" w:cs="Times New Roman"/>
      <w:noProof/>
      <w:color w:val="000000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color w:val="000000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ascii="Times New Roman" w:eastAsia="Calibri" w:hAnsi="Times New Roman" w:cs="Times New Roman"/>
      <w:noProof/>
      <w:color w:val="000000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color w:val="000000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image" Target="media/image5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v>stock size and F can be forecast</c:v>
          </c:tx>
          <c:marker>
            <c:symbol val="none"/>
          </c:marker>
          <c:cat>
            <c:numRef>
              <c:f>Sheet1!$A$4:$A$16</c:f>
              <c:numCache>
                <c:formatCode>General</c:formatCode>
                <c:ptCount val="13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</c:numCache>
            </c:numRef>
          </c:cat>
          <c:val>
            <c:numRef>
              <c:f>Sheet1!$B$4:$B$16</c:f>
              <c:numCache>
                <c:formatCode>General</c:formatCode>
                <c:ptCount val="13"/>
                <c:pt idx="0">
                  <c:v>40</c:v>
                </c:pt>
                <c:pt idx="1">
                  <c:v>34</c:v>
                </c:pt>
                <c:pt idx="2">
                  <c:v>40</c:v>
                </c:pt>
                <c:pt idx="3">
                  <c:v>31</c:v>
                </c:pt>
                <c:pt idx="4">
                  <c:v>29</c:v>
                </c:pt>
                <c:pt idx="5">
                  <c:v>30</c:v>
                </c:pt>
                <c:pt idx="6">
                  <c:v>34</c:v>
                </c:pt>
                <c:pt idx="7">
                  <c:v>36</c:v>
                </c:pt>
                <c:pt idx="8">
                  <c:v>36</c:v>
                </c:pt>
                <c:pt idx="9">
                  <c:v>40</c:v>
                </c:pt>
                <c:pt idx="10">
                  <c:v>46</c:v>
                </c:pt>
                <c:pt idx="11">
                  <c:v>49</c:v>
                </c:pt>
                <c:pt idx="12">
                  <c:v>51</c:v>
                </c:pt>
              </c:numCache>
            </c:numRef>
          </c:val>
          <c:smooth val="0"/>
        </c:ser>
        <c:ser>
          <c:idx val="1"/>
          <c:order val="1"/>
          <c:tx>
            <c:v>quantified advice on FO available</c:v>
          </c:tx>
          <c:marker>
            <c:symbol val="none"/>
          </c:marker>
          <c:cat>
            <c:numRef>
              <c:f>Sheet1!$A$4:$A$16</c:f>
              <c:numCache>
                <c:formatCode>General</c:formatCode>
                <c:ptCount val="13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</c:numCache>
            </c:numRef>
          </c:cat>
          <c:val>
            <c:numRef>
              <c:f>Sheet1!$C$4:$C$16</c:f>
              <c:numCache>
                <c:formatCode>General</c:formatCode>
                <c:ptCount val="13"/>
                <c:pt idx="0">
                  <c:v>59</c:v>
                </c:pt>
                <c:pt idx="1">
                  <c:v>52</c:v>
                </c:pt>
                <c:pt idx="2">
                  <c:v>54</c:v>
                </c:pt>
                <c:pt idx="3">
                  <c:v>65</c:v>
                </c:pt>
                <c:pt idx="4">
                  <c:v>61</c:v>
                </c:pt>
                <c:pt idx="5">
                  <c:v>62</c:v>
                </c:pt>
                <c:pt idx="6">
                  <c:v>63</c:v>
                </c:pt>
                <c:pt idx="7">
                  <c:v>55</c:v>
                </c:pt>
                <c:pt idx="8">
                  <c:v>55</c:v>
                </c:pt>
                <c:pt idx="9">
                  <c:v>47</c:v>
                </c:pt>
                <c:pt idx="10">
                  <c:v>77</c:v>
                </c:pt>
                <c:pt idx="11">
                  <c:v>71</c:v>
                </c:pt>
                <c:pt idx="12">
                  <c:v>72</c:v>
                </c:pt>
              </c:numCache>
            </c:numRef>
          </c:val>
          <c:smooth val="0"/>
        </c:ser>
        <c:ser>
          <c:idx val="2"/>
          <c:order val="2"/>
          <c:tx>
            <c:v>no advice available</c:v>
          </c:tx>
          <c:marker>
            <c:symbol val="none"/>
          </c:marker>
          <c:cat>
            <c:numRef>
              <c:f>Sheet1!$A$4:$A$16</c:f>
              <c:numCache>
                <c:formatCode>General</c:formatCode>
                <c:ptCount val="13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</c:numCache>
            </c:numRef>
          </c:cat>
          <c:val>
            <c:numRef>
              <c:f>Sheet1!$D$4:$D$16</c:f>
              <c:numCache>
                <c:formatCode>General</c:formatCode>
                <c:ptCount val="13"/>
                <c:pt idx="0">
                  <c:v>31</c:v>
                </c:pt>
                <c:pt idx="1">
                  <c:v>40</c:v>
                </c:pt>
                <c:pt idx="2">
                  <c:v>39</c:v>
                </c:pt>
                <c:pt idx="3">
                  <c:v>29</c:v>
                </c:pt>
                <c:pt idx="4">
                  <c:v>35</c:v>
                </c:pt>
                <c:pt idx="5">
                  <c:v>34</c:v>
                </c:pt>
                <c:pt idx="6">
                  <c:v>33</c:v>
                </c:pt>
                <c:pt idx="7">
                  <c:v>42</c:v>
                </c:pt>
                <c:pt idx="8">
                  <c:v>40</c:v>
                </c:pt>
                <c:pt idx="9">
                  <c:v>44</c:v>
                </c:pt>
                <c:pt idx="10">
                  <c:v>9</c:v>
                </c:pt>
                <c:pt idx="11">
                  <c:v>14</c:v>
                </c:pt>
                <c:pt idx="12">
                  <c:v>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662720"/>
        <c:axId val="61664256"/>
      </c:lineChart>
      <c:catAx>
        <c:axId val="61662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1664256"/>
        <c:crosses val="autoZero"/>
        <c:auto val="1"/>
        <c:lblAlgn val="ctr"/>
        <c:lblOffset val="100"/>
        <c:noMultiLvlLbl val="0"/>
      </c:catAx>
      <c:valAx>
        <c:axId val="61664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6627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9386608588820007E-2"/>
          <c:y val="0.81173228346456683"/>
          <c:w val="0.88122655944602668"/>
          <c:h val="0.1882677165354330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B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v>advice to stop fishing</c:v>
          </c:tx>
          <c:marker>
            <c:symbol val="none"/>
          </c:marker>
          <c:cat>
            <c:numRef>
              <c:f>Sheet1!$A$6:$A$16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Sheet1!$B$6:$B$16</c:f>
              <c:numCache>
                <c:formatCode>General</c:formatCode>
                <c:ptCount val="11"/>
                <c:pt idx="0">
                  <c:v>12</c:v>
                </c:pt>
                <c:pt idx="1">
                  <c:v>14</c:v>
                </c:pt>
                <c:pt idx="2">
                  <c:v>20</c:v>
                </c:pt>
                <c:pt idx="3">
                  <c:v>18</c:v>
                </c:pt>
                <c:pt idx="4">
                  <c:v>17</c:v>
                </c:pt>
                <c:pt idx="5">
                  <c:v>14</c:v>
                </c:pt>
                <c:pt idx="6">
                  <c:v>11</c:v>
                </c:pt>
                <c:pt idx="7">
                  <c:v>8</c:v>
                </c:pt>
                <c:pt idx="8">
                  <c:v>11</c:v>
                </c:pt>
                <c:pt idx="9">
                  <c:v>12</c:v>
                </c:pt>
                <c:pt idx="10">
                  <c:v>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074880"/>
        <c:axId val="64076416"/>
      </c:lineChart>
      <c:catAx>
        <c:axId val="6407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4076416"/>
        <c:crosses val="autoZero"/>
        <c:auto val="1"/>
        <c:lblAlgn val="ctr"/>
        <c:lblOffset val="100"/>
        <c:noMultiLvlLbl val="0"/>
      </c:catAx>
      <c:valAx>
        <c:axId val="6407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0748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75D2-802A-463E-B3DD-784C20E4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1044</Words>
  <Characters>5255</Characters>
  <Application>Microsoft Office Word</Application>
  <DocSecurity>0</DocSecurity>
  <Lines>276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ZETTERBERG Jonas (MARE)</dc:creator>
  <cp:lastModifiedBy>DIGIT/A3</cp:lastModifiedBy>
  <cp:revision>7</cp:revision>
  <cp:lastPrinted>2015-05-19T13:22:00Z</cp:lastPrinted>
  <dcterms:created xsi:type="dcterms:W3CDTF">2015-05-28T12:27:00Z</dcterms:created>
  <dcterms:modified xsi:type="dcterms:W3CDTF">2015-05-29T07:41:00Z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3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