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F1" w:rsidRDefault="00A47FE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39D628D93C2417485E96242B9394421" style="width:450pt;height:420.75pt">
            <v:imagedata r:id="rId8" o:title=""/>
          </v:shape>
        </w:pict>
      </w:r>
    </w:p>
    <w:bookmarkEnd w:id="0"/>
    <w:p w:rsidR="00072CF1" w:rsidRDefault="00072CF1">
      <w:pPr>
        <w:rPr>
          <w:noProof/>
        </w:rPr>
        <w:sectPr w:rsidR="00072C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72CF1" w:rsidRDefault="00A47FE5">
      <w:pPr>
        <w:spacing w:after="200" w:line="276" w:lineRule="auto"/>
        <w:jc w:val="center"/>
        <w:rPr>
          <w:rFonts w:ascii="Times New Roman" w:hAnsi="Times New Roman"/>
          <w:b/>
          <w:noProof/>
          <w:color w:val="000000"/>
          <w:lang w:val="fr-FR"/>
        </w:rPr>
      </w:pPr>
      <w:r>
        <w:rPr>
          <w:rFonts w:ascii="Times New Roman" w:hAnsi="Times New Roman"/>
          <w:b/>
          <w:noProof/>
          <w:color w:val="000000"/>
          <w:lang w:val="fr-FR"/>
        </w:rPr>
        <w:lastRenderedPageBreak/>
        <w:t>ANNEXE I — Évaluation de l’état des stocks dans l’Atlantique du Nord-Est et les eaux adjacentes</w:t>
      </w:r>
    </w:p>
    <w:p w:rsidR="00072CF1" w:rsidRDefault="00A47FE5">
      <w:pPr>
        <w:spacing w:after="200" w:line="276" w:lineRule="auto"/>
        <w:jc w:val="both"/>
        <w:rPr>
          <w:rFonts w:ascii="Times New Roman" w:hAnsi="Times New Roman"/>
          <w:noProof/>
          <w:sz w:val="24"/>
          <w:lang w:val="fr-FR"/>
        </w:rPr>
      </w:pPr>
      <w:r>
        <w:rPr>
          <w:rFonts w:ascii="Times New Roman" w:hAnsi="Times New Roman"/>
          <w:noProof/>
          <w:sz w:val="24"/>
          <w:lang w:val="fr-FR"/>
        </w:rPr>
        <w:t>L’échantillon des stocks évalué par le CSTEP dans le cadre de cette nouvelle méthode est plus vaste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  <w:lang w:val="fr-FR"/>
        </w:rPr>
        <w:t xml:space="preserve"> que l’échantillon utilisé pour la série temporelle 2007-2014 (dans les communications précédentes). Il inclut les stocks pour lesquels on dispose d'une est</w:t>
      </w:r>
      <w:r>
        <w:rPr>
          <w:rFonts w:ascii="Times New Roman" w:hAnsi="Times New Roman"/>
          <w:noProof/>
          <w:sz w:val="24"/>
          <w:lang w:val="fr-FR"/>
        </w:rPr>
        <w:t xml:space="preserve">imation du ratio F/Frmd présentant un intérêt pour l’UE en matière de surveillance de la mise en œuvre de la PCP. L'échantillon comprend en définitive 62 stocks. </w:t>
      </w:r>
    </w:p>
    <w:p w:rsidR="00072CF1" w:rsidRDefault="00A47FE5">
      <w:pPr>
        <w:spacing w:after="200" w:line="276" w:lineRule="auto"/>
        <w:jc w:val="both"/>
        <w:rPr>
          <w:rFonts w:ascii="Times New Roman" w:hAnsi="Times New Roman"/>
          <w:noProof/>
          <w:color w:val="000000"/>
          <w:sz w:val="24"/>
          <w:lang w:val="fr-FR"/>
        </w:rPr>
      </w:pPr>
      <w:r>
        <w:rPr>
          <w:rFonts w:ascii="Times New Roman" w:hAnsi="Times New Roman"/>
          <w:noProof/>
          <w:sz w:val="24"/>
          <w:lang w:val="fr-FR"/>
        </w:rPr>
        <w:t>Les indicateurs sont: a) le nombre de stocks exploités à un niveau correspondant ou inférieur</w:t>
      </w:r>
      <w:r>
        <w:rPr>
          <w:rFonts w:ascii="Times New Roman" w:hAnsi="Times New Roman"/>
          <w:noProof/>
          <w:sz w:val="24"/>
          <w:lang w:val="fr-FR"/>
        </w:rPr>
        <w:t xml:space="preserve"> au Frmd, b) le nombre de stocks se situant à l'intérieur/en dehors des limites biologiques de sécurité, c) le nombre de stocks dont l’état n’est pas connu (en ce qui concerne les limites biologiques de sécurité). Le CSTEP a également élaboré un indicateur</w:t>
      </w:r>
      <w:r>
        <w:rPr>
          <w:rFonts w:ascii="Times New Roman" w:hAnsi="Times New Roman"/>
          <w:noProof/>
          <w:sz w:val="24"/>
          <w:lang w:val="fr-FR"/>
        </w:rPr>
        <w:t xml:space="preserve"> relatif à la valeur arithmétique moyenne de F/Frmd, et un indicateur relatif aux modifications dans la couverture de l'avis.</w:t>
      </w:r>
    </w:p>
    <w:p w:rsidR="00072CF1" w:rsidRDefault="00A47FE5">
      <w:pPr>
        <w:spacing w:after="200" w:line="276" w:lineRule="auto"/>
        <w:jc w:val="both"/>
        <w:rPr>
          <w:rFonts w:ascii="Times New Roman" w:hAnsi="Times New Roman"/>
          <w:b/>
          <w:noProof/>
          <w:color w:val="000000"/>
          <w:lang w:val="fr-FR"/>
        </w:rPr>
      </w:pPr>
      <w:r>
        <w:rPr>
          <w:rFonts w:ascii="Times New Roman" w:hAnsi="Times New Roman"/>
          <w:b/>
          <w:noProof/>
          <w:color w:val="000000"/>
          <w:lang w:val="fr-FR"/>
        </w:rPr>
        <w:t>Tableau 1. Réalisation du RMD et état des stocks: 2015</w:t>
      </w:r>
      <w:r>
        <w:rPr>
          <w:rFonts w:ascii="Times New Roman" w:hAnsi="Times New Roman"/>
          <w:b/>
          <w:noProof/>
          <w:color w:val="000000"/>
          <w:vertAlign w:val="superscript"/>
        </w:rPr>
        <w:footnoteReference w:id="3"/>
      </w:r>
      <w:r>
        <w:rPr>
          <w:rFonts w:ascii="Times New Roman" w:hAnsi="Times New Roman"/>
          <w:b/>
          <w:noProof/>
          <w:color w:val="000000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</w:tblGrid>
      <w:tr w:rsidR="00072CF1">
        <w:tc>
          <w:tcPr>
            <w:tcW w:w="436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t>Évaluation utilisée pour élaborer les avis pour l’année:</w:t>
            </w: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2015</w:t>
            </w:r>
          </w:p>
        </w:tc>
      </w:tr>
      <w:tr w:rsidR="00072CF1" w:rsidRPr="00A47FE5">
        <w:tc>
          <w:tcPr>
            <w:tcW w:w="4361" w:type="dxa"/>
            <w:shd w:val="clear" w:color="auto" w:fill="auto"/>
          </w:tcPr>
          <w:p w:rsidR="00072CF1" w:rsidRDefault="00072CF1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t>Nombre de</w:t>
            </w:r>
            <w:r>
              <w:rPr>
                <w:rFonts w:ascii="Times New Roman" w:hAnsi="Times New Roman"/>
                <w:noProof/>
                <w:color w:val="000000"/>
                <w:lang w:val="fr-FR"/>
              </w:rPr>
              <w:t xml:space="preserve"> stocks de poissons</w:t>
            </w: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t>Stocks pour lesquels une estimation du RMD est disponible</w:t>
            </w: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62</w:t>
            </w: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t>Stocks exploités à un niveau correspondant ou inférieur au Frmd</w:t>
            </w: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</w:t>
            </w: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t>Stocks exploités à un niveau supérieur au Frmd</w:t>
            </w: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</w:t>
            </w: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072CF1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072CF1" w:rsidRDefault="00072CF1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t>Stocks à l'intérieur des limites biologiques de séc</w:t>
            </w:r>
            <w:r>
              <w:rPr>
                <w:rFonts w:ascii="Times New Roman" w:hAnsi="Times New Roman"/>
                <w:noProof/>
                <w:color w:val="000000"/>
                <w:lang w:val="fr-FR"/>
              </w:rPr>
              <w:t>urité</w:t>
            </w: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t>Stock en dehors des limites biologiques de sécurité.</w:t>
            </w: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16</w:t>
            </w: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072CF1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072CF1" w:rsidRDefault="00072CF1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72CF1">
        <w:tc>
          <w:tcPr>
            <w:tcW w:w="436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lang w:val="fr-FR"/>
              </w:rPr>
              <w:lastRenderedPageBreak/>
              <w:t>Stocks faisant l’objet d’un avis appelant à l’arrêt de la pêche</w:t>
            </w:r>
          </w:p>
        </w:tc>
        <w:tc>
          <w:tcPr>
            <w:tcW w:w="2551" w:type="dxa"/>
            <w:shd w:val="clear" w:color="auto" w:fill="auto"/>
          </w:tcPr>
          <w:p w:rsidR="00072CF1" w:rsidRDefault="00A47FE5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</w:t>
            </w:r>
          </w:p>
        </w:tc>
      </w:tr>
    </w:tbl>
    <w:p w:rsidR="00072CF1" w:rsidRDefault="00072CF1">
      <w:pPr>
        <w:spacing w:after="200" w:line="276" w:lineRule="auto"/>
        <w:rPr>
          <w:rFonts w:ascii="Times New Roman" w:hAnsi="Times New Roman"/>
          <w:b/>
          <w:noProof/>
        </w:rPr>
      </w:pPr>
    </w:p>
    <w:p w:rsidR="00072CF1" w:rsidRDefault="00072CF1">
      <w:pPr>
        <w:spacing w:after="200" w:line="276" w:lineRule="auto"/>
        <w:rPr>
          <w:rFonts w:ascii="Times New Roman" w:hAnsi="Times New Roman"/>
          <w:b/>
          <w:noProof/>
        </w:rPr>
      </w:pPr>
    </w:p>
    <w:p w:rsidR="00072CF1" w:rsidRDefault="00A47FE5">
      <w:pPr>
        <w:spacing w:line="276" w:lineRule="auto"/>
        <w:rPr>
          <w:b/>
          <w:noProof/>
          <w:lang w:val="fr-FR"/>
        </w:rPr>
      </w:pPr>
      <w:r>
        <w:rPr>
          <w:rFonts w:ascii="Times New Roman" w:hAnsi="Times New Roman"/>
          <w:b/>
          <w:noProof/>
          <w:lang w:val="fr-FR"/>
        </w:rPr>
        <w:t>Graphique nº 1: couverture des avis dans l’Atlantique du Nord-Est, y compris la mer du Nord et la mer Baltique</w:t>
      </w:r>
      <w:r>
        <w:rPr>
          <w:rFonts w:ascii="Times New Roman" w:hAnsi="Times New Roman"/>
          <w:b/>
          <w:noProof/>
          <w:vertAlign w:val="superscript"/>
        </w:rPr>
        <w:footnoteReference w:id="4"/>
      </w:r>
    </w:p>
    <w:p w:rsidR="00072CF1" w:rsidRDefault="00A47FE5">
      <w:pPr>
        <w:spacing w:after="200" w:line="276" w:lineRule="auto"/>
        <w:rPr>
          <w:noProof/>
          <w:lang w:val="fr-BE"/>
        </w:rPr>
      </w:pPr>
      <w:r>
        <w:rPr>
          <w:noProof/>
          <w:lang w:val="fr-FR" w:eastAsia="fr-FR"/>
        </w:rPr>
        <w:object w:dxaOrig="7066" w:dyaOrig="4868">
          <v:shape id="Chart 21" o:spid="_x0000_i1026" type="#_x0000_t75" style="width:353.25pt;height:243pt;visibility:visible" o:ole="">
            <v:imagedata r:id="rId15" o:title=""/>
            <o:lock v:ext="edit" aspectratio="f"/>
          </v:shape>
          <o:OLEObject Type="Embed" ProgID="Excel.Sheet.8" ShapeID="Chart 21" DrawAspect="Content" ObjectID="_1494406522" r:id="rId16">
            <o:FieldCodes>\s</o:FieldCodes>
          </o:OLEObject>
        </w:object>
      </w:r>
    </w:p>
    <w:p w:rsidR="00072CF1" w:rsidRDefault="00072CF1">
      <w:pPr>
        <w:spacing w:after="200" w:line="276" w:lineRule="auto"/>
        <w:rPr>
          <w:rFonts w:ascii="Times New Roman" w:hAnsi="Times New Roman"/>
          <w:b/>
          <w:noProof/>
          <w:lang w:val="fr-FR"/>
        </w:rPr>
      </w:pPr>
    </w:p>
    <w:p w:rsidR="00072CF1" w:rsidRDefault="00A47FE5">
      <w:pPr>
        <w:spacing w:after="200" w:line="276" w:lineRule="auto"/>
        <w:rPr>
          <w:rFonts w:ascii="Times New Roman" w:hAnsi="Times New Roman"/>
          <w:b/>
          <w:noProof/>
          <w:lang w:val="fr-FR"/>
        </w:rPr>
      </w:pPr>
      <w:r>
        <w:rPr>
          <w:rFonts w:ascii="Times New Roman" w:hAnsi="Times New Roman"/>
          <w:b/>
          <w:noProof/>
          <w:lang w:val="fr-FR"/>
        </w:rPr>
        <w:br w:type="page"/>
      </w:r>
      <w:bookmarkStart w:id="1" w:name="_GoBack"/>
      <w:bookmarkEnd w:id="1"/>
      <w:r>
        <w:rPr>
          <w:rFonts w:ascii="Times New Roman" w:hAnsi="Times New Roman"/>
          <w:b/>
          <w:noProof/>
          <w:lang w:val="fr-FR"/>
        </w:rPr>
        <w:t>Graphique nº 2: nombre de stocks faisant l’objet d’un avis appelant à l’arrêt de la pêche</w:t>
      </w:r>
      <w:r>
        <w:rPr>
          <w:rFonts w:ascii="Times New Roman" w:hAnsi="Times New Roman"/>
          <w:b/>
          <w:noProof/>
          <w:vertAlign w:val="superscript"/>
        </w:rPr>
        <w:footnoteReference w:id="5"/>
      </w:r>
    </w:p>
    <w:p w:rsidR="00072CF1" w:rsidRDefault="00A47FE5">
      <w:pPr>
        <w:spacing w:line="276" w:lineRule="auto"/>
        <w:rPr>
          <w:rFonts w:ascii="Times New Roman" w:hAnsi="Times New Roman"/>
          <w:b/>
          <w:noProof/>
          <w:sz w:val="24"/>
          <w:lang w:val="fr-FR"/>
        </w:rPr>
      </w:pPr>
      <w:r>
        <w:rPr>
          <w:noProof/>
          <w:lang w:val="fr-FR" w:eastAsia="fr-FR"/>
        </w:rPr>
        <w:object w:dxaOrig="7066" w:dyaOrig="4925">
          <v:shape id="Chart 20" o:spid="_x0000_i1027" type="#_x0000_t75" style="width:353.25pt;height:246.75pt;visibility:visible" o:ole="">
            <v:imagedata r:id="rId17" o:title=""/>
            <o:lock v:ext="edit" aspectratio="f"/>
          </v:shape>
          <o:OLEObject Type="Embed" ProgID="Excel.Sheet.8" ShapeID="Chart 20" DrawAspect="Content" ObjectID="_1494406523" r:id="rId18">
            <o:FieldCodes>\s</o:FieldCodes>
          </o:OLEObject>
        </w:object>
      </w:r>
      <w:r>
        <w:rPr>
          <w:noProof/>
          <w:lang w:val="fr-BE"/>
        </w:rPr>
        <w:br w:type="page"/>
      </w:r>
      <w:r>
        <w:rPr>
          <w:rFonts w:ascii="Times New Roman" w:hAnsi="Times New Roman"/>
          <w:b/>
          <w:noProof/>
          <w:sz w:val="24"/>
          <w:lang w:val="fr-FR"/>
        </w:rPr>
        <w:t>Tableau 3. État des stocks exploités au niveau correspondant au RMD (selon l'évaluation effectuée en 2013 p</w:t>
      </w:r>
      <w:r>
        <w:rPr>
          <w:rFonts w:ascii="Times New Roman" w:hAnsi="Times New Roman"/>
          <w:b/>
          <w:noProof/>
          <w:sz w:val="24"/>
          <w:lang w:val="fr-FR"/>
        </w:rPr>
        <w:t>our l’avis de 2015)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072CF1" w:rsidRPr="00A47FE5">
        <w:tc>
          <w:tcPr>
            <w:tcW w:w="5211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fr-FR"/>
              </w:rPr>
              <w:t>Exploité à un niveau correspondant ou inférieur au RMD</w:t>
            </w:r>
          </w:p>
        </w:tc>
        <w:tc>
          <w:tcPr>
            <w:tcW w:w="3969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fr-FR"/>
              </w:rPr>
              <w:t>Exploité à un niveau supérieur au RMD</w:t>
            </w:r>
          </w:p>
        </w:tc>
      </w:tr>
      <w:tr w:rsidR="00072CF1" w:rsidRPr="00A47FE5">
        <w:tc>
          <w:tcPr>
            <w:tcW w:w="5211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fr-FR"/>
              </w:rPr>
              <w:t xml:space="preserve">Mer Baltique: 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Hareng dans les sous-divisions 25 à 29 (à l’exclusion du golfe de Riga) et 32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Hareng dans la sous-division 30 (mer de Botnie)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Hareng dans la sous-division 28.1 (golfe de Riga)</w:t>
            </w:r>
          </w:p>
        </w:tc>
        <w:tc>
          <w:tcPr>
            <w:tcW w:w="3969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Cabillaud dans les sous-divisions 22 à 24 (mer Baltique occidentale)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Hareng dans la division III a et les sous-divisions 22 à 24 (frai de printemps de la Baltique occidentale)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Sprat dans les sous-divisions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 22 à 32 (mer Baltique) </w:t>
            </w:r>
          </w:p>
        </w:tc>
      </w:tr>
      <w:tr w:rsidR="00072CF1" w:rsidRPr="00A47FE5">
        <w:tc>
          <w:tcPr>
            <w:tcW w:w="5211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fr-FR"/>
              </w:rPr>
              <w:t>Mer du Nord (y compris le Skagerrak et la Manche orientale):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Églefin dans la sous-zone IV et dans les divisions III a ouest et VI a (mer du Nord, Skagerrak et Ouest Écosse)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Hareng dans la sous-zone IV et dans les divisions III a 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et VII d (frai d'automne de la mer du Nord)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 Fladen Ground (FU 7), dans le Firth of Forth (FU 8) et dans le Moray Firth (FU 9)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Tacaud norvégien dans la sous-zone IV (mer du Nord) et dans la division III a (Skagerrak et Kattegat) — Éval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uation d’automne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Crevette nordique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Pandalus borealis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les divisions III a ouest et IV a est (Skagerrak et fosse norvégienne)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Plie dans la sous-zone IV (mer du Nord)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Sole dans la division VII e (Manche Ouest)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Sprat dans la sous-zone IV (mer du Nor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d) </w:t>
            </w:r>
          </w:p>
        </w:tc>
        <w:tc>
          <w:tcPr>
            <w:tcW w:w="3969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Cabillaud dans la sous-zone IV (mer du Nord) Division VII d (Manche Est) et III a ouest (Skagerrak)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les Farn Deeps (FU 6)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Lieu noir</w:t>
            </w:r>
            <w:r>
              <w:rPr>
                <w:rStyle w:val="FootnoteReference"/>
                <w:noProof/>
                <w:lang w:val="fr-FR"/>
              </w:rPr>
              <w:footnoteReference w:id="6"/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 dans la sous-zone IV (mer du Nord), dans la division III a ouest (Skagerrak) et dans la sous-zone VI (Ouest Écosse et Rockall)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Lançon dans la zone Dogger Bank (SA 1)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Lançon dans le sud-est de la mer du Nord (SA 2)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Lançon dans le centre-est de la mer du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 Nord (SA 3)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Sole dans la division VII d (Manche Est)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Solde dans la sous-zone IV (mer du Nord)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Sole dans la division III a et les sous-divisions 22 à  24 (Skagerrak, Kattegat et les Belts) </w:t>
            </w:r>
          </w:p>
          <w:p w:rsidR="00072CF1" w:rsidRDefault="0007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</w:p>
        </w:tc>
      </w:tr>
      <w:tr w:rsidR="00072CF1" w:rsidRPr="00A47FE5">
        <w:tc>
          <w:tcPr>
            <w:tcW w:w="5211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fr-FR"/>
              </w:rPr>
              <w:t>Eaux de l’Europe de l’Ouest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Baudroie rousse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Lophius budegass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a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les divisions VIII c et IX a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Baudroie commune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Lophius piscatorius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les divisions VIII c et IX a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Hareng dans la division VII a au sud de 52° 30 ′ N et VII g, h, j, k (mer Celtique et sud de l’Irlande)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Hareng dans la division VII a au nord de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 52° 30 ′ N (mer d’Irlande)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Chinchard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Trachurus trachurus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la division IX a (stock méridional)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Cardine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Lepidorhombus whiffiagonis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les divisions VIII c et IX a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 North Minch (FU 11)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 South Minch (FU 12)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 Firth of Clyde (FU 13)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 Sound of Jura (FU 13)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la mer d’Irlande orientale (FU 14)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 banc de Porcupine (FU 16)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Langoustine dans les Smalls (FU 22)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Merlan dans les divisions VII e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 à k </w:t>
            </w:r>
          </w:p>
        </w:tc>
        <w:tc>
          <w:tcPr>
            <w:tcW w:w="3969" w:type="dxa"/>
            <w:shd w:val="clear" w:color="auto" w:fill="auto"/>
          </w:tcPr>
          <w:p w:rsidR="00072CF1" w:rsidRDefault="00072CF1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Cabillaud dans les divisions VII e à k (cabillaud de la mer Celtique)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Cabillaud dans la division VII a (mer d'Irlande)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Cabillaud dans la division VI a (Ouest Écosse)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Églefin dans les divisions VII b, c et VII e à k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Églefin dans la division VI b 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(Rockall) </w:t>
            </w:r>
          </w:p>
          <w:p w:rsidR="00072CF1" w:rsidRDefault="00A47FE5">
            <w:pPr>
              <w:spacing w:before="120" w:after="240"/>
              <w:rPr>
                <w:rFonts w:ascii="Times New Roman" w:hAnsi="Times New Roman"/>
                <w:noProof/>
                <w:sz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Hareng dans la division VI a (nord)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Merlu dans les divisions VIII c et IX a (stock méridional)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>Cardine (</w:t>
            </w:r>
            <w:r w:rsidRPr="00A47FE5">
              <w:rPr>
                <w:rFonts w:ascii="Times New Roman" w:hAnsi="Times New Roman"/>
                <w:i/>
                <w:noProof/>
                <w:sz w:val="20"/>
                <w:lang w:val="fr-BE"/>
              </w:rPr>
              <w:t>Lepidorhombus</w:t>
            </w: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 spp) dans les divisions IV a et VI a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>Cardine à quatre taches (</w:t>
            </w:r>
            <w:r w:rsidRPr="00A47FE5">
              <w:rPr>
                <w:rFonts w:ascii="Times New Roman" w:hAnsi="Times New Roman"/>
                <w:i/>
                <w:noProof/>
                <w:sz w:val="20"/>
                <w:lang w:val="fr-BE"/>
              </w:rPr>
              <w:t>Lepidorhombus boscii</w:t>
            </w: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) dans les divisions VIII c et IX a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>Langou</w:t>
            </w: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stine dans la mer d’Irlande occidentale (FU 15)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Langoustine dans les Aran Grounds (FU 17)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>Plie dans la division VII e (Manche Ouest)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Sole dans les divisions VIII a et b (golfe de Gascogne)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Sole dans les divisions VII f et g (mer Celtique)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Sole dans la </w:t>
            </w: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division VII a (mer d'Irlande) </w:t>
            </w:r>
          </w:p>
          <w:p w:rsidR="00072CF1" w:rsidRPr="00A47FE5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BE"/>
              </w:rPr>
            </w:pPr>
            <w:r w:rsidRPr="00A47FE5">
              <w:rPr>
                <w:rFonts w:ascii="Times New Roman" w:hAnsi="Times New Roman"/>
                <w:noProof/>
                <w:sz w:val="20"/>
                <w:lang w:val="fr-BE"/>
              </w:rPr>
              <w:t xml:space="preserve">Langoustine au large des côtes du sud-est et du sud-ouest de l’Irlande (FU 19) </w:t>
            </w:r>
          </w:p>
        </w:tc>
      </w:tr>
      <w:tr w:rsidR="00072CF1" w:rsidRPr="00A47FE5">
        <w:tc>
          <w:tcPr>
            <w:tcW w:w="5211" w:type="dxa"/>
            <w:shd w:val="clear" w:color="auto" w:fill="auto"/>
          </w:tcPr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fr-FR"/>
              </w:rPr>
              <w:t>Stocks largement répartis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Lingue bleue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Molva dypterigia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la division V b et dans les sous-zones VI et VII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Hareng dans les sous-zones I, II et V, et dans les divisions IV a et XIV a (hareng norvégien à frai printanier)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Maquereau dans l’Atlantique du Nord-Est (cumul des composantes reproductrices méridionale, occidentale et de la mer du Nord)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Grenadier de roch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>e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Coryphaenoides rupenstris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les sous-zones VI et VII et dans les divisions V b et XII b </w:t>
            </w:r>
          </w:p>
          <w:p w:rsidR="00072CF1" w:rsidRDefault="00A47FE5">
            <w:pPr>
              <w:spacing w:before="120" w:after="240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Merlan bleu dans les sous-zones I à IX, XII et XIV (cumul des stocks) </w:t>
            </w:r>
          </w:p>
        </w:tc>
        <w:tc>
          <w:tcPr>
            <w:tcW w:w="3969" w:type="dxa"/>
            <w:shd w:val="clear" w:color="auto" w:fill="auto"/>
          </w:tcPr>
          <w:p w:rsidR="00072CF1" w:rsidRDefault="00072CF1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Merlu dans la division III a, dans les sous-zones IV, VI et VII et dans les divisions VI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II a, b et d (stock septentrional) </w:t>
            </w:r>
          </w:p>
          <w:p w:rsidR="00072CF1" w:rsidRDefault="00A47FE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lang w:val="fr-FR"/>
              </w:rPr>
              <w:t>Chinchard (</w:t>
            </w:r>
            <w:r>
              <w:rPr>
                <w:rFonts w:ascii="Times New Roman" w:hAnsi="Times New Roman"/>
                <w:i/>
                <w:noProof/>
                <w:sz w:val="20"/>
                <w:lang w:val="fr-FR"/>
              </w:rPr>
              <w:t>Trachurus trachurus</w:t>
            </w:r>
            <w:r>
              <w:rPr>
                <w:rFonts w:ascii="Times New Roman" w:hAnsi="Times New Roman"/>
                <w:noProof/>
                <w:sz w:val="20"/>
                <w:lang w:val="fr-FR"/>
              </w:rPr>
              <w:t xml:space="preserve">) dans les divisions II a, IV a, V b, VI a, VII a à c et e à k, et VIII (stock occidental) </w:t>
            </w:r>
          </w:p>
          <w:p w:rsidR="00072CF1" w:rsidRDefault="00072CF1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lang w:val="fr-FR"/>
              </w:rPr>
            </w:pPr>
          </w:p>
          <w:p w:rsidR="00072CF1" w:rsidRDefault="0007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0"/>
                <w:lang w:val="fr-FR"/>
              </w:rPr>
            </w:pPr>
          </w:p>
        </w:tc>
      </w:tr>
    </w:tbl>
    <w:p w:rsidR="00072CF1" w:rsidRDefault="00072CF1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0"/>
          <w:lang w:val="fr-FR"/>
        </w:rPr>
      </w:pPr>
    </w:p>
    <w:p w:rsidR="00072CF1" w:rsidRDefault="00A47FE5">
      <w:pPr>
        <w:spacing w:line="276" w:lineRule="auto"/>
        <w:rPr>
          <w:rFonts w:ascii="Times New Roman" w:hAnsi="Times New Roman"/>
          <w:b/>
          <w:noProof/>
          <w:sz w:val="21"/>
          <w:lang w:val="fr-FR"/>
        </w:rPr>
      </w:pPr>
      <w:r>
        <w:rPr>
          <w:rFonts w:ascii="Times New Roman" w:hAnsi="Times New Roman"/>
          <w:b/>
          <w:noProof/>
          <w:sz w:val="21"/>
          <w:lang w:val="fr-FR"/>
        </w:rPr>
        <w:t>Annexe II Méditerranée</w:t>
      </w:r>
    </w:p>
    <w:p w:rsidR="00072CF1" w:rsidRDefault="00A47FE5">
      <w:pPr>
        <w:spacing w:after="240" w:line="276" w:lineRule="auto"/>
        <w:jc w:val="both"/>
        <w:rPr>
          <w:rFonts w:ascii="Times New Roman" w:hAnsi="Times New Roman"/>
          <w:noProof/>
          <w:sz w:val="21"/>
          <w:lang w:val="fr-FR"/>
        </w:rPr>
      </w:pPr>
      <w:r>
        <w:rPr>
          <w:rFonts w:ascii="Times New Roman" w:hAnsi="Times New Roman"/>
          <w:b/>
          <w:noProof/>
          <w:sz w:val="21"/>
          <w:lang w:val="fr-FR"/>
        </w:rPr>
        <w:t xml:space="preserve">Tableau 1. </w:t>
      </w:r>
      <w:r>
        <w:rPr>
          <w:rFonts w:ascii="Times New Roman" w:hAnsi="Times New Roman"/>
          <w:noProof/>
          <w:sz w:val="21"/>
          <w:lang w:val="fr-FR"/>
        </w:rPr>
        <w:t xml:space="preserve">Nombre de stocks connus et proportion de stocks considérés </w:t>
      </w:r>
      <w:r>
        <w:rPr>
          <w:rFonts w:ascii="Times New Roman" w:hAnsi="Times New Roman"/>
          <w:noProof/>
          <w:sz w:val="21"/>
          <w:lang w:val="fr-FR"/>
        </w:rPr>
        <w:t>comme étant en surpêche en Méditerranée et dans la mer Noire, par région, 2010-2013 (</w:t>
      </w:r>
      <w:r>
        <w:rPr>
          <w:rFonts w:ascii="Times New Roman" w:hAnsi="Times New Roman"/>
          <w:b/>
          <w:noProof/>
          <w:sz w:val="21"/>
          <w:lang w:val="fr-FR"/>
        </w:rPr>
        <w:t>source</w:t>
      </w:r>
      <w:r>
        <w:rPr>
          <w:rFonts w:ascii="Times New Roman" w:hAnsi="Times New Roman"/>
          <w:noProof/>
          <w:sz w:val="21"/>
          <w:lang w:val="fr-FR"/>
        </w:rPr>
        <w:t>: CSTEP et comité consultatif scientifique de la CGPM)</w:t>
      </w:r>
      <w:r>
        <w:rPr>
          <w:rFonts w:ascii="Times New Roman" w:hAnsi="Times New Roman"/>
          <w:noProof/>
          <w:sz w:val="21"/>
          <w:vertAlign w:val="superscript"/>
        </w:rPr>
        <w:footnoteReference w:id="7"/>
      </w:r>
      <w:r>
        <w:rPr>
          <w:rFonts w:ascii="Times New Roman" w:hAnsi="Times New Roman"/>
          <w:noProof/>
          <w:sz w:val="21"/>
          <w:lang w:val="fr-FR"/>
        </w:rPr>
        <w:t>,</w:t>
      </w:r>
      <w:r>
        <w:rPr>
          <w:rStyle w:val="FootnoteReference"/>
          <w:rFonts w:ascii="Times New Roman" w:hAnsi="Times New Roman"/>
          <w:noProof/>
          <w:sz w:val="21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"/>
        <w:gridCol w:w="4111"/>
        <w:gridCol w:w="1134"/>
        <w:gridCol w:w="1134"/>
        <w:gridCol w:w="1134"/>
        <w:gridCol w:w="1100"/>
      </w:tblGrid>
      <w:tr w:rsidR="00072CF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b/>
                <w:noProof/>
              </w:rPr>
            </w:pPr>
            <w:r>
              <w:rPr>
                <w:b/>
                <w:noProof/>
              </w:rPr>
              <w:t>Superficie</w:t>
            </w:r>
          </w:p>
          <w:p w:rsidR="00072CF1" w:rsidRDefault="00072CF1">
            <w:pPr>
              <w:rPr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2013</w:t>
            </w:r>
          </w:p>
        </w:tc>
      </w:tr>
      <w:tr w:rsidR="00072CF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rPr>
                <w:b/>
                <w:noProof/>
              </w:rPr>
            </w:pPr>
          </w:p>
          <w:p w:rsidR="00072CF1" w:rsidRDefault="00A47FE5">
            <w:pPr>
              <w:rPr>
                <w:b/>
                <w:noProof/>
              </w:rPr>
            </w:pPr>
            <w:r>
              <w:rPr>
                <w:b/>
                <w:noProof/>
              </w:rPr>
              <w:t>MER MEDITERRANEE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</w:tr>
      <w:tr w:rsidR="00072CF1"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>Nombre de stocks connus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83</w:t>
            </w:r>
          </w:p>
        </w:tc>
      </w:tr>
      <w:tr w:rsidR="00072CF1">
        <w:tc>
          <w:tcPr>
            <w:tcW w:w="4786" w:type="dxa"/>
            <w:gridSpan w:val="3"/>
            <w:tcBorders>
              <w:top w:val="nil"/>
            </w:tcBorders>
            <w:shd w:val="clear" w:color="auto" w:fill="auto"/>
          </w:tcPr>
          <w:p w:rsidR="00072CF1" w:rsidRDefault="00A47FE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Proportion de </w:t>
            </w:r>
            <w:r>
              <w:rPr>
                <w:noProof/>
                <w:lang w:val="fr-FR"/>
              </w:rPr>
              <w:t>stocks considérés comme étant en surpêche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87 %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95 %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</w:tr>
      <w:tr w:rsidR="00072CF1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>Méditerranée occidentale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</w:tr>
      <w:tr w:rsidR="00072CF1"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>Nombre de stocks connus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52</w:t>
            </w:r>
          </w:p>
        </w:tc>
      </w:tr>
      <w:tr w:rsidR="00072CF1"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Proportion de stocks considérés comme étant en surpêche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95 %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97 %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95 %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92 %</w:t>
            </w:r>
          </w:p>
        </w:tc>
      </w:tr>
      <w:tr w:rsidR="00072CF1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>Méditerranée centrale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</w:tr>
      <w:tr w:rsidR="00072CF1"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 xml:space="preserve">Nombre de stocks </w:t>
            </w:r>
            <w:r>
              <w:rPr>
                <w:noProof/>
              </w:rPr>
              <w:t>connus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 w:rsidR="00072CF1"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Proportion de stocks considérés comme étant en surpêche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80 %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92 %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</w:tr>
      <w:tr w:rsidR="00072CF1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>Méditerranée orientale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</w:tr>
      <w:tr w:rsidR="00072CF1"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>Nombre de stocks connus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72CF1"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CF1" w:rsidRDefault="00072CF1"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Proportion de stocks considérés comme étant en surpêche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82 %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75 %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83 %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75 %</w:t>
            </w:r>
          </w:p>
        </w:tc>
      </w:tr>
      <w:tr w:rsidR="00072CF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rPr>
                <w:b/>
                <w:noProof/>
              </w:rPr>
            </w:pPr>
          </w:p>
          <w:p w:rsidR="00072CF1" w:rsidRDefault="00A47FE5">
            <w:pPr>
              <w:rPr>
                <w:b/>
                <w:noProof/>
              </w:rPr>
            </w:pPr>
            <w:r>
              <w:rPr>
                <w:b/>
                <w:noProof/>
              </w:rPr>
              <w:t>MER NOIRE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noProof/>
              </w:rPr>
            </w:pPr>
          </w:p>
        </w:tc>
      </w:tr>
      <w:tr w:rsidR="00072CF1"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</w:rPr>
            </w:pPr>
            <w:r>
              <w:rPr>
                <w:noProof/>
              </w:rPr>
              <w:t>Nombre de stocks connus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72CF1"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Proportion de stocks considérés comme étant en surpêche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75 %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100 %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83 %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F1" w:rsidRDefault="00A47FE5">
            <w:pPr>
              <w:jc w:val="right"/>
              <w:rPr>
                <w:noProof/>
              </w:rPr>
            </w:pPr>
            <w:r>
              <w:rPr>
                <w:noProof/>
              </w:rPr>
              <w:t>86 %</w:t>
            </w:r>
          </w:p>
        </w:tc>
      </w:tr>
      <w:tr w:rsidR="00072CF1">
        <w:tc>
          <w:tcPr>
            <w:tcW w:w="47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2CF1" w:rsidRDefault="00072CF1">
            <w:pPr>
              <w:rPr>
                <w:b/>
                <w:noProof/>
                <w:lang w:val="fr-FR"/>
              </w:rPr>
            </w:pPr>
          </w:p>
          <w:p w:rsidR="00072CF1" w:rsidRDefault="00A47FE5">
            <w:pPr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Total du nombre de stocks connus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b/>
                <w:noProof/>
                <w:lang w:val="fr-FR"/>
              </w:rPr>
            </w:pPr>
          </w:p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b/>
                <w:noProof/>
              </w:rPr>
            </w:pPr>
          </w:p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b/>
                <w:noProof/>
              </w:rPr>
            </w:pPr>
          </w:p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072CF1" w:rsidRDefault="00072CF1">
            <w:pPr>
              <w:jc w:val="right"/>
              <w:rPr>
                <w:b/>
                <w:noProof/>
              </w:rPr>
            </w:pPr>
          </w:p>
          <w:p w:rsidR="00072CF1" w:rsidRDefault="00A47FE5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90</w:t>
            </w:r>
          </w:p>
        </w:tc>
      </w:tr>
    </w:tbl>
    <w:p w:rsidR="00072CF1" w:rsidRDefault="00A47FE5">
      <w:pPr>
        <w:spacing w:after="200" w:line="276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fr-FR"/>
        </w:rPr>
        <w:pict>
          <v:shape id="Picture 18" o:spid="_x0000_i1028" type="#_x0000_t75" style="width:426pt;height:174pt;visibility:visible">
            <v:imagedata r:id="rId19" o:title=""/>
          </v:shape>
        </w:pict>
      </w:r>
    </w:p>
    <w:p w:rsidR="00072CF1" w:rsidRDefault="00A47FE5">
      <w:pPr>
        <w:spacing w:after="600"/>
        <w:jc w:val="center"/>
        <w:rPr>
          <w:rFonts w:ascii="Times New Roman" w:hAnsi="Times New Roman"/>
          <w:noProof/>
          <w:sz w:val="24"/>
          <w:highlight w:val="yellow"/>
          <w:lang w:val="fr-FR"/>
        </w:rPr>
      </w:pPr>
      <w:r>
        <w:rPr>
          <w:rFonts w:ascii="Times New Roman" w:hAnsi="Times New Roman"/>
          <w:b/>
          <w:noProof/>
          <w:sz w:val="21"/>
          <w:lang w:val="fr-FR"/>
        </w:rPr>
        <w:t>Graphique 1</w:t>
      </w:r>
      <w:r>
        <w:rPr>
          <w:rFonts w:ascii="Times New Roman" w:hAnsi="Times New Roman"/>
          <w:noProof/>
          <w:sz w:val="21"/>
          <w:lang w:val="fr-FR"/>
        </w:rPr>
        <w:t xml:space="preserve">. Nombre de stocks connus pour la période 2007-2013 par sous-région </w:t>
      </w:r>
      <w:r>
        <w:rPr>
          <w:rFonts w:ascii="Times New Roman" w:hAnsi="Times New Roman"/>
          <w:noProof/>
          <w:sz w:val="21"/>
          <w:lang w:val="fr-FR"/>
        </w:rPr>
        <w:t>méditerranéenne et en mer Noire</w:t>
      </w:r>
    </w:p>
    <w:p w:rsidR="00072CF1" w:rsidRDefault="00A47FE5">
      <w:pPr>
        <w:jc w:val="center"/>
        <w:rPr>
          <w:rFonts w:ascii="Times New Roman" w:eastAsia="Times New Roman" w:hAnsi="Times New Roman"/>
          <w:noProof/>
          <w:sz w:val="24"/>
          <w:szCs w:val="24"/>
          <w:highlight w:val="yellow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fr-FR"/>
        </w:rPr>
        <w:pict>
          <v:shape id="Picture 17" o:spid="_x0000_i1029" type="#_x0000_t75" style="width:335.25pt;height:168.75pt;visibility:visible">
            <v:imagedata r:id="rId20" o:title=""/>
          </v:shape>
        </w:pict>
      </w:r>
    </w:p>
    <w:p w:rsidR="00072CF1" w:rsidRDefault="00A47FE5">
      <w:pPr>
        <w:autoSpaceDE w:val="0"/>
        <w:autoSpaceDN w:val="0"/>
        <w:adjustRightInd w:val="0"/>
        <w:spacing w:after="600"/>
        <w:jc w:val="right"/>
        <w:rPr>
          <w:rFonts w:ascii="Times New Roman" w:hAnsi="Times New Roman"/>
          <w:noProof/>
          <w:sz w:val="21"/>
          <w:lang w:val="fr-FR"/>
        </w:rPr>
      </w:pPr>
      <w:r>
        <w:rPr>
          <w:rFonts w:ascii="Times New Roman" w:hAnsi="Times New Roman"/>
          <w:b/>
          <w:noProof/>
          <w:sz w:val="21"/>
          <w:lang w:val="fr-FR"/>
        </w:rPr>
        <w:t xml:space="preserve">Graphique 2. </w:t>
      </w:r>
      <w:r>
        <w:rPr>
          <w:rFonts w:ascii="Times New Roman" w:hAnsi="Times New Roman"/>
          <w:noProof/>
          <w:sz w:val="21"/>
          <w:lang w:val="fr-FR"/>
        </w:rPr>
        <w:t>Nombre de stocks connus pour la période 2007-2013 par pêcherie, en Méditerranée et en mer Noire</w:t>
      </w:r>
    </w:p>
    <w:p w:rsidR="00072CF1" w:rsidRDefault="00A47FE5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w:pict>
          <v:shape id="Picture 16" o:spid="_x0000_i1030" type="#_x0000_t75" style="width:402.75pt;height:180pt;visibility:visible">
            <v:imagedata r:id="rId21" o:title=""/>
          </v:shape>
        </w:pict>
      </w:r>
    </w:p>
    <w:p w:rsidR="00072CF1" w:rsidRDefault="00A47FE5">
      <w:pPr>
        <w:autoSpaceDE w:val="0"/>
        <w:autoSpaceDN w:val="0"/>
        <w:adjustRightInd w:val="0"/>
        <w:rPr>
          <w:rFonts w:ascii="Times New Roman" w:hAnsi="Times New Roman"/>
          <w:noProof/>
          <w:sz w:val="21"/>
          <w:lang w:val="fr-FR"/>
        </w:rPr>
      </w:pPr>
      <w:r>
        <w:rPr>
          <w:rFonts w:ascii="Times New Roman" w:hAnsi="Times New Roman"/>
          <w:b/>
          <w:noProof/>
          <w:sz w:val="21"/>
          <w:lang w:val="fr-FR"/>
        </w:rPr>
        <w:t xml:space="preserve">Graphique 3. </w:t>
      </w:r>
      <w:r>
        <w:rPr>
          <w:rFonts w:ascii="Times New Roman" w:hAnsi="Times New Roman"/>
          <w:noProof/>
          <w:sz w:val="21"/>
          <w:lang w:val="fr-FR"/>
        </w:rPr>
        <w:t>Nombre de stocks connus pour la période 2007-2013 par pêcherie, en Méditerrané et en mer Noire</w:t>
      </w:r>
    </w:p>
    <w:p w:rsidR="00072CF1" w:rsidRDefault="00A47FE5">
      <w:pPr>
        <w:spacing w:before="120" w:after="240"/>
        <w:rPr>
          <w:rFonts w:ascii="Times New Roman" w:hAnsi="Times New Roman"/>
          <w:noProof/>
          <w:sz w:val="28"/>
          <w:lang w:val="fr-FR"/>
        </w:rPr>
      </w:pPr>
      <w:r>
        <w:rPr>
          <w:noProof/>
          <w:lang w:val="fr-FR"/>
        </w:rPr>
        <w:br w:type="page"/>
      </w:r>
      <w:r>
        <w:rPr>
          <w:rFonts w:ascii="Times New Roman" w:hAnsi="Times New Roman"/>
          <w:b/>
          <w:noProof/>
          <w:sz w:val="28"/>
          <w:lang w:val="fr-FR"/>
        </w:rPr>
        <w:t>Annexe III. Performances économiques dans les pêcheries d'églefin dans l'Atlantique</w:t>
      </w:r>
    </w:p>
    <w:p w:rsidR="00072CF1" w:rsidRDefault="00A47FE5">
      <w:pPr>
        <w:keepNext/>
        <w:numPr>
          <w:ilvl w:val="1"/>
          <w:numId w:val="0"/>
        </w:numPr>
        <w:tabs>
          <w:tab w:val="num" w:pos="850"/>
        </w:tabs>
        <w:spacing w:before="120" w:after="120"/>
        <w:ind w:left="850" w:hanging="850"/>
        <w:jc w:val="both"/>
        <w:outlineLvl w:val="1"/>
        <w:rPr>
          <w:rFonts w:ascii="Times New Roman" w:hAnsi="Times New Roman"/>
          <w:noProof/>
          <w:sz w:val="24"/>
          <w:lang w:val="fr-FR"/>
        </w:rPr>
      </w:pPr>
      <w:r>
        <w:rPr>
          <w:rFonts w:ascii="Times New Roman" w:hAnsi="Times New Roman"/>
          <w:noProof/>
          <w:sz w:val="24"/>
          <w:lang w:val="fr-FR"/>
        </w:rPr>
        <w:t>Graphique 1. Bénéfices nets des chalutiers de pêche démersale britanniques (longueur de navire 24-40)</w:t>
      </w:r>
    </w:p>
    <w:p w:rsidR="00072CF1" w:rsidRDefault="00A47FE5"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/>
          <w:bCs/>
          <w:iCs/>
          <w:noProof/>
          <w:sz w:val="24"/>
          <w:szCs w:val="28"/>
        </w:rPr>
      </w:pPr>
      <w:r>
        <w:rPr>
          <w:noProof/>
          <w:lang w:val="fr-FR" w:eastAsia="fr-FR"/>
        </w:rPr>
        <w:pict>
          <v:shape id="Picture 2" o:spid="_x0000_i1031" type="#_x0000_t75" style="width:341.25pt;height:213.75pt;visibility:visible">
            <v:imagedata r:id="rId22" o:title=""/>
          </v:shape>
        </w:pict>
      </w:r>
    </w:p>
    <w:p w:rsidR="00072CF1" w:rsidRDefault="00072CF1"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/>
          <w:bCs/>
          <w:iCs/>
          <w:noProof/>
          <w:sz w:val="24"/>
          <w:szCs w:val="28"/>
        </w:rPr>
      </w:pPr>
    </w:p>
    <w:p w:rsidR="00072CF1" w:rsidRDefault="00A47FE5">
      <w:pPr>
        <w:keepNext/>
        <w:spacing w:before="120" w:after="120" w:line="276" w:lineRule="auto"/>
        <w:jc w:val="both"/>
        <w:outlineLvl w:val="1"/>
        <w:rPr>
          <w:rFonts w:ascii="Times New Roman" w:hAnsi="Times New Roman"/>
          <w:noProof/>
          <w:sz w:val="24"/>
          <w:lang w:val="fr-FR"/>
        </w:rPr>
      </w:pPr>
      <w:r>
        <w:rPr>
          <w:rFonts w:ascii="Times New Roman" w:hAnsi="Times New Roman"/>
          <w:noProof/>
          <w:sz w:val="24"/>
          <w:lang w:val="fr-FR"/>
        </w:rPr>
        <w:t>Graphique 2. Salaire moyen et valeur ajoutée brute par chalutier de</w:t>
      </w:r>
      <w:r>
        <w:rPr>
          <w:rFonts w:ascii="Times New Roman" w:hAnsi="Times New Roman"/>
          <w:noProof/>
          <w:sz w:val="24"/>
          <w:lang w:val="fr-FR"/>
        </w:rPr>
        <w:t xml:space="preserve"> pêche démersale britannique (longueur de navire 24-40)</w:t>
      </w:r>
    </w:p>
    <w:p w:rsidR="00072CF1" w:rsidRDefault="00A47FE5">
      <w:pPr>
        <w:keepNext/>
        <w:tabs>
          <w:tab w:val="num" w:pos="850"/>
        </w:tabs>
        <w:spacing w:before="360" w:after="120"/>
        <w:jc w:val="both"/>
        <w:outlineLvl w:val="0"/>
        <w:rPr>
          <w:noProof/>
        </w:rPr>
      </w:pPr>
      <w:r>
        <w:rPr>
          <w:noProof/>
          <w:lang w:val="fr-FR" w:eastAsia="fr-FR"/>
        </w:rPr>
        <w:pict>
          <v:shape id="Picture 3" o:spid="_x0000_i1032" type="#_x0000_t75" style="width:342pt;height:231.75pt;visibility:visible">
            <v:imagedata r:id="rId23" o:title=""/>
          </v:shape>
        </w:pict>
      </w:r>
    </w:p>
    <w:p w:rsidR="00072CF1" w:rsidRDefault="00072CF1">
      <w:pPr>
        <w:rPr>
          <w:noProof/>
        </w:rPr>
      </w:pPr>
    </w:p>
    <w:sectPr w:rsidR="00072C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F1" w:rsidRDefault="00A47FE5">
      <w:r>
        <w:separator/>
      </w:r>
    </w:p>
  </w:endnote>
  <w:endnote w:type="continuationSeparator" w:id="0">
    <w:p w:rsidR="00072CF1" w:rsidRDefault="00A47FE5">
      <w:r>
        <w:continuationSeparator/>
      </w:r>
    </w:p>
  </w:endnote>
  <w:endnote w:type="continuationNotice" w:id="1">
    <w:p w:rsidR="00072CF1" w:rsidRDefault="00072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A47FE5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A47F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072CF1" w:rsidRDefault="00072CF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F1" w:rsidRDefault="00A47FE5">
      <w:r>
        <w:separator/>
      </w:r>
    </w:p>
  </w:footnote>
  <w:footnote w:type="continuationSeparator" w:id="0">
    <w:p w:rsidR="00072CF1" w:rsidRDefault="00A47FE5">
      <w:r>
        <w:continuationSeparator/>
      </w:r>
    </w:p>
  </w:footnote>
  <w:footnote w:type="continuationNotice" w:id="1">
    <w:p w:rsidR="00072CF1" w:rsidRDefault="00072CF1"/>
  </w:footnote>
  <w:footnote w:id="2">
    <w:p w:rsidR="00072CF1" w:rsidRDefault="00A47FE5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La présente évaluation inclut également les petits stocks de langoustines</w:t>
      </w:r>
    </w:p>
  </w:footnote>
  <w:footnote w:id="3">
    <w:p w:rsidR="00072CF1" w:rsidRDefault="00A47FE5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/>
          <w:noProof/>
          <w:color w:val="000000"/>
        </w:rPr>
        <w:t xml:space="preserve"> La présente évaluation applique la méthode du CSTEP et est fondée sur les données et évaluations les plus récentes concernant les stocks, y compris les petits stocks de langoustine et les espèces à brève durée de vie gérés dans un objectif d’échappement d</w:t>
      </w:r>
      <w:r>
        <w:rPr>
          <w:rFonts w:ascii="Times New Roman" w:hAnsi="Times New Roman"/>
          <w:noProof/>
          <w:color w:val="000000"/>
        </w:rPr>
        <w:t xml:space="preserve">e la biomasse correspondant au RMD. </w:t>
      </w:r>
    </w:p>
  </w:footnote>
  <w:footnote w:id="4">
    <w:p w:rsidR="00072CF1" w:rsidRDefault="00A47FE5">
      <w:pPr>
        <w:spacing w:before="120" w:after="120"/>
        <w:jc w:val="both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r>
        <w:rPr>
          <w:rFonts w:ascii="Times New Roman" w:hAnsi="Times New Roman"/>
          <w:sz w:val="20"/>
          <w:lang w:val="fr-FR"/>
        </w:rPr>
        <w:t>À partir de données compilées par la Commission européenne, selon la même méthode que celle utilisée dans les éditions antérieures de la présente communication.</w:t>
      </w:r>
    </w:p>
  </w:footnote>
  <w:footnote w:id="5">
    <w:p w:rsidR="00072CF1" w:rsidRDefault="00A47FE5">
      <w:pPr>
        <w:rPr>
          <w:rFonts w:ascii="Times New Roman" w:hAnsi="Times New Roman"/>
          <w:sz w:val="18"/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r>
        <w:rPr>
          <w:rFonts w:ascii="Times New Roman" w:hAnsi="Times New Roman"/>
          <w:sz w:val="18"/>
          <w:lang w:val="fr-FR"/>
        </w:rPr>
        <w:t xml:space="preserve">Avis recommandant l'arrêt de la pêche, un taux de </w:t>
      </w:r>
      <w:r>
        <w:rPr>
          <w:rFonts w:ascii="Times New Roman" w:hAnsi="Times New Roman"/>
          <w:sz w:val="18"/>
          <w:lang w:val="fr-FR"/>
        </w:rPr>
        <w:t>capture zéro, le niveau de capture le plus faible possible, ou formule équivalente</w:t>
      </w:r>
    </w:p>
    <w:p w:rsidR="00072CF1" w:rsidRDefault="00072CF1">
      <w:pPr>
        <w:pStyle w:val="FootnoteText"/>
      </w:pPr>
    </w:p>
  </w:footnote>
  <w:footnote w:id="6">
    <w:p w:rsidR="00072CF1" w:rsidRDefault="00A47FE5">
      <w:pPr>
        <w:pStyle w:val="FootnoteText"/>
      </w:pPr>
      <w:r>
        <w:rPr>
          <w:rStyle w:val="FootnoteReference"/>
        </w:rPr>
        <w:footnoteRef/>
      </w:r>
      <w:r>
        <w:t xml:space="preserve"> Seulement très légèrement en surpêche</w:t>
      </w:r>
    </w:p>
  </w:footnote>
  <w:footnote w:id="7">
    <w:p w:rsidR="00072CF1" w:rsidRDefault="00A47FE5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Les captures respectives, en poids vif, de ces stocks connus correspondent à une partie limitée du volume total des captures effec</w:t>
      </w:r>
      <w:r>
        <w:rPr>
          <w:rFonts w:ascii="Times New Roman" w:hAnsi="Times New Roman"/>
        </w:rPr>
        <w:t xml:space="preserve">tuées dans la mer Méditerranée et la mer Noire (soit environ 495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</w:rPr>
        <w:t xml:space="preserve"> sur un total estimé de 1,4 Mt,</w:t>
      </w:r>
      <w:r>
        <w:rPr>
          <w:rFonts w:ascii="Times New Roman" w:hAnsi="Times New Roman"/>
          <w:b/>
        </w:rPr>
        <w:t xml:space="preserve"> source</w:t>
      </w:r>
      <w:r>
        <w:rPr>
          <w:rFonts w:ascii="Times New Roman" w:hAnsi="Times New Roman"/>
        </w:rPr>
        <w:t xml:space="preserve">: CSTEP, comité consultatif scientifique de la CGPM, et «Capture Production» de la FAO). Le nombre total de stocks connus peut donc être toujours très </w:t>
      </w:r>
      <w:r>
        <w:rPr>
          <w:rFonts w:ascii="Times New Roman" w:hAnsi="Times New Roman"/>
        </w:rPr>
        <w:t>limité par rapport au nombre total de stocks.</w:t>
      </w:r>
    </w:p>
  </w:footnote>
  <w:footnote w:id="8">
    <w:p w:rsidR="00072CF1" w:rsidRDefault="00A47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Par «nombre TOTAL de stocks connus» on entend le nombre total d'avis fournis par sous-région et par an. Le nombre total d’avis peut inclure le même stock sur plusieurs années.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F1" w:rsidRDefault="00072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VERPAGE_EXISTS" w:val="True"/>
    <w:docVar w:name="DocStatus" w:val="Green"/>
    <w:docVar w:name="FigNum" w:val="1"/>
    <w:docVar w:name="LW_ACCOMPAGNANT.CP" w:val="à la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C39D628D93C2417485E96242B9394421"/>
    <w:docVar w:name="LW_CROSSREFERENCE" w:val="&lt;UNUSED&gt;"/>
    <w:docVar w:name="LW_DocType" w:val="NORMAL"/>
    <w:docVar w:name="LW_EMISSION" w:val="2.6.2015"/>
    <w:docVar w:name="LW_EMISSION_ISODATE" w:val="2015-06-02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sultation sur les possibilités de pêche pour 2016_x000b_au titre de la politique commune de la pêche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239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COMMUNICATION DE LA COMMISSION AU PARLEMENT EUROPÉEN ET AU CONSEIL_x000b_"/>
  </w:docVars>
  <w:rsids>
    <w:rsidRoot w:val="00072CF1"/>
    <w:rsid w:val="00072CF1"/>
    <w:rsid w:val="00A4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200" w:line="276" w:lineRule="auto"/>
    </w:pPr>
    <w:rPr>
      <w:sz w:val="20"/>
      <w:szCs w:val="20"/>
      <w:lang w:val="fr-BE"/>
    </w:rPr>
  </w:style>
  <w:style w:type="character" w:customStyle="1" w:styleId="FootnoteTextChar">
    <w:name w:val="Footnote Text Char"/>
    <w:link w:val="FootnoteText"/>
    <w:uiPriority w:val="99"/>
    <w:semiHidden/>
    <w:rPr>
      <w:rFonts w:ascii="Calibri" w:eastAsia="Calibri" w:hAnsi="Calibri" w:cs="Times New Roman"/>
      <w:sz w:val="20"/>
      <w:szCs w:val="20"/>
      <w:lang w:val="fr-BE"/>
    </w:rPr>
  </w:style>
  <w:style w:type="paragraph" w:styleId="NormalWeb">
    <w:name w:val="Normal (Web)"/>
    <w:basedOn w:val="Normal"/>
    <w:uiPriority w:val="99"/>
    <w:unhideWhenUsed/>
    <w:pPr>
      <w:spacing w:after="200" w:line="276" w:lineRule="auto"/>
    </w:pPr>
    <w:rPr>
      <w:rFonts w:ascii="Times New Roman" w:hAnsi="Times New Roman"/>
      <w:sz w:val="24"/>
      <w:szCs w:val="24"/>
      <w:lang w:val="fr-BE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GB" w:eastAsia="en-US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noProof/>
      <w:color w:val="000000"/>
      <w:sz w:val="24"/>
      <w:szCs w:val="20"/>
      <w:lang w:val="fr-FR" w:eastAsia="fr-FR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noProof/>
      <w:color w:val="00000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noProof/>
      <w:color w:val="000000"/>
      <w:sz w:val="24"/>
      <w:szCs w:val="20"/>
      <w:lang w:val="fr-FR" w:eastAsia="fr-FR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noProof/>
      <w:color w:val="000000"/>
      <w:sz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200" w:line="276" w:lineRule="auto"/>
    </w:pPr>
    <w:rPr>
      <w:sz w:val="20"/>
      <w:szCs w:val="20"/>
      <w:lang w:val="fr-BE"/>
    </w:rPr>
  </w:style>
  <w:style w:type="character" w:customStyle="1" w:styleId="FootnoteTextChar">
    <w:name w:val="Footnote Text Char"/>
    <w:link w:val="FootnoteText"/>
    <w:uiPriority w:val="99"/>
    <w:semiHidden/>
    <w:rPr>
      <w:rFonts w:ascii="Calibri" w:eastAsia="Calibri" w:hAnsi="Calibri" w:cs="Times New Roman"/>
      <w:sz w:val="20"/>
      <w:szCs w:val="20"/>
      <w:lang w:val="fr-BE"/>
    </w:rPr>
  </w:style>
  <w:style w:type="paragraph" w:styleId="NormalWeb">
    <w:name w:val="Normal (Web)"/>
    <w:basedOn w:val="Normal"/>
    <w:uiPriority w:val="99"/>
    <w:unhideWhenUsed/>
    <w:pPr>
      <w:spacing w:after="200" w:line="276" w:lineRule="auto"/>
    </w:pPr>
    <w:rPr>
      <w:rFonts w:ascii="Times New Roman" w:hAnsi="Times New Roman"/>
      <w:sz w:val="24"/>
      <w:szCs w:val="24"/>
      <w:lang w:val="fr-BE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GB" w:eastAsia="en-US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noProof/>
      <w:color w:val="000000"/>
      <w:sz w:val="24"/>
      <w:szCs w:val="20"/>
      <w:lang w:val="fr-FR" w:eastAsia="fr-FR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noProof/>
      <w:color w:val="00000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noProof/>
      <w:color w:val="000000"/>
      <w:sz w:val="24"/>
      <w:szCs w:val="20"/>
      <w:lang w:val="fr-FR" w:eastAsia="fr-FR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noProof/>
      <w:color w:val="000000"/>
      <w:sz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2.xls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1.xls"/><Relationship Id="rId20" Type="http://schemas.openxmlformats.org/officeDocument/2006/relationships/image" Target="media/image5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emf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emf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FCB4-E6E1-420E-8CFC-303FBD5F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Jonas (MARE)</dc:creator>
  <cp:lastModifiedBy>LAGES CARVALHO Patrick (SG)</cp:lastModifiedBy>
  <cp:revision>8</cp:revision>
  <cp:lastPrinted>2015-05-29T08:17:00Z</cp:lastPrinted>
  <dcterms:created xsi:type="dcterms:W3CDTF">2015-05-29T10:00:00Z</dcterms:created>
  <dcterms:modified xsi:type="dcterms:W3CDTF">2015-05-29T10:09:00Z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