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F9B008B8686242B2B39BA7AE5DC1686B" style="width:450.35pt;height:397.3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ПРИЛОЖЕНИЕ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Държавите членки, действащи съвместно в интерес на Съюза, подкрепят на 7-ма стъпка единствено следните проекторезолюции, които подлежат на евентуално бъдещо преразглеждане предвид ново развитие, относно методите на анализ за определяне на състава на продуктите от лозаро-винарския сектор, относно спецификациите за чистота и идентичност на веществата, използвани в енологичните практики, и относно енологичните практики:</w:t>
      </w:r>
    </w:p>
    <w:p>
      <w:pPr>
        <w:tabs>
          <w:tab w:val="left" w:pos="3228"/>
        </w:tabs>
        <w:rPr>
          <w:noProof/>
        </w:rPr>
      </w:pPr>
      <w:r>
        <w:rPr>
          <w:noProof/>
        </w:rPr>
        <w:t>OENO-TECHNO 10-445, третиране на мъст с глутатион</w:t>
      </w:r>
    </w:p>
    <w:p>
      <w:pPr>
        <w:tabs>
          <w:tab w:val="left" w:pos="3228"/>
        </w:tabs>
        <w:rPr>
          <w:noProof/>
        </w:rPr>
      </w:pPr>
      <w:r>
        <w:rPr>
          <w:noProof/>
        </w:rPr>
        <w:t>OENO-TECHNO 10-446, третиране на вината с глутатион</w:t>
      </w:r>
    </w:p>
    <w:p>
      <w:pPr>
        <w:tabs>
          <w:tab w:val="left" w:pos="3228"/>
        </w:tabs>
        <w:rPr>
          <w:noProof/>
        </w:rPr>
      </w:pPr>
      <w:r>
        <w:rPr>
          <w:noProof/>
        </w:rPr>
        <w:t xml:space="preserve">OENO-TECHNO 13-532, третиране на мъст чрез използване на инактивирани дрожди, богати на глутатион </w:t>
      </w:r>
    </w:p>
    <w:p>
      <w:pPr>
        <w:tabs>
          <w:tab w:val="left" w:pos="3228"/>
        </w:tabs>
        <w:rPr>
          <w:noProof/>
        </w:rPr>
      </w:pPr>
      <w:r>
        <w:rPr>
          <w:noProof/>
        </w:rPr>
        <w:t xml:space="preserve">OENO-TECHNO 13-533, третиране на вината чрез инактивирани дрожди, богати на глутатион </w:t>
      </w:r>
    </w:p>
    <w:p>
      <w:pPr>
        <w:tabs>
          <w:tab w:val="left" w:pos="3228"/>
        </w:tabs>
        <w:rPr>
          <w:noProof/>
        </w:rPr>
      </w:pPr>
      <w:r>
        <w:rPr>
          <w:noProof/>
        </w:rPr>
        <w:t>OENO-MICRO 13-531, активатори на ябълчно-млечната ферментация</w:t>
      </w:r>
    </w:p>
    <w:p>
      <w:pPr>
        <w:tabs>
          <w:tab w:val="left" w:pos="3228"/>
        </w:tabs>
        <w:rPr>
          <w:noProof/>
        </w:rPr>
      </w:pPr>
      <w:r>
        <w:rPr>
          <w:noProof/>
        </w:rPr>
        <w:t xml:space="preserve">OENO-SPECIF 14-554, актуализация на монографията относно енологичните танини </w:t>
      </w:r>
    </w:p>
    <w:p>
      <w:pPr>
        <w:tabs>
          <w:tab w:val="left" w:pos="3228"/>
        </w:tabs>
        <w:rPr>
          <w:noProof/>
        </w:rPr>
      </w:pPr>
      <w:r>
        <w:rPr>
          <w:noProof/>
        </w:rPr>
        <w:t>OENO-SPECIF 14-555, актуализация на монографията относно казеина</w:t>
      </w:r>
    </w:p>
    <w:p>
      <w:pPr>
        <w:tabs>
          <w:tab w:val="left" w:pos="3228"/>
        </w:tabs>
        <w:rPr>
          <w:noProof/>
        </w:rPr>
      </w:pPr>
      <w:r>
        <w:rPr>
          <w:noProof/>
        </w:rPr>
        <w:t>OENO-SPECIF 14-557, актуализация на монографията относно протеините с растителен произход</w:t>
      </w:r>
    </w:p>
    <w:p>
      <w:pPr>
        <w:tabs>
          <w:tab w:val="left" w:pos="3228"/>
        </w:tabs>
        <w:rPr>
          <w:noProof/>
        </w:rPr>
      </w:pPr>
      <w:r>
        <w:rPr>
          <w:noProof/>
        </w:rPr>
        <w:t>OENO-SCMA 13-527, определяне чрез ядрено-магнитен резонанс (ЯМР) на разпределението на деутерий в оцетна киселина, извлечена от винен оцет.</w:t>
      </w:r>
    </w:p>
    <w:p>
      <w:pPr>
        <w:tabs>
          <w:tab w:val="left" w:pos="3228"/>
        </w:tabs>
        <w:rPr>
          <w:noProof/>
        </w:rPr>
      </w:pPr>
      <w:r>
        <w:rPr>
          <w:noProof/>
        </w:rPr>
        <w:t>OENO-SCMA 09-419D, специфични методи за анализ на гроздова захар (ректифицирана концентрирана гроздова мъст) — индекс на Фолин-Чокълтеу.</w:t>
      </w:r>
    </w:p>
    <w:p>
      <w:pPr>
        <w:tabs>
          <w:tab w:val="left" w:pos="3228"/>
        </w:tabs>
        <w:rPr>
          <w:noProof/>
        </w:rPr>
      </w:pPr>
      <w:r>
        <w:rPr>
          <w:noProof/>
        </w:rPr>
        <w:t>OENO-SCMA 09-419С, специфични методи за анализ на гроздова захар (ректифицирана концентрирана гроздова мъст)</w:t>
      </w:r>
    </w:p>
    <w:p>
      <w:pPr>
        <w:tabs>
          <w:tab w:val="left" w:pos="3228"/>
        </w:tabs>
        <w:rPr>
          <w:noProof/>
        </w:rPr>
      </w:pPr>
      <w:r>
        <w:rPr>
          <w:noProof/>
        </w:rPr>
        <w:t>OENO-SCMA 14-549, определяне на съдържанието на летливи киселини — преразглеждане на метода</w:t>
      </w:r>
    </w:p>
    <w:p>
      <w:pPr>
        <w:rPr>
          <w:noProof/>
        </w:rPr>
      </w:pPr>
      <w:r>
        <w:rPr>
          <w:noProof/>
        </w:rPr>
        <w:t>OENO-SCMA 14-551, определяне на общата киселинност — преразглеждане на метода</w:t>
      </w: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0EBA780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EC9EF87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6BB21C2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9D44DD8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454A8AD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6518A58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4D2AC1F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FE7C67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5-06-02 15:09:13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Green"/>
    <w:docVar w:name="DQCVersion" w:val="2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F9B008B8686242B2B39BA7AE5DC1686B"/>
    <w:docVar w:name="LW_CROSSREFERENCE" w:val="&lt;UNUSED&gt;"/>
    <w:docVar w:name="LW_DocType" w:val="ANNEX"/>
    <w:docVar w:name="LW_EMISSION" w:val="4.6.2015"/>
    <w:docVar w:name="LW_EMISSION_ISODATE" w:val="2015-06-04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1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79?\u1072? \u1091?\u1089?\u1090?\u1072?\u1085?\u1086?\u1074?\u1103?\u1074?\u1072?\u1085?\u1077? \u1085?\u1072? \u1087?\u1086?\u1079?\u1080?\u1094?\u1080?\u1103?\u1090?\u1072?, \u1082?\u1086?\u1103?\u1090?\u1086? \u1090?\u1088?\u1103?\u1073?\u1074?\u1072? \u1076?\u1072? \u1073?\u1098?\u1076?\u1077? \u1087?\u1088?\u1080?\u1077?\u1090?\u1072? \u1086?\u1090? \u1080?\u1084?\u1077?\u1090?\u1086? \u1085?\u1072? \u1045?\u1074?\u1088?\u1086?\u1087?\u1077?\u1081?\u1089?\u1082?\u1080?\u1103? \u1089?\u1098?\u1102?\u1079? \u1074?\u1098?\u1074? \u1074?\u1088?\u1098?\u1079?\u1082?\u1072? \u1089? \u1085?\u1103?\u1082?\u1086?\u1080? \u1088?\u1077?\u1079?\u1086?\u1083?\u1102?\u1094?\u1080?\u1080?, \u1082?\u1086?\u1080?\u1090?\u1086? \u1097?\u1077? \u1073?\u1098?\u1076?\u1072?\u1090? \u1075?\u1083?\u1072?\u1089?\u1091?\u1074?\u1072?\u1085?\u1080? \u1074? \u1088?\u1072?\u1084?\u1082?\u1080?\u1090?\u1077? \u1085?\u1072? \u1052?\u1077?\u1078?\u1076?\u1091?\u1085?\u1072?\u1088?\u1086?\u1076?\u1085?\u1072?\u1090?\u1072? \u1086?\u1088?\u1075?\u1072?\u1085?\u1080?\u1079?\u1072?\u1094?\u1080?\u1103? \u1087?\u1086? \u1083?\u1086?\u1079?\u1072?\u1090?\u1072? \u1080? \u1074?\u1080?\u1085?\u1086?\u1090?\u1086? (OIV)"/>
    <w:docVar w:name="LW_OBJETACTEPRINCIPAL.CP" w:val="\u1079?\u1072? \u1091?\u1089?\u1090?\u1072?\u1085?\u1086?\u1074?\u1103?\u1074?\u1072?\u1085?\u1077? \u1085?\u1072? \u1087?\u1086?\u1079?\u1080?\u1094?\u1080?\u1103?\u1090?\u1072?, \u1082?\u1086?\u1103?\u1090?\u1086? \u1090?\u1088?\u1103?\u1073?\u1074?\u1072? \u1076?\u1072? \u1073?\u1098?\u1076?\u1077? \u1087?\u1088?\u1080?\u1077?\u1090?\u1072? \u1086?\u1090? \u1080?\u1084?\u1077?\u1090?\u1086? \u1085?\u1072? \u1045?\u1074?\u1088?\u1086?\u1087?\u1077?\u1081?\u1089?\u1082?\u1080?\u1103? \u1089?\u1098?\u1102?\u1079? \u1074?\u1098?\u1074? \u1074?\u1088?\u1098?\u1079?\u1082?\u1072? \u1089? \u1085?\u1103?\u1082?\u1086?\u1080? \u1088?\u1077?\u1079?\u1086?\u1083?\u1102?\u1094?\u1080?\u1080?, \u1082?\u1086?\u1080?\u1090?\u1086? \u1097?\u1077? \u1073?\u1098?\u1076?\u1072?\u1090? \u1075?\u1083?\u1072?\u1089?\u1091?\u1074?\u1072?\u1085?\u1080? \u1074? \u1088?\u1072?\u1084?\u1082?\u1080?\u1090?\u1077? \u1085?\u1072? \u1052?\u1077?\u1078?\u1076?\u1091?\u1085?\u1072?\u1088?\u1086?\u1076?\u1085?\u1072?\u1090?\u1072? \u1086?\u1088?\u1075?\u1072?\u1085?\u1080?\u1079?\u1072?\u1094?\u1080?\u1103? \u1087?\u1086? \u1083?\u1086?\u1079?\u1072?\u1090?\u1072? \u1080? \u1074?\u1080?\u1085?\u1086?\u1090?\u1086? (OIV)"/>
    <w:docVar w:name="LW_PART_NBR" w:val="1"/>
    <w:docVar w:name="LW_PART_NBR_TOTAL" w:val="1"/>
    <w:docVar w:name="LW_REF.INST.NEW" w:val="COM"/>
    <w:docVar w:name="LW_REF.INST.NEW_ADOPTED" w:val="final"/>
    <w:docVar w:name="LW_REF.INST.NEW_TEXT" w:val="(2015) 280"/>
    <w:docVar w:name="LW_REF.INTERNE" w:val="&lt;UNUSED&gt;"/>
    <w:docVar w:name="LW_SUPERTITRE" w:val="&lt;UNUSED&gt;"/>
    <w:docVar w:name="LW_TITRE.OBJ.CP" w:val="&lt;UNUSED&gt;"/>
    <w:docVar w:name="LW_TYPE.DOC" w:val="\u1055?\u1056?\u1048?\u1051?\u1054?\u1046?\u1045?\u1053?\u1048?\u1071?"/>
    <w:docVar w:name="LW_TYPE.DOC.CP" w:val="\u1055?\u1056?\u1048?\u1051?\u1054?\u1046?\u1045?\u1053?\u1048?\u1071?"/>
    <w:docVar w:name="LW_TYPEACTEPRINCIPAL" w:val="\u1055?\u1056?\u1045?\u1044?\u1051?\u1054?\u1046?\u1045?\u1053?\u1048?\u1045? \u1047?\u1040? \u1056?\u1045?\u1064?\u1045?\u1053?\u1048?\u1045? \u1053?\u1040? \u1057?\u1066?\u1042?\u1045?\u1058?\u1040?"/>
    <w:docVar w:name="LW_TYPEACTEPRINCIPAL.CP" w:val="\u1055?\u1056?\u1045?\u1044?\u1051?\u1054?\u1046?\u1045?\u1053?\u1048?\u1045? \u1047?\u1040? 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2</Pages>
  <Words>191</Words>
  <Characters>1384</Characters>
  <Application>Microsoft Office Word</Application>
  <DocSecurity>0</DocSecurity>
  <Lines>30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MCCORD Patricia (AGRI)</dc:creator>
  <cp:lastModifiedBy>DIGIT/A3</cp:lastModifiedBy>
  <cp:revision>7</cp:revision>
  <dcterms:created xsi:type="dcterms:W3CDTF">2015-05-31T10:02:00Z</dcterms:created>
  <dcterms:modified xsi:type="dcterms:W3CDTF">2015-06-02T13:09:00Z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Green (DQC version 02)</vt:lpwstr>
  </property>
</Properties>
</file>