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D9361BD857046578A8B754A48A886A9"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w:t>
      </w:r>
    </w:p>
    <w:p>
      <w:pPr>
        <w:rPr>
          <w:noProof/>
        </w:rPr>
      </w:pPr>
    </w:p>
    <w:p>
      <w:pPr>
        <w:rPr>
          <w:noProof/>
        </w:rPr>
      </w:pPr>
      <w:r>
        <w:rPr>
          <w:noProof/>
        </w:rPr>
        <w:t>The Member States acting jointly in the interest of the Union shall support only, and subject to any future review on the basis of new developments, the following draft resolutions at step 7 on methods of analysis for determining the composition of the products of the wine sector, on purity and identification specifications of substances used in oenological practices and on oenological practices:</w:t>
      </w:r>
    </w:p>
    <w:p>
      <w:pPr>
        <w:tabs>
          <w:tab w:val="left" w:pos="3228"/>
        </w:tabs>
        <w:rPr>
          <w:noProof/>
        </w:rPr>
      </w:pPr>
      <w:r>
        <w:rPr>
          <w:noProof/>
        </w:rPr>
        <w:t>OENO-TECHNO 10-445, glutathione treatment – musts</w:t>
      </w:r>
    </w:p>
    <w:p>
      <w:pPr>
        <w:tabs>
          <w:tab w:val="left" w:pos="3228"/>
        </w:tabs>
        <w:rPr>
          <w:noProof/>
        </w:rPr>
      </w:pPr>
      <w:r>
        <w:rPr>
          <w:noProof/>
        </w:rPr>
        <w:t>OENO-TECHNO 10-446, glutathione treatment – wines</w:t>
      </w:r>
    </w:p>
    <w:p>
      <w:pPr>
        <w:tabs>
          <w:tab w:val="left" w:pos="3228"/>
        </w:tabs>
        <w:rPr>
          <w:noProof/>
        </w:rPr>
      </w:pPr>
      <w:r>
        <w:rPr>
          <w:noProof/>
        </w:rPr>
        <w:t xml:space="preserve">OENO-TECHNO 13-532, treatment of musts using inactivated yeast rich in glutathione </w:t>
      </w:r>
    </w:p>
    <w:p>
      <w:pPr>
        <w:tabs>
          <w:tab w:val="left" w:pos="3228"/>
        </w:tabs>
        <w:rPr>
          <w:noProof/>
        </w:rPr>
      </w:pPr>
      <w:r>
        <w:rPr>
          <w:noProof/>
        </w:rPr>
        <w:t xml:space="preserve">OENO-TECHNO 13-533, treatment of wines using inactivated yeast rich in glutathione </w:t>
      </w:r>
    </w:p>
    <w:p>
      <w:pPr>
        <w:tabs>
          <w:tab w:val="left" w:pos="3228"/>
        </w:tabs>
        <w:rPr>
          <w:noProof/>
        </w:rPr>
      </w:pPr>
      <w:r>
        <w:rPr>
          <w:noProof/>
        </w:rPr>
        <w:t>OENO-MICRO 13-531, activators of malolactic fermentation</w:t>
      </w:r>
    </w:p>
    <w:p>
      <w:pPr>
        <w:tabs>
          <w:tab w:val="left" w:pos="3228"/>
        </w:tabs>
        <w:rPr>
          <w:noProof/>
        </w:rPr>
      </w:pPr>
      <w:r>
        <w:rPr>
          <w:noProof/>
        </w:rPr>
        <w:t xml:space="preserve">OENO-SPECIF 14-554, update to the monograph on the oenological tanins </w:t>
      </w:r>
    </w:p>
    <w:p>
      <w:pPr>
        <w:tabs>
          <w:tab w:val="left" w:pos="3228"/>
        </w:tabs>
        <w:rPr>
          <w:noProof/>
        </w:rPr>
      </w:pPr>
      <w:r>
        <w:rPr>
          <w:noProof/>
        </w:rPr>
        <w:t>OENO-SPECIF 14-555, update to the monograph on casein</w:t>
      </w:r>
    </w:p>
    <w:p>
      <w:pPr>
        <w:tabs>
          <w:tab w:val="left" w:pos="3228"/>
        </w:tabs>
        <w:rPr>
          <w:noProof/>
        </w:rPr>
      </w:pPr>
      <w:r>
        <w:rPr>
          <w:noProof/>
        </w:rPr>
        <w:t>OENO-SPECIF 14-557, update to the monograph on proteins of plant origin</w:t>
      </w:r>
    </w:p>
    <w:p>
      <w:pPr>
        <w:tabs>
          <w:tab w:val="left" w:pos="3228"/>
        </w:tabs>
        <w:rPr>
          <w:noProof/>
        </w:rPr>
      </w:pPr>
      <w:r>
        <w:rPr>
          <w:noProof/>
        </w:rPr>
        <w:t>OENO-SCMA 13-527, determination of the distribution of deuterium in acetic extracted from wine vinegar using nuclear magnetic resonance (NMR)</w:t>
      </w:r>
    </w:p>
    <w:p>
      <w:pPr>
        <w:tabs>
          <w:tab w:val="left" w:pos="3228"/>
        </w:tabs>
        <w:rPr>
          <w:noProof/>
        </w:rPr>
      </w:pPr>
      <w:r>
        <w:rPr>
          <w:noProof/>
        </w:rPr>
        <w:t>OENO-SCMA 09-419D, specific methods for the analysis of grape sugar (rectified concentrated grape must) – folin-ciocalteu index</w:t>
      </w:r>
    </w:p>
    <w:p>
      <w:pPr>
        <w:tabs>
          <w:tab w:val="left" w:pos="3228"/>
        </w:tabs>
        <w:rPr>
          <w:noProof/>
        </w:rPr>
      </w:pPr>
      <w:r>
        <w:rPr>
          <w:noProof/>
        </w:rPr>
        <w:t>OENO-SCMA 09-419C, specific methods for the analysis of grape sugar (rectified concentrated grape must)</w:t>
      </w:r>
    </w:p>
    <w:p>
      <w:pPr>
        <w:tabs>
          <w:tab w:val="left" w:pos="3228"/>
        </w:tabs>
        <w:rPr>
          <w:noProof/>
        </w:rPr>
      </w:pPr>
      <w:r>
        <w:rPr>
          <w:noProof/>
        </w:rPr>
        <w:t>OENO-SCMA 14-549, determination of volatile acidity - revision of the method</w:t>
      </w:r>
    </w:p>
    <w:p>
      <w:pPr>
        <w:rPr>
          <w:noProof/>
        </w:rPr>
      </w:pPr>
      <w:r>
        <w:rPr>
          <w:noProof/>
        </w:rPr>
        <w:t>OENO-SCMA 14-551, determination of total acidity – revision of the method</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EBA78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9EF8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B21C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D44DD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4A8A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18A5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D2AC1F2"/>
    <w:lvl w:ilvl="0">
      <w:start w:val="1"/>
      <w:numFmt w:val="decimal"/>
      <w:pStyle w:val="ListNumber"/>
      <w:lvlText w:val="%1."/>
      <w:lvlJc w:val="left"/>
      <w:pPr>
        <w:tabs>
          <w:tab w:val="num" w:pos="360"/>
        </w:tabs>
        <w:ind w:left="360" w:hanging="360"/>
      </w:pPr>
    </w:lvl>
  </w:abstractNum>
  <w:abstractNum w:abstractNumId="7">
    <w:nsid w:val="FFFFFF89"/>
    <w:multiLevelType w:val="singleLevel"/>
    <w:tmpl w:val="FE7C67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28 13:36: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2"/>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DD9361BD857046578A8B754A48A886A9"/>
    <w:docVar w:name="LW_CROSSREFERENCE" w:val="&lt;UNUSED&gt;"/>
    <w:docVar w:name="LW_DocType" w:val="ANNEX"/>
    <w:docVar w:name="LW_EMISSION" w:val="4.6.2015"/>
    <w:docVar w:name="LW_EMISSION_ISODATE" w:val="2015-06-04"/>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establishing the position to be adopted on behalf of the European Union with regard to certain resolutions to be voted in the framework of the International Organisation for Vine and Wine (OIV)"/>
    <w:docVar w:name="LW_PART_NBR" w:val="1"/>
    <w:docVar w:name="LW_PART_NBR_TOTAL" w:val="1"/>
    <w:docVar w:name="LW_REF.INST.NEW" w:val="COM"/>
    <w:docVar w:name="LW_REF.INST.NEW_ADOPTED" w:val="final"/>
    <w:docVar w:name="LW_REF.INST.NEW_TEXT" w:val="(2015) 280"/>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202</Words>
  <Characters>1255</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MCCORD Patricia (AGRI)</dc:creator>
  <cp:lastModifiedBy>DIGIT/A3</cp:lastModifiedBy>
  <cp:revision>7</cp:revision>
  <dcterms:created xsi:type="dcterms:W3CDTF">2015-05-26T11:05:00Z</dcterms:created>
  <dcterms:modified xsi:type="dcterms:W3CDTF">2015-05-28T11:36:00Z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