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D6F18417E79476F8FF8E954FE6F235A" style="width:450.75pt;height:334.5pt">
            <v:imagedata r:id="rId9" o:title=""/>
          </v:shape>
        </w:pict>
      </w:r>
    </w:p>
    <w:bookmarkEnd w:id="0"/>
    <w:p>
      <w:pPr>
        <w:rPr>
          <w:rFonts w:ascii="Times New Roman" w:hAnsi="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rPr>
          <w:rFonts w:ascii="Times New Roman" w:hAnsi="Times New Roman"/>
          <w:b/>
          <w:caps/>
          <w:noProof/>
          <w:sz w:val="24"/>
        </w:rPr>
      </w:pPr>
      <w:bookmarkStart w:id="1" w:name="_GoBack"/>
      <w:bookmarkEnd w:id="1"/>
      <w:r>
        <w:rPr>
          <w:rFonts w:ascii="Times New Roman" w:hAnsi="Times New Roman"/>
          <w:b/>
          <w:caps/>
          <w:noProof/>
          <w:sz w:val="24"/>
        </w:rPr>
        <w:lastRenderedPageBreak/>
        <w:t>1. Въведение</w:t>
      </w:r>
    </w:p>
    <w:p>
      <w:pPr>
        <w:spacing w:line="240" w:lineRule="auto"/>
        <w:jc w:val="both"/>
        <w:rPr>
          <w:rFonts w:ascii="Times New Roman" w:hAnsi="Times New Roman"/>
          <w:noProof/>
          <w:sz w:val="24"/>
          <w:szCs w:val="24"/>
        </w:rPr>
      </w:pPr>
      <w:r>
        <w:rPr>
          <w:rFonts w:ascii="Times New Roman" w:hAnsi="Times New Roman"/>
          <w:noProof/>
          <w:sz w:val="24"/>
        </w:rPr>
        <w:t>2014</w:t>
      </w:r>
      <w:r>
        <w:rPr>
          <w:rFonts w:ascii="Times New Roman" w:hAnsi="Times New Roman"/>
          <w:noProof/>
          <w:sz w:val="24"/>
          <w:lang w:val="en-GB"/>
        </w:rPr>
        <w:t> </w:t>
      </w:r>
      <w:r>
        <w:rPr>
          <w:rFonts w:ascii="Times New Roman" w:hAnsi="Times New Roman"/>
          <w:noProof/>
          <w:sz w:val="24"/>
        </w:rPr>
        <w:t>г. беляза ново начало за Европа. След европейските избори Европейският парламент даде зелена светлина на новата Европейска комисия въз основа на приоритетите, очертани в политическите насоки на председателя Юнкер</w:t>
      </w:r>
      <w:r>
        <w:rPr>
          <w:rStyle w:val="FootnoteReference"/>
          <w:rFonts w:ascii="Times New Roman" w:hAnsi="Times New Roman"/>
          <w:noProof/>
          <w:sz w:val="24"/>
        </w:rPr>
        <w:footnoteReference w:id="2"/>
      </w:r>
      <w:r>
        <w:rPr>
          <w:rFonts w:ascii="Times New Roman" w:hAnsi="Times New Roman"/>
          <w:noProof/>
          <w:sz w:val="24"/>
        </w:rPr>
        <w:t>.</w:t>
      </w:r>
      <w:r>
        <w:rPr>
          <w:rStyle w:val="FootnoteReference"/>
          <w:rFonts w:ascii="Times New Roman" w:hAnsi="Times New Roman"/>
          <w:noProof/>
        </w:rPr>
        <w:t xml:space="preserve"> </w:t>
      </w:r>
      <w:r>
        <w:rPr>
          <w:rFonts w:ascii="Times New Roman" w:hAnsi="Times New Roman"/>
          <w:noProof/>
          <w:sz w:val="24"/>
        </w:rPr>
        <w:t>В писмото относно мандата, адресирано до Маргрете Вестегер, член на Комисията, отговарящ за конкуренцията, се посочва, че политиката в областта на конкуренцията ще „</w:t>
      </w:r>
      <w:r>
        <w:rPr>
          <w:rFonts w:ascii="Times New Roman" w:hAnsi="Times New Roman"/>
          <w:i/>
          <w:noProof/>
          <w:sz w:val="24"/>
        </w:rPr>
        <w:t>допринесе, там, където е необходимо, за нашата програма за работни места и растеж, включително в области като цифровия единен пазар, енергийната политика, финансовите услуги, промишлената политика и борбата с укриването на данъци“</w:t>
      </w:r>
      <w:r>
        <w:rPr>
          <w:rStyle w:val="FootnoteReference"/>
          <w:rFonts w:ascii="Times New Roman" w:hAnsi="Times New Roman"/>
          <w:noProof/>
          <w:sz w:val="24"/>
        </w:rPr>
        <w:footnoteReference w:id="3"/>
      </w:r>
      <w:r>
        <w:rPr>
          <w:rFonts w:ascii="Times New Roman" w:hAnsi="Times New Roman"/>
          <w:i/>
          <w:noProof/>
          <w:sz w:val="24"/>
        </w:rPr>
        <w:t>.</w:t>
      </w:r>
      <w:r>
        <w:rPr>
          <w:rFonts w:ascii="Times New Roman" w:hAnsi="Times New Roman"/>
          <w:noProof/>
          <w:sz w:val="24"/>
        </w:rPr>
        <w:t xml:space="preserve"> Действително, през 2014</w:t>
      </w:r>
      <w:r>
        <w:rPr>
          <w:rFonts w:ascii="Times New Roman" w:hAnsi="Times New Roman"/>
          <w:noProof/>
          <w:sz w:val="24"/>
          <w:lang w:val="en-GB"/>
        </w:rPr>
        <w:t> </w:t>
      </w:r>
      <w:r>
        <w:rPr>
          <w:rFonts w:ascii="Times New Roman" w:hAnsi="Times New Roman"/>
          <w:noProof/>
          <w:sz w:val="24"/>
        </w:rPr>
        <w:t xml:space="preserve">г. политиката в областта на конкуренцията обхвана всички тези сфери и предостави солидна основа в рамките на общия процес на разработване на политики на Европейската комисия. </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Политиката в областта на конкуренцията може да спомогне за изграждането на истински цифров единен пазар. В основаните на знанието сектори динамичната конкуренция е от жизненоважно значение за стимулиране на иновациите и разпространяване на ползите от технологичното развитие сред гражданите на Европа. Освен това ефективното прилагане на политиката в областта на антитръстовите правила и правилата за сливанията улеснява развитието на малките предприятия и техния достъп до пазари в сектори с доминиращи мрежови ефекти. Накрая, прилагането на правилата за държавна помощ в сектора на широколентовите мрежи допринася за осигуряването на добро покритие на достъпни цени.</w:t>
      </w:r>
    </w:p>
    <w:p>
      <w:pPr>
        <w:spacing w:line="240" w:lineRule="auto"/>
        <w:jc w:val="both"/>
        <w:rPr>
          <w:rFonts w:ascii="Times New Roman" w:hAnsi="Times New Roman"/>
          <w:noProof/>
          <w:sz w:val="24"/>
          <w:szCs w:val="24"/>
        </w:rPr>
      </w:pPr>
      <w:r>
        <w:rPr>
          <w:rFonts w:ascii="Times New Roman" w:hAnsi="Times New Roman"/>
          <w:noProof/>
          <w:sz w:val="24"/>
        </w:rPr>
        <w:t>В енергийния сектор политиката в областта на конкуренцията гарантира, че дружествата не поддържат или не издигат нови бариери с цел да се предпазят от конкуренцията, което възпрепятства създаването на Европейски енергиен съюз. Прилагането на законодателството в областта на конкуренцията също така помага да се гарантира справедлив и недискриминационен достъп до енергийната инфраструктура, премахва пречките пред пазарната интеграция и насърчава конкуренцията между и в рамките на държавите членки. Освен това преработените правила за държавна помощ в областта на енергетиката и околната среда помагат на държавите членки да насочат по-добре своята подкрепа, например към източници на възобновяема енергия, инфраструктурни инвестиции, капацитет за производство на електроенергия или освобождаване на енергоемките потребители от финансирането на подпомагането за възобновяеми източници.</w:t>
      </w:r>
    </w:p>
    <w:p>
      <w:pPr>
        <w:spacing w:line="240" w:lineRule="auto"/>
        <w:jc w:val="both"/>
        <w:rPr>
          <w:rFonts w:ascii="Times New Roman" w:hAnsi="Times New Roman"/>
          <w:noProof/>
          <w:sz w:val="24"/>
          <w:szCs w:val="24"/>
        </w:rPr>
      </w:pPr>
      <w:r>
        <w:rPr>
          <w:rFonts w:ascii="Times New Roman" w:hAnsi="Times New Roman"/>
          <w:noProof/>
          <w:sz w:val="24"/>
        </w:rPr>
        <w:t xml:space="preserve">Комисията е особено бдителна по отношение на финансовите услуги, като нейната главна цел се състои във връщането на един стабилен и по-справедлив финансов сектор обратно към основната му функция за отпускане на кредити за реалната икономика. Създаването на банковия съюз повишава доверието на европейските граждани и на пазарите в европейската банкова система. Действията по правоприлагане в съчетание с </w:t>
      </w:r>
      <w:r>
        <w:rPr>
          <w:rFonts w:ascii="Times New Roman" w:hAnsi="Times New Roman"/>
          <w:noProof/>
          <w:sz w:val="24"/>
        </w:rPr>
        <w:lastRenderedPageBreak/>
        <w:t>регулаторните усилия също така се съсредоточиха върху борбата с антиконкурентните практики при деривативните финансови инструменти и в сектора на плащанията.</w:t>
      </w:r>
    </w:p>
    <w:p>
      <w:pPr>
        <w:spacing w:line="240" w:lineRule="auto"/>
        <w:jc w:val="both"/>
        <w:rPr>
          <w:rFonts w:ascii="Times New Roman" w:hAnsi="Times New Roman"/>
          <w:noProof/>
          <w:sz w:val="24"/>
          <w:szCs w:val="24"/>
        </w:rPr>
      </w:pPr>
      <w:r>
        <w:rPr>
          <w:rFonts w:ascii="Times New Roman" w:hAnsi="Times New Roman"/>
          <w:noProof/>
          <w:sz w:val="24"/>
        </w:rPr>
        <w:t>Промишлената политика се основава на конкурентния и отворен вътрешен пазар като трамплин за световния успех на предприятията в ЕС. Новата рамка за държавна помощ е проектирана така, че да насочва държавната подкрепа там, където тя може да постигне най-голям ефект върху растежа и конкурентоспособността. Освен това през 2014 г. Комисията проведе разследване и наложи санкции на няколко картела в областта на производствените фактори и междинните продукти. Прилагането на антитръстовото законодателство намалява и — благодарение на неговия възпиращ ефект — предотвратява вредата, която картелите причиняват по веригата на доставки в ущърб на международната конкурентоспособност на ЕС.</w:t>
      </w:r>
    </w:p>
    <w:p>
      <w:pPr>
        <w:spacing w:line="240" w:lineRule="auto"/>
        <w:jc w:val="both"/>
        <w:rPr>
          <w:rFonts w:ascii="Times New Roman" w:hAnsi="Times New Roman"/>
          <w:noProof/>
          <w:sz w:val="24"/>
          <w:szCs w:val="24"/>
        </w:rPr>
      </w:pPr>
      <w:r>
        <w:rPr>
          <w:rFonts w:ascii="Times New Roman" w:hAnsi="Times New Roman"/>
          <w:noProof/>
          <w:sz w:val="24"/>
        </w:rPr>
        <w:t xml:space="preserve">Новата Комисия ще продължи да съсредоточава усилията си върху борбата с избягването на данъчно облагане и укриването на </w:t>
      </w:r>
      <w:r>
        <w:rPr>
          <w:rFonts w:ascii="Times New Roman" w:hAnsi="Times New Roman"/>
          <w:noProof/>
          <w:sz w:val="24"/>
          <w:szCs w:val="24"/>
        </w:rPr>
        <w:t>данъци. През 2014 г. Комисията затегна своя контрол над фискалната държавна помощ, като използва инструментите на ЕС в областта на конкуренцията, за да гарантира, че държавите от ЕС не помагат на избрани многонационални компании да избягват плащането на полагащия им се дял данъци.</w:t>
      </w:r>
    </w:p>
    <w:p>
      <w:pPr>
        <w:spacing w:line="240" w:lineRule="auto"/>
        <w:jc w:val="both"/>
        <w:rPr>
          <w:rFonts w:ascii="Times New Roman" w:hAnsi="Times New Roman"/>
          <w:noProof/>
          <w:sz w:val="24"/>
          <w:szCs w:val="24"/>
        </w:rPr>
      </w:pPr>
      <w:r>
        <w:rPr>
          <w:rFonts w:ascii="Times New Roman" w:hAnsi="Times New Roman"/>
          <w:noProof/>
          <w:sz w:val="24"/>
        </w:rPr>
        <w:t>Сериозно постижение в областта на политиката в областта на конкуренцията през 2014 г. беше приемането на Директивата относно исковете за обезщетение за вреди при нарушаване на антитръстовите правила</w:t>
      </w:r>
      <w:r>
        <w:rPr>
          <w:rStyle w:val="FootnoteReference"/>
          <w:rFonts w:ascii="Times New Roman" w:hAnsi="Times New Roman"/>
          <w:noProof/>
          <w:sz w:val="24"/>
        </w:rPr>
        <w:footnoteReference w:id="4"/>
      </w:r>
      <w:r>
        <w:rPr>
          <w:rFonts w:ascii="Times New Roman" w:hAnsi="Times New Roman"/>
          <w:noProof/>
          <w:sz w:val="24"/>
        </w:rPr>
        <w:t>. Представена от Комисията през месец юни 2013 г., директивата беше приета и влезе в сила през 2014 г. Държавите членки трябва да я транспонират до 27 декември 2016 г. Благодарение на директивата европейските граждани и предприятия ще могат по-лесно да получават реални обезщетения за вредите, причинени от антитръстови нарушения, като например картели и злоупотреба с господстващо пазарно положение. Тази директива е първата законодателна инициатива, приета посредством обикновената законодателна процедура в областта на политиката за конкуренция, и тя представлява крайъгълен камък на диалога по въпросите на конкуренцията между Комисията и другите институции на ЕС.</w:t>
      </w:r>
    </w:p>
    <w:p>
      <w:pPr>
        <w:keepNext/>
        <w:spacing w:line="240" w:lineRule="auto"/>
        <w:rPr>
          <w:rFonts w:ascii="Times New Roman" w:hAnsi="Times New Roman"/>
          <w:b/>
          <w:caps/>
          <w:noProof/>
          <w:sz w:val="24"/>
        </w:rPr>
      </w:pPr>
      <w:r>
        <w:rPr>
          <w:rFonts w:ascii="Times New Roman" w:hAnsi="Times New Roman"/>
          <w:b/>
          <w:caps/>
          <w:noProof/>
          <w:sz w:val="24"/>
        </w:rPr>
        <w:t>2. Към изграждането на свързан цифров единен пазар</w:t>
      </w:r>
    </w:p>
    <w:p>
      <w:pPr>
        <w:spacing w:line="240" w:lineRule="auto"/>
        <w:jc w:val="both"/>
        <w:rPr>
          <w:rFonts w:ascii="Times New Roman" w:hAnsi="Times New Roman"/>
          <w:noProof/>
          <w:sz w:val="24"/>
          <w:szCs w:val="24"/>
        </w:rPr>
      </w:pPr>
      <w:r>
        <w:rPr>
          <w:rFonts w:ascii="Times New Roman" w:hAnsi="Times New Roman"/>
          <w:noProof/>
          <w:sz w:val="24"/>
        </w:rPr>
        <w:t xml:space="preserve">Цифровата икономика е от първостепенно значение за растежа и конкурентоспособността на Европа в бъдеще. </w:t>
      </w:r>
      <w:r>
        <w:rPr>
          <w:rFonts w:ascii="Times New Roman" w:hAnsi="Times New Roman"/>
          <w:noProof/>
        </w:rPr>
        <w:t xml:space="preserve">Завършването на цифровия единен пазар ще стимулира иновациите и растежа в </w:t>
      </w:r>
      <w:r>
        <w:rPr>
          <w:rFonts w:ascii="Times New Roman" w:hAnsi="Times New Roman"/>
          <w:noProof/>
          <w:sz w:val="24"/>
          <w:szCs w:val="24"/>
        </w:rPr>
        <w:t>много други сектори, като например енергетиката, транспорта, обществените услуги, здравеопазването и образованието</w:t>
      </w:r>
      <w:r>
        <w:rPr>
          <w:rStyle w:val="FootnoteReference"/>
          <w:rFonts w:ascii="Times New Roman" w:hAnsi="Times New Roman"/>
          <w:noProof/>
          <w:sz w:val="24"/>
        </w:rPr>
        <w:footnoteReference w:id="5"/>
      </w:r>
      <w:r>
        <w:rPr>
          <w:rFonts w:ascii="Times New Roman" w:hAnsi="Times New Roman"/>
          <w:noProof/>
        </w:rPr>
        <w:t>.</w:t>
      </w:r>
      <w:r>
        <w:rPr>
          <w:rFonts w:ascii="Times New Roman" w:hAnsi="Times New Roman"/>
          <w:noProof/>
          <w:sz w:val="24"/>
        </w:rPr>
        <w:t xml:space="preserve"> Истинският цифров единен пазар ще генерира също така растеж в нови сектори и ще създаде качествени работни места. Колкото повече напредва интеграцията на цифровия единен пазар, толкова по-голяма е необходимостта политиката на ЕС в областта на </w:t>
      </w:r>
      <w:r>
        <w:rPr>
          <w:rFonts w:ascii="Times New Roman" w:hAnsi="Times New Roman"/>
          <w:noProof/>
          <w:sz w:val="24"/>
        </w:rPr>
        <w:lastRenderedPageBreak/>
        <w:t>конкуренцията да гарантира справедливи и равни условия в сферата на цифровите технологии в целия ЕС.</w:t>
      </w:r>
    </w:p>
    <w:p>
      <w:pPr>
        <w:keepNext/>
        <w:spacing w:line="240" w:lineRule="auto"/>
        <w:jc w:val="both"/>
        <w:rPr>
          <w:rFonts w:ascii="Times New Roman" w:hAnsi="Times New Roman"/>
          <w:i/>
          <w:noProof/>
          <w:sz w:val="24"/>
          <w:szCs w:val="24"/>
        </w:rPr>
      </w:pPr>
      <w:r>
        <w:rPr>
          <w:rFonts w:ascii="Times New Roman" w:hAnsi="Times New Roman"/>
          <w:i/>
          <w:noProof/>
          <w:sz w:val="24"/>
        </w:rPr>
        <w:t>Полагане на основите на единния цифров пазар: насърчаване на развитието на инфраструктурата и конкурентни пазари за широколентови и далекосъобщителни мрежи</w:t>
      </w:r>
    </w:p>
    <w:p>
      <w:pPr>
        <w:spacing w:line="240" w:lineRule="auto"/>
        <w:jc w:val="both"/>
        <w:rPr>
          <w:rFonts w:ascii="Times New Roman" w:hAnsi="Times New Roman"/>
          <w:noProof/>
          <w:sz w:val="24"/>
          <w:szCs w:val="24"/>
        </w:rPr>
      </w:pPr>
      <w:r>
        <w:rPr>
          <w:rFonts w:ascii="Times New Roman" w:hAnsi="Times New Roman"/>
          <w:noProof/>
          <w:sz w:val="24"/>
        </w:rPr>
        <w:t xml:space="preserve">Цифровизацията на нашата икономика изисква значителни инвестиции във високоскоростни мрежи („от следващо поколение“). Конкуренцията и потребителското търсене са важни двигатели на инвестициите и схемите в държавите членки оказаха допълнителен принос за реконструкцията и модернизацията на инфраструктурата. Поради съществуващата пазарна неефективност по отношение на единното разгръщане на широколентовите мрежи между различните региони държавната помощ ще продължи да играе важна роля в този сектор. </w:t>
      </w:r>
      <w:r>
        <w:rPr>
          <w:rFonts w:ascii="Times New Roman" w:hAnsi="Times New Roman"/>
          <w:noProof/>
          <w:color w:val="000000"/>
          <w:sz w:val="24"/>
        </w:rPr>
        <w:t xml:space="preserve">През последните три години Комисията одобри държавна помощ за широколентов достъп за над 10 милиарда евро. Тази сума обаче не включва всички държавни помощи за този сектор, тъй като не всички държавни мерки попадат в определението за държавна помощ съгласно член 107, параграф 1 от ДФЕС. </w:t>
      </w:r>
      <w:r>
        <w:rPr>
          <w:rFonts w:ascii="Times New Roman" w:hAnsi="Times New Roman"/>
          <w:noProof/>
          <w:sz w:val="24"/>
        </w:rPr>
        <w:t>Освен финансирането от държавите членки се предоставя допълнително финансиране от ЕС.</w:t>
      </w:r>
    </w:p>
    <w:p>
      <w:pPr>
        <w:spacing w:line="240" w:lineRule="auto"/>
        <w:jc w:val="both"/>
        <w:rPr>
          <w:rFonts w:ascii="Times New Roman" w:hAnsi="Times New Roman"/>
          <w:noProof/>
          <w:sz w:val="24"/>
          <w:szCs w:val="24"/>
        </w:rPr>
      </w:pPr>
      <w:r>
        <w:rPr>
          <w:rFonts w:ascii="Times New Roman" w:hAnsi="Times New Roman"/>
          <w:noProof/>
          <w:sz w:val="24"/>
        </w:rPr>
        <w:t>Въпреки това такива публични инвестиции трябва да се осъществяват внимателно в районите, които не се обслужват от пазара. В противен случай има риск те да изтласкат частните инвестиции. Контролът върху държавната помощ трябва също така да гарантира, че е спазен принципът на технологична неутралност, а именно, че успешната технология не се определя предварително чрез публична намеса, а се избира от потребителите според нейните качества — т.е. от конкуренцията на пазара. Неотдавна правилата за държавна помощ бяха преразгледани, за да се осигури подходяща аналитична рамка. Новата рамка за държавна помощ включва Насоките за широколентовата инфраструктура от 2013 г.</w:t>
      </w:r>
      <w:r>
        <w:rPr>
          <w:rStyle w:val="FootnoteReference"/>
          <w:rFonts w:ascii="Times New Roman" w:hAnsi="Times New Roman"/>
          <w:noProof/>
          <w:sz w:val="24"/>
        </w:rPr>
        <w:footnoteReference w:id="6"/>
      </w:r>
      <w:r>
        <w:rPr>
          <w:rFonts w:ascii="Times New Roman" w:hAnsi="Times New Roman"/>
          <w:noProof/>
          <w:sz w:val="24"/>
        </w:rPr>
        <w:t>, които привеждат правилата за държавна помощ за широколентови мрежи в съответствие с целите на Програмата в областта на цифровите технологии, и Общия регламент за групово освобождаване (ОРГО)</w:t>
      </w:r>
      <w:r>
        <w:rPr>
          <w:rStyle w:val="FootnoteReference"/>
          <w:rFonts w:ascii="Times New Roman" w:hAnsi="Times New Roman"/>
          <w:noProof/>
          <w:sz w:val="24"/>
        </w:rPr>
        <w:footnoteReference w:id="7"/>
      </w:r>
      <w:r>
        <w:rPr>
          <w:rFonts w:ascii="Times New Roman" w:hAnsi="Times New Roman"/>
          <w:noProof/>
          <w:sz w:val="24"/>
        </w:rPr>
        <w:t>, приет през 2014 г., който включва някои помощи за широколентова инфраструктура.</w:t>
      </w:r>
    </w:p>
    <w:p>
      <w:pPr>
        <w:spacing w:line="240" w:lineRule="auto"/>
        <w:jc w:val="both"/>
        <w:rPr>
          <w:rFonts w:ascii="Times New Roman" w:hAnsi="Times New Roman"/>
          <w:noProof/>
          <w:sz w:val="24"/>
        </w:rPr>
      </w:pPr>
      <w:r>
        <w:rPr>
          <w:rFonts w:ascii="Times New Roman" w:hAnsi="Times New Roman"/>
          <w:noProof/>
          <w:sz w:val="24"/>
        </w:rPr>
        <w:t>Комисията също така гарантира, че широколентовите и мобилните мрежи остават отворени и конкурентни, което е задължително условие за изграждането на динамичен единен цифров пазар. Вследствие на задълбочено разследване през октомври Комисията наложи глоба от близо 39 милиона евро солидарно на Slovak Telekom и на неговото дружество майка, Deutsche Telekom, за това, че в продължение на повече от пет години са изпълнявали стратегия на злоупотреба, имаща за цел да не се позволява навлизането на конкуренти на словашкия пазар за широколентови услуги в нарушение на антитръстовите правила на ЕС</w:t>
      </w:r>
      <w:r>
        <w:rPr>
          <w:rStyle w:val="FootnoteReference"/>
          <w:rFonts w:ascii="Times New Roman" w:hAnsi="Times New Roman"/>
          <w:noProof/>
          <w:sz w:val="24"/>
        </w:rPr>
        <w:footnoteReference w:id="8"/>
      </w:r>
      <w:r>
        <w:rPr>
          <w:rFonts w:ascii="Times New Roman" w:hAnsi="Times New Roman"/>
          <w:noProof/>
          <w:sz w:val="24"/>
        </w:rPr>
        <w:t>. По-специално Комисията заключи, че Slovak Telekom е отказало да предостави на своите конкуренти необвързан достъп до абонатните линии, и е наложило свиване на маржовете спрямо алтернативните оператори. На Deutsche Telekom беше наложена и допълнителна глоба в размер на 31 млн. EUR с цел да се осигури достатъчен възпиращ ефект, както и за да бъде санкционирано за многобройните му злоупотреби (повторно нарушение), тъй като през 2003 г. вече му беше наложена глоба за свиване на маржовете на пазарите на услуги за широколентов достъп в Германия</w:t>
      </w:r>
      <w:r>
        <w:rPr>
          <w:rStyle w:val="FootnoteReference"/>
          <w:rFonts w:ascii="Times New Roman" w:hAnsi="Times New Roman"/>
          <w:noProof/>
          <w:sz w:val="24"/>
        </w:rPr>
        <w:footnoteReference w:id="9"/>
      </w:r>
      <w:r>
        <w:rPr>
          <w:rFonts w:ascii="Times New Roman" w:hAnsi="Times New Roman"/>
          <w:noProof/>
          <w:sz w:val="24"/>
        </w:rPr>
        <w:t>.</w:t>
      </w:r>
    </w:p>
    <w:p>
      <w:pPr>
        <w:spacing w:line="240" w:lineRule="auto"/>
        <w:jc w:val="both"/>
        <w:rPr>
          <w:rFonts w:ascii="Times New Roman" w:hAnsi="Times New Roman"/>
          <w:noProof/>
          <w:sz w:val="24"/>
        </w:rPr>
      </w:pPr>
      <w:r>
        <w:rPr>
          <w:rFonts w:ascii="Times New Roman" w:hAnsi="Times New Roman"/>
          <w:noProof/>
          <w:sz w:val="24"/>
        </w:rPr>
        <w:t>Здравословната конкуренция на пазара на мобилни телекомуникационни услуги е особено важна за европейските потребители, които и за в бъдеще следва да могат да се ползват от подобрени услуги на привлекателни цени. След като проведе задълбочени разследвания, през лятото на 2014 г. Комисията условно разреши две сливания между оператори на мобилни мрежи в Ирландия (Hutchison 3G UK/Telefónica Ireland)</w:t>
      </w:r>
      <w:r>
        <w:rPr>
          <w:rStyle w:val="Caratteredellanota"/>
          <w:rFonts w:ascii="Times New Roman" w:hAnsi="Times New Roman"/>
          <w:noProof/>
          <w:sz w:val="24"/>
        </w:rPr>
        <w:footnoteReference w:id="10"/>
      </w:r>
      <w:r>
        <w:rPr>
          <w:rFonts w:ascii="Times New Roman" w:hAnsi="Times New Roman"/>
          <w:noProof/>
          <w:sz w:val="24"/>
        </w:rPr>
        <w:t xml:space="preserve"> и Германия (Telefónica Deutschland/E-Plus)</w:t>
      </w:r>
      <w:r>
        <w:rPr>
          <w:rStyle w:val="Caratteredellanota"/>
          <w:rFonts w:ascii="Times New Roman" w:hAnsi="Times New Roman"/>
          <w:noProof/>
          <w:sz w:val="24"/>
        </w:rPr>
        <w:footnoteReference w:id="11"/>
      </w:r>
      <w:r>
        <w:rPr>
          <w:rFonts w:ascii="Times New Roman" w:hAnsi="Times New Roman"/>
          <w:noProof/>
          <w:sz w:val="24"/>
        </w:rPr>
        <w:t xml:space="preserve">. Корективните мерки в тези случаи гарантираха, че конкуренцията между участниците на пазара ще се запази, както чрез навлизането на пазара на така наречените оператори на виртуални мобилни мрежи — оператори, които не са собственици на мрежата, а използват мрежата на друг оператор, за да предоставят услуги на своите клиенти, или чрез разширяването на тяхната дейност, така и чрез осигуряването на възможности за навлизането на пазара на нов мрежов оператор в бъдеще. </w:t>
      </w:r>
    </w:p>
    <w:p>
      <w:pPr>
        <w:keepNext/>
        <w:spacing w:line="240" w:lineRule="auto"/>
        <w:jc w:val="both"/>
        <w:rPr>
          <w:rFonts w:ascii="Times New Roman" w:hAnsi="Times New Roman"/>
          <w:i/>
          <w:noProof/>
          <w:sz w:val="24"/>
          <w:szCs w:val="24"/>
        </w:rPr>
      </w:pPr>
      <w:r>
        <w:rPr>
          <w:rFonts w:ascii="Times New Roman" w:hAnsi="Times New Roman"/>
          <w:i/>
          <w:noProof/>
          <w:sz w:val="24"/>
        </w:rPr>
        <w:t>В крак с времето: политиката в областта на конкуренцията в сферата на интелигентните устройства и онлайн услугите</w:t>
      </w:r>
    </w:p>
    <w:p>
      <w:pPr>
        <w:spacing w:line="240" w:lineRule="auto"/>
        <w:jc w:val="both"/>
        <w:rPr>
          <w:rFonts w:ascii="Times New Roman" w:hAnsi="Times New Roman"/>
          <w:noProof/>
          <w:sz w:val="24"/>
          <w:szCs w:val="24"/>
        </w:rPr>
      </w:pPr>
      <w:r>
        <w:rPr>
          <w:rFonts w:ascii="Times New Roman" w:hAnsi="Times New Roman"/>
          <w:noProof/>
          <w:sz w:val="24"/>
        </w:rPr>
        <w:t>Интелигентните мобилни устройства играят все по-важна роля в цифровата икономика. През 2014 г. за пръв път по-голям брой потребители са използвали интернет чрез интелигентни мобилни устройства, отколкото чрез компютри. В тази област Комисията започна предварително разследване относно търговските практики на Google, свързани с мобилната операционна система Android вследствие на получени жалби за потенциална злоупотреба с господстващо положение. Android на Google е водещата операционна система за смартфоните.</w:t>
      </w:r>
    </w:p>
    <w:p>
      <w:pPr>
        <w:spacing w:line="240" w:lineRule="auto"/>
        <w:jc w:val="both"/>
        <w:rPr>
          <w:rFonts w:ascii="Times New Roman" w:hAnsi="Times New Roman"/>
          <w:noProof/>
          <w:sz w:val="24"/>
        </w:rPr>
      </w:pPr>
      <w:r>
        <w:rPr>
          <w:rFonts w:ascii="Times New Roman" w:hAnsi="Times New Roman"/>
          <w:noProof/>
          <w:sz w:val="24"/>
        </w:rPr>
        <w:t>През октомври Комисията одобри в съответствие с Регламента за сливанията на ЕС предложението за придобиване на WhatsApp от страна на Facebook. Facebook (чрез Facebook Messenger) и WhatsApp предлагат приложения за смартфони, които позволяват на потребителите да общуват чрез изпращане на текстови съобщения, снимки, гласови и видео съобщения. Сливането беше одобрено безусловно, по-специално предвид на динамичната същност на пазара, ниските бариери за навлизане на пазара и достатъчната оставаща конкуренция</w:t>
      </w:r>
      <w:r>
        <w:rPr>
          <w:rStyle w:val="FootnoteReference"/>
          <w:rFonts w:ascii="Times New Roman" w:hAnsi="Times New Roman"/>
          <w:noProof/>
          <w:sz w:val="24"/>
        </w:rPr>
        <w:footnoteReference w:id="12"/>
      </w:r>
      <w:r>
        <w:rPr>
          <w:rFonts w:ascii="Times New Roman" w:hAnsi="Times New Roman"/>
          <w:noProof/>
          <w:sz w:val="24"/>
        </w:rPr>
        <w:t>. Разследването на Комисията се съсредоточи върху три области: битовите комуникационни услуги, услугите на социалните мрежи и онлайн рекламни услуги.</w:t>
      </w:r>
    </w:p>
    <w:p>
      <w:pPr>
        <w:spacing w:line="240" w:lineRule="auto"/>
        <w:jc w:val="both"/>
        <w:rPr>
          <w:rFonts w:ascii="Times New Roman" w:hAnsi="Times New Roman"/>
          <w:noProof/>
          <w:sz w:val="24"/>
        </w:rPr>
      </w:pPr>
      <w:r>
        <w:rPr>
          <w:rFonts w:ascii="Times New Roman" w:hAnsi="Times New Roman"/>
          <w:noProof/>
          <w:sz w:val="24"/>
        </w:rPr>
        <w:t>Важна характеристика на областта на интелигентните мобилни устройства са процедурите за създаване на стандарти и оперативната съвместимост. В този контекст през април Комисията прие две важни решения относно прилагането на патенти от съществено значение за стандарт (SEP): решение за забрана срещу Motorola Mobility</w:t>
      </w:r>
      <w:r>
        <w:rPr>
          <w:rStyle w:val="FootnoteReference"/>
          <w:rFonts w:ascii="Times New Roman" w:hAnsi="Times New Roman"/>
          <w:noProof/>
          <w:sz w:val="24"/>
        </w:rPr>
        <w:footnoteReference w:id="13"/>
      </w:r>
      <w:r>
        <w:rPr>
          <w:rFonts w:ascii="Times New Roman" w:hAnsi="Times New Roman"/>
          <w:noProof/>
          <w:sz w:val="24"/>
        </w:rPr>
        <w:t xml:space="preserve"> и решение за поемане на ангажименти по отношение на Samsung</w:t>
      </w:r>
      <w:r>
        <w:rPr>
          <w:rStyle w:val="FootnoteReference"/>
          <w:rFonts w:ascii="Times New Roman" w:hAnsi="Times New Roman"/>
          <w:noProof/>
          <w:sz w:val="24"/>
        </w:rPr>
        <w:footnoteReference w:id="14"/>
      </w:r>
      <w:r>
        <w:rPr>
          <w:rFonts w:ascii="Times New Roman" w:hAnsi="Times New Roman"/>
          <w:noProof/>
          <w:sz w:val="24"/>
        </w:rPr>
        <w:t xml:space="preserve">. SEP са патенти от съществено значение за прилагането на определен промишлен стандарт. Не е възможно от техническа гледна точка да се произведе отговарящ на стандартите продукт, като например смартфон, без да се използва технологията, която е защитена от SEP. Като </w:t>
      </w:r>
      <w:r>
        <w:rPr>
          <w:rFonts w:ascii="Times New Roman" w:hAnsi="Times New Roman"/>
          <w:i/>
          <w:noProof/>
          <w:sz w:val="24"/>
        </w:rPr>
        <w:t>quid pro quo</w:t>
      </w:r>
      <w:r>
        <w:rPr>
          <w:rFonts w:ascii="Times New Roman" w:hAnsi="Times New Roman"/>
          <w:noProof/>
          <w:sz w:val="24"/>
        </w:rPr>
        <w:t xml:space="preserve"> за включването на патентите си в съответните стандарти Motorola и Samsung бяха поели ангажимент да ги лицензират при справедливи, приемливи и недискриминационни условия („FRAND“). Целта на Комисията е да гарантира максимални ползи от стандартизацията, като същевременно се гарантира справедливо възнаграждение за притежателите на права върху интелектуална собственост.</w:t>
      </w:r>
    </w:p>
    <w:p>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noProof/>
          <w:sz w:val="20"/>
          <w:szCs w:val="20"/>
        </w:rPr>
      </w:pPr>
      <w:r>
        <w:rPr>
          <w:rFonts w:ascii="Times New Roman" w:hAnsi="Times New Roman"/>
          <w:b/>
          <w:noProof/>
          <w:sz w:val="20"/>
        </w:rPr>
        <w:t>Прилагане на антитръстовото законодателство в областта на патентите от съществено значение за стандарт (SEP)</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0"/>
          <w:szCs w:val="20"/>
        </w:rPr>
      </w:pPr>
      <w:r>
        <w:rPr>
          <w:rFonts w:ascii="Times New Roman" w:hAnsi="Times New Roman"/>
          <w:noProof/>
          <w:sz w:val="20"/>
        </w:rPr>
        <w:t>В своето решение за забрана срещу Motorola Mobility Комисията констатира, че Motorola е злоупотребило с господстващото си положение, като е подало иск за забрана срещу Apple в Германия на основание на SEP, въпреки че Apple е било склонно да приеме лиценз и лицензионни условия, определени от германски съд.</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0"/>
          <w:szCs w:val="20"/>
        </w:rPr>
      </w:pPr>
      <w:r>
        <w:rPr>
          <w:rFonts w:ascii="Times New Roman" w:hAnsi="Times New Roman"/>
          <w:noProof/>
          <w:sz w:val="20"/>
        </w:rPr>
        <w:t>В подобен случай Комисията направи правно обвързващи ангажиментите, предложени от Samsung за преодоляване на опасенията по отношение на конкуренцията, изразени от Комисията в изложение на възраженията от месец декември 2012 г. Съгласно поетите ангажименти Samsung се задължава в продължение на пет години да не подава искове в Европейското икономическо пространство въз основа на своите SEP, било то настоящи, или бъдещи, които са свързани с технологии, използвани в смартфоните и таблетите, срещу всеки потенциален притежател на лиценз, който се съгласи да спазва определен процес за определяне от независима трета страна на подходящи лицензионни възнаграждения при справедливи, приемливи и недискриминационни условия.</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rPr>
        <w:t>Решенията предоставят насоки за всички заинтересовани страни относно тълкуването на антитръстовите правила на ЕС в областта на взаимодействието между патентното право, правото в областта на конкуренцията и стандартизацията.</w:t>
      </w:r>
    </w:p>
    <w:p>
      <w:pPr>
        <w:spacing w:line="240" w:lineRule="auto"/>
        <w:jc w:val="both"/>
        <w:rPr>
          <w:rFonts w:ascii="Times New Roman" w:hAnsi="Times New Roman"/>
          <w:noProof/>
          <w:sz w:val="24"/>
          <w:szCs w:val="24"/>
        </w:rPr>
      </w:pPr>
      <w:r>
        <w:rPr>
          <w:rFonts w:ascii="Times New Roman" w:hAnsi="Times New Roman"/>
          <w:noProof/>
          <w:sz w:val="24"/>
        </w:rPr>
        <w:t>Текущите разследвания в сектора включват предполагаемите практики на злоупотреба от страна на Qualcomm, водещ разработчик на продукти и услуги, функциониращи с безжични технологии. Съответните продукти са чипове, използвани в мобилни телефони и мобилни широколентови устройства.</w:t>
      </w:r>
      <w:r>
        <w:rPr>
          <w:rFonts w:ascii="Times New Roman" w:hAnsi="Times New Roman"/>
          <w:noProof/>
        </w:rPr>
        <w:t xml:space="preserve"> </w:t>
      </w:r>
      <w:r>
        <w:rPr>
          <w:rFonts w:ascii="Times New Roman" w:hAnsi="Times New Roman"/>
          <w:noProof/>
          <w:sz w:val="24"/>
        </w:rPr>
        <w:t>Разследването е в начален стадий и подсилва ангажимента на Комисията да гарантира запазването на конкурентоспособността на тези пазари.</w:t>
      </w:r>
    </w:p>
    <w:p>
      <w:pPr>
        <w:spacing w:line="240" w:lineRule="auto"/>
        <w:jc w:val="both"/>
        <w:rPr>
          <w:rFonts w:ascii="Times New Roman" w:hAnsi="Times New Roman"/>
          <w:noProof/>
          <w:sz w:val="24"/>
          <w:szCs w:val="24"/>
        </w:rPr>
      </w:pPr>
      <w:r>
        <w:rPr>
          <w:rFonts w:ascii="Times New Roman" w:hAnsi="Times New Roman"/>
          <w:noProof/>
          <w:sz w:val="24"/>
        </w:rPr>
        <w:t>Във все по-важната област на онлайн услугите Комисията продължи своето разследване на някои от търговските практики на Google</w:t>
      </w:r>
      <w:r>
        <w:rPr>
          <w:rStyle w:val="FootnoteReference"/>
          <w:rFonts w:ascii="Times New Roman" w:hAnsi="Times New Roman"/>
          <w:noProof/>
          <w:sz w:val="24"/>
        </w:rPr>
        <w:footnoteReference w:id="15"/>
      </w:r>
      <w:r>
        <w:rPr>
          <w:rFonts w:ascii="Times New Roman" w:hAnsi="Times New Roman"/>
          <w:noProof/>
          <w:sz w:val="24"/>
        </w:rPr>
        <w:t xml:space="preserve">. Разследването е свързано с опасения, че Google може да злоупотребява със своето господстващо положение на пазарите за търсене в мрежата, рекламиране при онлайн търсене и посредничество за рекламиране при онлайн търсене (т.е. показване на реклами на търсенето на Google в партньорски страници) в Европейското икономическо пространство. </w:t>
      </w:r>
      <w:r>
        <w:rPr>
          <w:rFonts w:ascii="Times New Roman" w:hAnsi="Times New Roman"/>
          <w:noProof/>
        </w:rPr>
        <w:t>Твърденията относно други аспекти, свързани с търсачките, като например неприкосновеността на личния живот и медийния плурализъм не са обхванати от разследването, което се съсредоточава единствено върху въпросите, свързани с конкуренцията.</w:t>
      </w:r>
    </w:p>
    <w:p>
      <w:pPr>
        <w:spacing w:line="240" w:lineRule="auto"/>
        <w:jc w:val="both"/>
        <w:rPr>
          <w:rFonts w:ascii="Times New Roman" w:hAnsi="Times New Roman"/>
          <w:i/>
          <w:noProof/>
          <w:sz w:val="24"/>
        </w:rPr>
      </w:pPr>
      <w:r>
        <w:rPr>
          <w:rFonts w:ascii="Times New Roman" w:hAnsi="Times New Roman"/>
          <w:noProof/>
          <w:sz w:val="24"/>
        </w:rPr>
        <w:t>Цифровият единен пазар се нуждае също така и от надеждни и ефективни онлайн плащания. Основното средство за извършване на онлайн плащания понастоящем са разплащателните карти, въпреки че на пазарите започват да навлизат нови методи. По отношение на разплащателните карти Комисията продължава своята работа в рамките на правилата за конкуренция за постигане на по-ниски обменни такси (вж. раздел „Финансови услуги“ по-долу). Също така, в края на 2014</w:t>
      </w:r>
      <w:r>
        <w:rPr>
          <w:rFonts w:ascii="Times New Roman" w:hAnsi="Times New Roman"/>
          <w:noProof/>
          <w:sz w:val="24"/>
          <w:lang w:val="en-GB"/>
        </w:rPr>
        <w:t> </w:t>
      </w:r>
      <w:r>
        <w:rPr>
          <w:rFonts w:ascii="Times New Roman" w:hAnsi="Times New Roman"/>
          <w:noProof/>
          <w:sz w:val="24"/>
        </w:rPr>
        <w:t>г. беше постигнато политическо споразумение за регламент относно обменните такси, с който ще бъдат въведени по-ниски обменни такси за плащания с потребителски разплащателни карти (и мобилни и интернет плащания на основата на потребителски карти) до равнища, които са били договорени също и от международните платежни картови системи под формата на ангажименти по изпълнителни производства в областта на антитръстовите правила.</w:t>
      </w:r>
    </w:p>
    <w:p>
      <w:pPr>
        <w:keepNext/>
        <w:spacing w:line="240" w:lineRule="auto"/>
        <w:jc w:val="both"/>
        <w:rPr>
          <w:rFonts w:ascii="Times New Roman" w:hAnsi="Times New Roman"/>
          <w:i/>
          <w:noProof/>
          <w:sz w:val="24"/>
        </w:rPr>
      </w:pPr>
      <w:r>
        <w:rPr>
          <w:rFonts w:ascii="Times New Roman" w:hAnsi="Times New Roman"/>
          <w:i/>
          <w:noProof/>
          <w:sz w:val="24"/>
        </w:rPr>
        <w:t>Съчетаване на регулирането и прилагането на правото в областта на конкуренцията в сферата на интелектуалната собственост: развития в областта на авторското право, цифровото съдържание и споразуменията за трансфер на технологии</w:t>
      </w:r>
    </w:p>
    <w:p>
      <w:pPr>
        <w:spacing w:line="240" w:lineRule="auto"/>
        <w:jc w:val="both"/>
        <w:rPr>
          <w:rFonts w:ascii="Times New Roman" w:hAnsi="Times New Roman"/>
          <w:noProof/>
          <w:sz w:val="24"/>
        </w:rPr>
      </w:pPr>
      <w:r>
        <w:rPr>
          <w:rFonts w:ascii="Times New Roman" w:hAnsi="Times New Roman"/>
          <w:noProof/>
          <w:sz w:val="24"/>
        </w:rPr>
        <w:t>Комисията проучва законодателната рамка за авторско право на ЕС, за да гарантира нейната актуалност в цифровата ера. Въпросите, свързани с авторското право, са от основно значение за създаването на единен цифров пазар: изготвящите политиките трябва да гарантират, че системата от права, ограниченията на правата и правоприлагането продължават да бъдат подходящи и са адаптирани към новата среда. Въпросите, които са предмет на обсъждане, включват териториалността на авторското право и възможните начини за преодоляване на нейното отрицателно въздействие върху единния пазар.</w:t>
      </w:r>
    </w:p>
    <w:p>
      <w:pPr>
        <w:spacing w:line="240" w:lineRule="auto"/>
        <w:jc w:val="both"/>
        <w:rPr>
          <w:rFonts w:ascii="Times New Roman" w:hAnsi="Times New Roman"/>
          <w:noProof/>
          <w:sz w:val="24"/>
        </w:rPr>
      </w:pPr>
      <w:r>
        <w:rPr>
          <w:rFonts w:ascii="Times New Roman" w:hAnsi="Times New Roman"/>
          <w:noProof/>
          <w:sz w:val="24"/>
        </w:rPr>
        <w:t>През януари 2014</w:t>
      </w:r>
      <w:r>
        <w:rPr>
          <w:rFonts w:ascii="Times New Roman" w:hAnsi="Times New Roman"/>
          <w:noProof/>
          <w:sz w:val="24"/>
          <w:lang w:val="en-GB"/>
        </w:rPr>
        <w:t> </w:t>
      </w:r>
      <w:r>
        <w:rPr>
          <w:rFonts w:ascii="Times New Roman" w:hAnsi="Times New Roman"/>
          <w:noProof/>
          <w:sz w:val="24"/>
        </w:rPr>
        <w:t>г. Комисията започна официална процедура срещу няколко от най-големите американски филмови студия и европейски оператори на платена телевизия. Предмет на проучването на Комисията в рамките на тези процедури е дали определени клаузи относно сателитното разпространение на платена телевизия и онлайн услугите за платена телевизия възпрепятстват трансграничния достъп на потребителите до платени телевизионни програми</w:t>
      </w:r>
      <w:r>
        <w:rPr>
          <w:rStyle w:val="FootnoteReference"/>
          <w:rFonts w:ascii="Times New Roman" w:hAnsi="Times New Roman"/>
          <w:noProof/>
          <w:sz w:val="24"/>
        </w:rPr>
        <w:footnoteReference w:id="16"/>
      </w:r>
      <w:r>
        <w:rPr>
          <w:rFonts w:ascii="Times New Roman" w:hAnsi="Times New Roman"/>
          <w:noProof/>
          <w:sz w:val="24"/>
        </w:rPr>
        <w:t>.</w:t>
      </w:r>
    </w:p>
    <w:p>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noProof/>
          <w:sz w:val="20"/>
          <w:szCs w:val="20"/>
        </w:rPr>
      </w:pPr>
      <w:r>
        <w:rPr>
          <w:rFonts w:ascii="Times New Roman" w:hAnsi="Times New Roman"/>
          <w:b/>
          <w:noProof/>
          <w:sz w:val="20"/>
        </w:rPr>
        <w:t>В подкрепа на разпространението на иновациите: нови антитръстови правила относно споразуменията за трансфер на технологии</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0"/>
          <w:szCs w:val="20"/>
        </w:rPr>
      </w:pPr>
      <w:r>
        <w:rPr>
          <w:rFonts w:ascii="Times New Roman" w:hAnsi="Times New Roman"/>
          <w:noProof/>
          <w:sz w:val="20"/>
        </w:rPr>
        <w:t>През март Комисията прие нови правила за оценка на споразуменията за трансфер на технологии съгласно антитръстовите правила на ЕС. Те включват преразгледания Регламент за групово освобождаване на трансфер на технологии (TTBER), който освобождава някои лицензионни споразумения от спазването на член 101 от ДФЕС, и насоките за трансфера на технологии, в които се предоставят допълнителни насоки относно прилагането на правилата</w:t>
      </w:r>
      <w:r>
        <w:rPr>
          <w:rStyle w:val="FootnoteReference"/>
          <w:rFonts w:ascii="Times New Roman" w:hAnsi="Times New Roman"/>
          <w:noProof/>
          <w:sz w:val="20"/>
        </w:rPr>
        <w:footnoteReference w:id="17"/>
      </w:r>
      <w:r>
        <w:rPr>
          <w:rFonts w:ascii="Times New Roman" w:hAnsi="Times New Roman"/>
          <w:noProof/>
          <w:sz w:val="20"/>
        </w:rPr>
        <w:t>. Новите правила заменят предишните TTBER и насоките от 1 май 2014 г.</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rPr>
        <w:t>Лицензионните споразумения могат да благоприятстват икономиката по няколко начина, поради това че те: i) спомагат за разпространението на иновациите, ii) позволяват на дружествата да предлагат нови продукти и услуги, iii) насърчават последващи иновации, iv) засилват инициативите за научни изследвания и развитие, като създават допълнителен приток на приходи за възстановяване на разходите. Преразгледаният режим продължава да отразява факта, че в повечето случаи лицензирането е в полза на конкуренцията. Новите правила предоставят по-ясни насоки за това как предприятията да лицензират така, че да се стимулират иновациите и да се запазят равнопоставени условия на конкуренция в рамките на единния пазар.</w:t>
      </w:r>
    </w:p>
    <w:p>
      <w:pPr>
        <w:keepNext/>
        <w:spacing w:line="240" w:lineRule="auto"/>
        <w:jc w:val="both"/>
        <w:rPr>
          <w:rFonts w:ascii="Times New Roman" w:hAnsi="Times New Roman"/>
          <w:b/>
          <w:caps/>
          <w:noProof/>
          <w:sz w:val="24"/>
        </w:rPr>
      </w:pPr>
      <w:r>
        <w:rPr>
          <w:rFonts w:ascii="Times New Roman" w:hAnsi="Times New Roman"/>
          <w:b/>
          <w:caps/>
          <w:noProof/>
          <w:sz w:val="24"/>
        </w:rPr>
        <w:t xml:space="preserve">3. По-добро функциониране на пазарите на енергия </w:t>
      </w:r>
    </w:p>
    <w:p>
      <w:pPr>
        <w:keepNext/>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Енергията е важен производствен фактор за всички икономически сектори и значителен разход за домакинствата в ЕС. Понастоящем енергийните пазари са изправени пред много сериозни предизвикателства, като някои от най-важните от тях включват: непълната интеграция на пазара, високите цени на дребно, декарбонизацията и сигурността на доставките. В своите политически насоки председателят Юнкер призова за реформа и реорганизация на енергийната политика на ЕС в нов Европейски енергиен съюз, който да се съсредоточи върху необходимостта от диверсифициране на енергийните източници на ЕС, увеличаване на дела на възобновяемите източници на енергия, повишаване на енергийната ефективност и намаляване на енергийната зависимост на някои държави — членки на ЕС. Политиката в областта на конкуренцията ще допринесе за постигането на тези цели.</w:t>
      </w:r>
    </w:p>
    <w:p>
      <w:pPr>
        <w:keepNext/>
        <w:spacing w:line="240" w:lineRule="auto"/>
        <w:jc w:val="both"/>
        <w:rPr>
          <w:rFonts w:ascii="Times New Roman" w:hAnsi="Times New Roman"/>
          <w:i/>
          <w:noProof/>
          <w:sz w:val="24"/>
        </w:rPr>
      </w:pPr>
      <w:r>
        <w:rPr>
          <w:rFonts w:ascii="Times New Roman" w:hAnsi="Times New Roman"/>
          <w:i/>
          <w:noProof/>
          <w:sz w:val="24"/>
        </w:rPr>
        <w:t xml:space="preserve">Насочване на публичното подпомагане с цел укрепване на вътрешния енергиен пазар </w:t>
      </w:r>
    </w:p>
    <w:p>
      <w:pPr>
        <w:spacing w:after="240" w:line="240" w:lineRule="auto"/>
        <w:jc w:val="both"/>
        <w:rPr>
          <w:rFonts w:ascii="Times New Roman" w:hAnsi="Times New Roman"/>
          <w:noProof/>
          <w:sz w:val="24"/>
        </w:rPr>
      </w:pPr>
      <w:r>
        <w:rPr>
          <w:rFonts w:ascii="Times New Roman" w:hAnsi="Times New Roman"/>
          <w:noProof/>
          <w:sz w:val="24"/>
        </w:rPr>
        <w:t>През месец април 2014</w:t>
      </w:r>
      <w:r>
        <w:rPr>
          <w:rFonts w:ascii="Times New Roman" w:hAnsi="Times New Roman"/>
          <w:noProof/>
          <w:sz w:val="24"/>
          <w:lang w:val="en-GB"/>
        </w:rPr>
        <w:t> </w:t>
      </w:r>
      <w:r>
        <w:rPr>
          <w:rFonts w:ascii="Times New Roman" w:hAnsi="Times New Roman"/>
          <w:noProof/>
          <w:sz w:val="24"/>
        </w:rPr>
        <w:t>г. Комисията прие новите насоки относно държавната помощ за защита на околната среда и за енергетика</w:t>
      </w:r>
      <w:r>
        <w:rPr>
          <w:rStyle w:val="FootnoteReference"/>
          <w:rFonts w:ascii="Times New Roman" w:hAnsi="Times New Roman"/>
          <w:noProof/>
          <w:sz w:val="24"/>
        </w:rPr>
        <w:footnoteReference w:id="18"/>
      </w:r>
      <w:r>
        <w:rPr>
          <w:rFonts w:ascii="Times New Roman" w:hAnsi="Times New Roman"/>
          <w:noProof/>
          <w:sz w:val="24"/>
        </w:rPr>
        <w:t>, които влязоха в сила през юли.</w:t>
      </w:r>
    </w:p>
    <w:p>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noProof/>
          <w:sz w:val="20"/>
          <w:szCs w:val="20"/>
        </w:rPr>
      </w:pPr>
      <w:r>
        <w:rPr>
          <w:rFonts w:ascii="Times New Roman" w:hAnsi="Times New Roman"/>
          <w:b/>
          <w:noProof/>
          <w:sz w:val="20"/>
        </w:rPr>
        <w:t>Спазването на целите по отношение на климата и инвестиции в инфраструктура: Насоките относно държавната помощ за защита на околната среда и за енергетика (НПОСЕ)</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0"/>
          <w:szCs w:val="20"/>
        </w:rPr>
      </w:pPr>
      <w:r>
        <w:rPr>
          <w:rFonts w:ascii="Times New Roman" w:hAnsi="Times New Roman"/>
          <w:noProof/>
          <w:sz w:val="20"/>
        </w:rPr>
        <w:t xml:space="preserve">В новите насоки се описва как Комисията ще оценява мерките за подпомагане на държавите членки, насочени, наред с другото, към постигане на целите за климата и енергетиката за 2020 г., които едновременно с това предвиждат решения за нарушенията на пазара, свързани например със субсидии, предоставени за производството на енергия от възобновяеми източници. За тази цел в насоките се насърчава постепенният преход към пазарно подпомагане на енергията от възобновяеми източници. В тях също така се предоставят критерии за това как държавите членки могат да освободят енергоемките отрасли, които са изложени в особена степен на международна конкуренция, от финансирането на подпомагането за енергията от възобновяеми източници.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rPr>
        <w:t>Освен това новите насоки включват критерии, които имат за цел да се гарантира, че при субсидиите за енергийна инфраструктура се свеждат до минимум нарушенията на пазара, като те се съсредоточават върху проекти, които подобряват трансграничните енергийни потоци и насърчават инфраструктурата в по-слабо развитите региони на Европа. Друг нов елемент включва разрешаването на помощ с цел да се осигури достатъчно производство на електроенергия в случаите, в които е налице реален риск от недостатъчен капацитет за производство на електроенергия, като се свеждат до минимум нарушенията на пазара.</w:t>
      </w:r>
    </w:p>
    <w:p>
      <w:pPr>
        <w:spacing w:line="240" w:lineRule="auto"/>
        <w:jc w:val="both"/>
        <w:rPr>
          <w:rFonts w:ascii="Times New Roman" w:hAnsi="Times New Roman"/>
          <w:noProof/>
          <w:sz w:val="24"/>
        </w:rPr>
      </w:pPr>
      <w:r>
        <w:rPr>
          <w:rFonts w:ascii="Times New Roman" w:hAnsi="Times New Roman"/>
          <w:noProof/>
          <w:sz w:val="24"/>
        </w:rPr>
        <w:t>Комисията също така опрости процедурите за изпълнението на някои мерки за държавна помощ, като включи няколко категории мерки в областта на енергетиката и околната среда в преразгледания общ регламент за групово освобождаване (ОРГО)</w:t>
      </w:r>
      <w:r>
        <w:rPr>
          <w:rStyle w:val="FootnoteReference"/>
          <w:rFonts w:ascii="Times New Roman" w:hAnsi="Times New Roman"/>
          <w:noProof/>
          <w:sz w:val="24"/>
        </w:rPr>
        <w:footnoteReference w:id="19"/>
      </w:r>
      <w:r>
        <w:rPr>
          <w:rFonts w:ascii="Times New Roman" w:hAnsi="Times New Roman"/>
          <w:noProof/>
          <w:sz w:val="24"/>
        </w:rPr>
        <w:t>. Това ще направи по-лесно и по-бързо изпълнението на такива мерки от публичните органи, тъй като те не трябва да получават предварително одобрение от Комисията. Новият ОРГО включва мерки, като например (при определени условия) помощ за енергийна инфраструктура, проекти за енергийна ефективност на сгради, оперативна помощ за производство на енергия от възобновяеми енергийни източници, рехабилитация на замърсени терени, повторна употреба и рециклиране на отпадъците.</w:t>
      </w:r>
    </w:p>
    <w:p>
      <w:pPr>
        <w:spacing w:line="240" w:lineRule="auto"/>
        <w:jc w:val="both"/>
        <w:rPr>
          <w:rFonts w:ascii="Times New Roman" w:hAnsi="Times New Roman"/>
          <w:noProof/>
          <w:sz w:val="24"/>
        </w:rPr>
      </w:pPr>
      <w:r>
        <w:rPr>
          <w:rFonts w:ascii="Times New Roman" w:hAnsi="Times New Roman"/>
          <w:noProof/>
          <w:sz w:val="24"/>
        </w:rPr>
        <w:t>Новите насоки относно държавната помощ за защита на околната среда и за енергетика не включват правила за помощи за ядрената енергия, която подлежи на оценка директно по смисъла на разпоредбите за държавна помощ в Договора. Комисията разгледа плановете на Обединеното кралство да субсидира изграждането и експлоатацията на нова атомна електроцентрала в Hinkley Point в Somerset и установи, че те са в съответствие с правилата за държавна помощ в Договора</w:t>
      </w:r>
      <w:r>
        <w:rPr>
          <w:rStyle w:val="FootnoteReference"/>
          <w:rFonts w:ascii="Times New Roman" w:hAnsi="Times New Roman"/>
          <w:noProof/>
          <w:sz w:val="24"/>
        </w:rPr>
        <w:footnoteReference w:id="20"/>
      </w:r>
      <w:r>
        <w:rPr>
          <w:rFonts w:ascii="Times New Roman" w:hAnsi="Times New Roman"/>
          <w:noProof/>
          <w:sz w:val="24"/>
        </w:rPr>
        <w:t>. По време на задълбоченото проучване Обединеното кралство се съгласи да измени значително реда и условията за финансирането на проекти и доказа, че подкрепата ще бъде насочена към премахването на пазарна неефективност. В резултат на това предоставената държавна помощ продължава да бъде пропорционална на преследваната цел и нарушаването на конкуренцията в рамките на единния пазар е сведено до минимум.</w:t>
      </w:r>
    </w:p>
    <w:p>
      <w:pPr>
        <w:keepNext/>
        <w:spacing w:line="240" w:lineRule="auto"/>
        <w:jc w:val="both"/>
        <w:rPr>
          <w:rFonts w:ascii="Times New Roman" w:hAnsi="Times New Roman"/>
          <w:i/>
          <w:noProof/>
          <w:sz w:val="24"/>
        </w:rPr>
      </w:pPr>
      <w:r>
        <w:rPr>
          <w:rFonts w:ascii="Times New Roman" w:hAnsi="Times New Roman"/>
          <w:i/>
          <w:noProof/>
          <w:sz w:val="24"/>
        </w:rPr>
        <w:t>Създаване на Европейски енергиен съюз, основаващ се на достъпни цени на енергията и сигурност на доставките</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Антитръстовите действия по правоприлагане в енергийния сектор, насочени към преодоляване на сегментирането на пазарите и на злоупотребите и тайните споразумения, особено на източно- и централноевропейските пазари, допринесоха по-специално за справяне с високите цени на енергията. През март 2014 г. Комисията прие две решения относно енергийните борси, които представляват организирани пазари за търговия с електроенергия и са от основно значение за ефикасното функциониране на пазарите на електроенергия.</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В първия случай Комисията наложи глоба на две спотови енергийни борси — EPEX Spot и Nord Pool Spot (NPS) за това, че са се договорили да не се конкурират помежду си за своите услуги за спот търговия с електроенергия в Европейското икономическо пространство</w:t>
      </w:r>
      <w:r>
        <w:rPr>
          <w:rStyle w:val="FootnoteReference"/>
          <w:rFonts w:ascii="Times New Roman" w:hAnsi="Times New Roman"/>
          <w:noProof/>
          <w:sz w:val="24"/>
        </w:rPr>
        <w:footnoteReference w:id="21"/>
      </w:r>
      <w:r>
        <w:rPr>
          <w:rFonts w:ascii="Times New Roman" w:hAnsi="Times New Roman"/>
          <w:noProof/>
        </w:rPr>
        <w:t>.</w:t>
      </w:r>
      <w:r>
        <w:rPr>
          <w:rFonts w:ascii="Times New Roman" w:hAnsi="Times New Roman"/>
          <w:noProof/>
          <w:sz w:val="24"/>
        </w:rPr>
        <w:t xml:space="preserve"> Спот търговия означава търговия в краткосрочен план, като например в рамките на същия или на следващия ден. Нарушението е извършено в периода 2011—2012 г. и беше прекратено след като Комисията и Надзорният орган на ЕАСТ извършиха внезапни проверки в помещенията на дружествата.</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Вторият случай засяга Румънската енергийна борса OPCOM. Комисията наложи глоба на OPCOM за злоупотреба с господстващо положение на румънския пазар чрез възпрепятстване на търговците на електроенергия от страни извън Румъния, установени в ЕС, от присъединяването им към спот пазарите на румънската енергийна борса и чрез създаването на изкуствена бариера за навлизане на пазара в продължение на повече от пет години</w:t>
      </w:r>
      <w:r>
        <w:rPr>
          <w:rStyle w:val="FootnoteReference"/>
          <w:rFonts w:ascii="Times New Roman" w:hAnsi="Times New Roman"/>
          <w:noProof/>
          <w:sz w:val="24"/>
        </w:rPr>
        <w:footnoteReference w:id="22"/>
      </w:r>
      <w:r>
        <w:rPr>
          <w:rFonts w:ascii="Times New Roman" w:hAnsi="Times New Roman"/>
          <w:noProof/>
          <w:sz w:val="24"/>
        </w:rPr>
        <w:t>.</w:t>
      </w:r>
    </w:p>
    <w:p>
      <w:pPr>
        <w:autoSpaceDE w:val="0"/>
        <w:autoSpaceDN w:val="0"/>
        <w:adjustRightInd w:val="0"/>
        <w:spacing w:line="240" w:lineRule="auto"/>
        <w:jc w:val="both"/>
        <w:rPr>
          <w:rFonts w:ascii="Times New Roman" w:hAnsi="Times New Roman"/>
          <w:noProof/>
          <w:sz w:val="24"/>
        </w:rPr>
      </w:pPr>
      <w:r>
        <w:rPr>
          <w:rFonts w:ascii="Times New Roman" w:hAnsi="Times New Roman"/>
          <w:noProof/>
          <w:sz w:val="24"/>
        </w:rPr>
        <w:t>На 12 август Комисията изпрати изложение на възраженията до „Български енергиен холдинг“ (БЕХ) във връзка с предполагаема злоупотреба с господстващо положение на пазара за електрическа енергия на едро в България</w:t>
      </w:r>
      <w:r>
        <w:rPr>
          <w:rStyle w:val="FootnoteReference"/>
          <w:rFonts w:ascii="Times New Roman" w:hAnsi="Times New Roman"/>
          <w:noProof/>
          <w:sz w:val="24"/>
        </w:rPr>
        <w:footnoteReference w:id="23"/>
      </w:r>
      <w:r>
        <w:rPr>
          <w:rFonts w:ascii="Times New Roman" w:hAnsi="Times New Roman"/>
          <w:noProof/>
          <w:sz w:val="24"/>
        </w:rPr>
        <w:t>. Комисията изрази опасения, че като налага ограничения относно мястото на препродажба на доставяната от него електроенергия, БЕХ — традиционното държавно вертикално интегрирано енергийно дружество в България, вероятно възпрепятства конкуренцията на нерегулирания пазар за електрическа енергия на едро в страната. Ако бъде установено, това поведение може да доведе до нарушаване на електроразпределението в единния пазар, тъй като засяга ликвидността и ефективността на пазарите за електрическа енергия и издига изкуствени бариери пред търговията между България и други държави членки.</w:t>
      </w:r>
    </w:p>
    <w:p>
      <w:pPr>
        <w:autoSpaceDE w:val="0"/>
        <w:autoSpaceDN w:val="0"/>
        <w:adjustRightInd w:val="0"/>
        <w:spacing w:line="240" w:lineRule="auto"/>
        <w:jc w:val="both"/>
        <w:rPr>
          <w:rFonts w:ascii="Times New Roman" w:hAnsi="Times New Roman"/>
          <w:noProof/>
          <w:sz w:val="24"/>
        </w:rPr>
      </w:pPr>
      <w:r>
        <w:rPr>
          <w:rFonts w:ascii="Times New Roman" w:hAnsi="Times New Roman"/>
          <w:noProof/>
          <w:sz w:val="24"/>
        </w:rPr>
        <w:t>В отделно разследване Комисията проучва дали „Български енергиен холдинг“ (БЕХ) и неговите дъщерни дружества „Булгаргаз“ — за доставка на газ, и „Булгартрансгаз“ — за газова инфраструктура, възпрепятстват достъпа на свои конкуренти до ключова газова инфраструктура в България в нарушение на антитръстовите правила на ЕС</w:t>
      </w:r>
      <w:r>
        <w:rPr>
          <w:rStyle w:val="FootnoteReference"/>
          <w:rFonts w:ascii="Times New Roman" w:hAnsi="Times New Roman"/>
          <w:noProof/>
          <w:sz w:val="24"/>
        </w:rPr>
        <w:footnoteReference w:id="24"/>
      </w:r>
      <w:r>
        <w:rPr>
          <w:rFonts w:ascii="Times New Roman" w:hAnsi="Times New Roman"/>
          <w:noProof/>
          <w:sz w:val="24"/>
        </w:rPr>
        <w:t>.</w:t>
      </w:r>
    </w:p>
    <w:p>
      <w:pPr>
        <w:autoSpaceDE w:val="0"/>
        <w:autoSpaceDN w:val="0"/>
        <w:adjustRightInd w:val="0"/>
        <w:spacing w:line="240" w:lineRule="auto"/>
        <w:jc w:val="both"/>
        <w:rPr>
          <w:rFonts w:ascii="Times New Roman" w:hAnsi="Times New Roman"/>
          <w:noProof/>
          <w:sz w:val="24"/>
        </w:rPr>
      </w:pPr>
      <w:r>
        <w:rPr>
          <w:rFonts w:ascii="Times New Roman" w:hAnsi="Times New Roman"/>
          <w:noProof/>
          <w:sz w:val="24"/>
        </w:rPr>
        <w:t>Комисията също така продължи разследването си по отношение на Газпром във връзка с практики на ценообразуване и потенциално раздробяване на пазарите при доставките на газ за Централна и Източна Европа</w:t>
      </w:r>
      <w:r>
        <w:rPr>
          <w:rStyle w:val="FootnoteReference"/>
          <w:rFonts w:ascii="Times New Roman" w:hAnsi="Times New Roman"/>
          <w:noProof/>
          <w:sz w:val="24"/>
        </w:rPr>
        <w:footnoteReference w:id="25"/>
      </w:r>
      <w:r>
        <w:rPr>
          <w:rFonts w:ascii="Times New Roman" w:hAnsi="Times New Roman"/>
          <w:noProof/>
          <w:sz w:val="24"/>
        </w:rPr>
        <w:t>. В рамките на друго текущо разследване се разглеждат евентуалните незаконни практики, свързани с референтните показатели за цените на нефтените продукти и биогоривата, установени от агенцията за докладване на цените Platts</w:t>
      </w:r>
      <w:r>
        <w:rPr>
          <w:rStyle w:val="FootnoteReference"/>
          <w:rFonts w:ascii="Times New Roman" w:hAnsi="Times New Roman"/>
          <w:noProof/>
          <w:sz w:val="24"/>
        </w:rPr>
        <w:footnoteReference w:id="26"/>
      </w:r>
      <w:r>
        <w:rPr>
          <w:rFonts w:ascii="Times New Roman" w:hAnsi="Times New Roman"/>
          <w:noProof/>
          <w:sz w:val="24"/>
        </w:rPr>
        <w:t>.</w:t>
      </w:r>
    </w:p>
    <w:p>
      <w:pPr>
        <w:autoSpaceDE w:val="0"/>
        <w:autoSpaceDN w:val="0"/>
        <w:adjustRightInd w:val="0"/>
        <w:spacing w:line="240" w:lineRule="auto"/>
        <w:jc w:val="both"/>
        <w:rPr>
          <w:rFonts w:ascii="Times New Roman" w:hAnsi="Times New Roman"/>
          <w:noProof/>
          <w:sz w:val="24"/>
        </w:rPr>
      </w:pPr>
      <w:r>
        <w:rPr>
          <w:rFonts w:ascii="Times New Roman" w:hAnsi="Times New Roman"/>
          <w:noProof/>
          <w:sz w:val="24"/>
        </w:rPr>
        <w:t xml:space="preserve">Комисията ще продължи да бъде бдителна по отношение на енергийните пазари, включително като използва </w:t>
      </w:r>
      <w:r>
        <w:rPr>
          <w:rFonts w:ascii="Times New Roman" w:hAnsi="Times New Roman"/>
          <w:noProof/>
          <w:sz w:val="24"/>
          <w:szCs w:val="24"/>
        </w:rPr>
        <w:t>своите инструменти за държавна помощ и контрол на сливанията. По-специално, тя гарантира, че мощни участници на пазара нагоре по веригата не правят опити за интегриране надолу по веригата и по този начин за прекомерно засилване на притежавания от тя контрол над веригата на стойността. Така например, задълбочено проучване бе извършено във връзка с предложението за придобиване от френския традиционен електроенергиен оператор EDF на доставчика на услуги за управление на сгради и поддръжка Dalkia. Бяха положени съществени усилия за подобряване на банковото регулиране и банковия</w:t>
      </w:r>
      <w:r>
        <w:rPr>
          <w:rFonts w:ascii="Times New Roman" w:hAnsi="Times New Roman"/>
          <w:noProof/>
          <w:sz w:val="24"/>
        </w:rPr>
        <w:t xml:space="preserve"> надзор и за гарантиране на изправното функциониране на банковия сектор, който да предоставя необходимото финансиране за икономически дейности</w:t>
      </w:r>
      <w:r>
        <w:rPr>
          <w:rStyle w:val="FootnoteReference"/>
          <w:rFonts w:ascii="Times New Roman" w:hAnsi="Times New Roman"/>
          <w:noProof/>
          <w:sz w:val="24"/>
        </w:rPr>
        <w:footnoteReference w:id="27"/>
      </w:r>
      <w:r>
        <w:rPr>
          <w:rFonts w:ascii="Times New Roman" w:hAnsi="Times New Roman"/>
          <w:noProof/>
          <w:sz w:val="24"/>
        </w:rPr>
        <w:t>. В областта на държавната помощ през юли 2014 г. Комисията одобри мярка за осигуряване на адекватността на производството на електроенергия в Обединеното кралство, предвиждаща механизъм за капацитет, обхващащ целия пазар</w:t>
      </w:r>
      <w:r>
        <w:rPr>
          <w:rStyle w:val="FootnoteReference"/>
          <w:rFonts w:ascii="Times New Roman" w:hAnsi="Times New Roman"/>
          <w:noProof/>
          <w:sz w:val="24"/>
        </w:rPr>
        <w:footnoteReference w:id="28"/>
      </w:r>
      <w:r>
        <w:rPr>
          <w:rFonts w:ascii="Times New Roman" w:hAnsi="Times New Roman"/>
          <w:noProof/>
          <w:sz w:val="24"/>
        </w:rPr>
        <w:t>.</w:t>
      </w:r>
    </w:p>
    <w:p>
      <w:pPr>
        <w:keepNext/>
        <w:autoSpaceDE w:val="0"/>
        <w:autoSpaceDN w:val="0"/>
        <w:adjustRightInd w:val="0"/>
        <w:spacing w:line="240" w:lineRule="auto"/>
        <w:jc w:val="both"/>
        <w:rPr>
          <w:rFonts w:ascii="Times New Roman" w:hAnsi="Times New Roman"/>
          <w:b/>
          <w:caps/>
          <w:noProof/>
          <w:sz w:val="24"/>
        </w:rPr>
      </w:pPr>
      <w:r>
        <w:rPr>
          <w:rFonts w:ascii="Times New Roman" w:hAnsi="Times New Roman"/>
          <w:b/>
          <w:caps/>
          <w:noProof/>
          <w:sz w:val="24"/>
        </w:rPr>
        <w:t>4. ИЗГРАЖДАНЕ НА ПО-СПРАВЕДЛИВ И ПО-ПРОЗРАЧЕН ФИНАНСОВ СЕКТОР ЗА ЗАСИЛВАНЕ НА РАСТЕЖА</w:t>
      </w:r>
    </w:p>
    <w:p>
      <w:pPr>
        <w:spacing w:line="240" w:lineRule="auto"/>
        <w:jc w:val="both"/>
        <w:rPr>
          <w:rFonts w:ascii="Times New Roman" w:hAnsi="Times New Roman"/>
          <w:noProof/>
          <w:sz w:val="24"/>
          <w:szCs w:val="24"/>
        </w:rPr>
      </w:pPr>
      <w:r>
        <w:rPr>
          <w:rFonts w:ascii="Times New Roman" w:hAnsi="Times New Roman"/>
          <w:noProof/>
          <w:sz w:val="24"/>
        </w:rPr>
        <w:t>Прилагането на законодателството в областта на конкуренцията в сектора на финансовите услуги е основен приоритет за Комисията от началото на кризата. Бяха положени съществени усилия за подобряване на банковото регулиране и банковия надзор и за гарантиране на изправното функциониране на банковия сектор, който да предоставя необходимото финансиране за икономически дейности. Политиката в областта на конкуренцията играе централна роля в постигането на по-прозрачна и по-стабилна финансова система.</w:t>
      </w:r>
    </w:p>
    <w:p>
      <w:pPr>
        <w:keepNext/>
        <w:spacing w:line="240" w:lineRule="auto"/>
        <w:jc w:val="both"/>
        <w:rPr>
          <w:rFonts w:ascii="Times New Roman" w:hAnsi="Times New Roman"/>
          <w:i/>
          <w:noProof/>
          <w:sz w:val="24"/>
          <w:szCs w:val="24"/>
        </w:rPr>
      </w:pPr>
      <w:r>
        <w:rPr>
          <w:rFonts w:ascii="Times New Roman" w:hAnsi="Times New Roman"/>
          <w:i/>
          <w:noProof/>
          <w:sz w:val="24"/>
        </w:rPr>
        <w:t>По-силен и по-стабилен банков сектор в подкрепа на икономическото възстановяване</w:t>
      </w:r>
    </w:p>
    <w:p>
      <w:pPr>
        <w:spacing w:line="240" w:lineRule="auto"/>
        <w:jc w:val="both"/>
        <w:rPr>
          <w:rFonts w:ascii="Times New Roman" w:hAnsi="Times New Roman"/>
          <w:noProof/>
          <w:sz w:val="24"/>
          <w:szCs w:val="24"/>
        </w:rPr>
      </w:pPr>
      <w:r>
        <w:rPr>
          <w:rFonts w:ascii="Times New Roman" w:hAnsi="Times New Roman"/>
          <w:noProof/>
          <w:sz w:val="24"/>
        </w:rPr>
        <w:t>С цел да се справи с предизвикателството, свързано с възстановяването на финансовата стабилност в еврозоната, през 2012</w:t>
      </w:r>
      <w:r>
        <w:rPr>
          <w:rFonts w:ascii="Times New Roman" w:hAnsi="Times New Roman"/>
          <w:noProof/>
          <w:sz w:val="24"/>
          <w:lang w:val="en-GB"/>
        </w:rPr>
        <w:t> </w:t>
      </w:r>
      <w:r>
        <w:rPr>
          <w:rFonts w:ascii="Times New Roman" w:hAnsi="Times New Roman"/>
          <w:noProof/>
          <w:sz w:val="24"/>
        </w:rPr>
        <w:t>г. Комисията постави началото на банковия съюз.</w:t>
      </w:r>
    </w:p>
    <w:p>
      <w:pPr>
        <w:keepNext/>
        <w:pBdr>
          <w:top w:val="single" w:sz="4" w:space="1" w:color="auto"/>
          <w:left w:val="single" w:sz="4" w:space="4" w:color="auto"/>
          <w:bottom w:val="single" w:sz="4" w:space="1" w:color="auto"/>
          <w:right w:val="single" w:sz="4" w:space="3" w:color="auto"/>
        </w:pBdr>
        <w:spacing w:after="120" w:line="240" w:lineRule="auto"/>
        <w:jc w:val="both"/>
        <w:rPr>
          <w:rFonts w:ascii="Times New Roman" w:hAnsi="Times New Roman"/>
          <w:b/>
          <w:noProof/>
          <w:sz w:val="20"/>
          <w:szCs w:val="20"/>
        </w:rPr>
      </w:pPr>
      <w:r>
        <w:rPr>
          <w:rFonts w:ascii="Times New Roman" w:hAnsi="Times New Roman"/>
          <w:b/>
          <w:noProof/>
          <w:sz w:val="20"/>
        </w:rPr>
        <w:t>Завършване на банковия съюз</w:t>
      </w:r>
    </w:p>
    <w:p>
      <w:pPr>
        <w:pBdr>
          <w:top w:val="single" w:sz="4" w:space="1" w:color="auto"/>
          <w:left w:val="single" w:sz="4" w:space="4" w:color="auto"/>
          <w:bottom w:val="single" w:sz="4" w:space="1" w:color="auto"/>
          <w:right w:val="single" w:sz="4" w:space="3" w:color="auto"/>
        </w:pBdr>
        <w:spacing w:after="120" w:line="240" w:lineRule="auto"/>
        <w:jc w:val="both"/>
        <w:rPr>
          <w:rFonts w:ascii="Times New Roman" w:hAnsi="Times New Roman"/>
          <w:noProof/>
          <w:sz w:val="20"/>
          <w:szCs w:val="20"/>
        </w:rPr>
      </w:pPr>
      <w:r>
        <w:rPr>
          <w:rFonts w:ascii="Times New Roman" w:hAnsi="Times New Roman"/>
          <w:noProof/>
          <w:sz w:val="20"/>
        </w:rPr>
        <w:t>През 2014 г. беше постигнат значителен напредък. От 4 ноември 2014 г. започна да работи пълноценно единен надзорен механизъм (ЕНМ) за банките в еврозоната. ЕНМ е нова система за банков надзор за държавите членки от еврозоната и за всички онези, които решат да се присъединят към банковия съюз. Задачите на ЕНМ са да проверява дали банките спазват правилата за банкиране на ЕС и да разрешава на ранен етап въникващите проблеми. Европейската централна банка извършва пряк надзор над 120-те най-големи банкови групи, които по активи представляват 82% от банковия сектор в еврозоната.  Националните надзорни органи ще продължат да наблюдават останалите банки в тясно сътрудничество с ЕЦБ. Единният надзорен механизъм (ЕНМ) извърши цялостна оценка, която се състои от анализ на качеството на активите и тест за устойчивост (координиран от Европейския банков орган, ЕБО), с цел да си изгради пълна представа за банките, за които ще осигурява надзор.</w:t>
      </w:r>
    </w:p>
    <w:p>
      <w:pPr>
        <w:pBdr>
          <w:top w:val="single" w:sz="4" w:space="1" w:color="auto"/>
          <w:left w:val="single" w:sz="4" w:space="4" w:color="auto"/>
          <w:bottom w:val="single" w:sz="4" w:space="1" w:color="auto"/>
          <w:right w:val="single" w:sz="4" w:space="3" w:color="auto"/>
        </w:pBdr>
        <w:spacing w:line="240" w:lineRule="auto"/>
        <w:jc w:val="both"/>
        <w:rPr>
          <w:rFonts w:ascii="Times New Roman" w:hAnsi="Times New Roman"/>
          <w:noProof/>
          <w:sz w:val="20"/>
          <w:szCs w:val="20"/>
        </w:rPr>
      </w:pPr>
      <w:r>
        <w:rPr>
          <w:rFonts w:ascii="Times New Roman" w:hAnsi="Times New Roman"/>
          <w:noProof/>
          <w:sz w:val="20"/>
        </w:rPr>
        <w:t xml:space="preserve">ЕНМ е един от двата стълба на банковия съюз на ЕС, заедно с единния механизъм за преструктуриране (ЕМП). Регламентът за създаване на този механизъм бе приет от Европейския парламент през април 2014 г. Той се прилага за еврозоната и за други държави, които желаят да се присъединят, и влезе в сила на 1 януари 2015 г. ЕЕМП допълва ЕНМ и гарантира, че ако банка, която подлежи на контрол от ЕНМ, е изправена пред сериозни затруднения, нейното преструктуриране може да се извърши ефикасно при минимални разходи за данъкоплатците и реалната икономика. Правилата за държавната помощ са приложими както извън, така и в рамките на преструктурирането, включително по отношение на използването на националните фондове за преструктуриране и на бъдещия Единен фонд за преструктуриране, с цел да се осигурят равно третиране и равни условия на конкуренция в рамките на единния пазар. </w:t>
      </w:r>
    </w:p>
    <w:p>
      <w:pPr>
        <w:spacing w:line="240" w:lineRule="auto"/>
        <w:jc w:val="both"/>
        <w:rPr>
          <w:rFonts w:ascii="Times New Roman" w:hAnsi="Times New Roman"/>
          <w:noProof/>
          <w:sz w:val="24"/>
        </w:rPr>
      </w:pPr>
      <w:r>
        <w:rPr>
          <w:rFonts w:ascii="Times New Roman" w:hAnsi="Times New Roman"/>
          <w:noProof/>
          <w:sz w:val="24"/>
        </w:rPr>
        <w:t>Контролът върху държавната помощ продължи да гарантира последователен отговор на политиката по отношение на финансовите предизвикателства, допринасяйки значително за ограничаване на нарушаването на конкуренцията в рамките на единния пазар, като в същото време използването на парите на данъкоплатците се намали до необходимия минимум.</w:t>
      </w:r>
    </w:p>
    <w:p>
      <w:pPr>
        <w:spacing w:line="240" w:lineRule="auto"/>
        <w:jc w:val="both"/>
        <w:rPr>
          <w:rFonts w:ascii="Times New Roman" w:hAnsi="Times New Roman"/>
          <w:noProof/>
          <w:sz w:val="24"/>
          <w:szCs w:val="24"/>
        </w:rPr>
      </w:pPr>
      <w:r>
        <w:rPr>
          <w:rFonts w:ascii="Times New Roman" w:hAnsi="Times New Roman"/>
          <w:noProof/>
          <w:color w:val="000000"/>
          <w:sz w:val="24"/>
        </w:rPr>
        <w:t>През 2014</w:t>
      </w:r>
      <w:r>
        <w:rPr>
          <w:rFonts w:ascii="Times New Roman" w:hAnsi="Times New Roman"/>
          <w:noProof/>
          <w:color w:val="000000"/>
          <w:sz w:val="24"/>
          <w:lang w:val="en-GB"/>
        </w:rPr>
        <w:t> </w:t>
      </w:r>
      <w:r>
        <w:rPr>
          <w:rFonts w:ascii="Times New Roman" w:hAnsi="Times New Roman"/>
          <w:noProof/>
          <w:color w:val="000000"/>
          <w:sz w:val="24"/>
        </w:rPr>
        <w:t xml:space="preserve">г. Комисията прие няколко решения, свързани с отделни банки, както и със схеми за гаранции и за ликвидността. </w:t>
      </w:r>
      <w:r>
        <w:rPr>
          <w:rFonts w:ascii="Times New Roman" w:hAnsi="Times New Roman"/>
          <w:noProof/>
        </w:rPr>
        <w:t xml:space="preserve">В допълнение, Комисията продължи да извършва оценка на редица банки за развитие, които придобиха важно значение с оглед на кредитните ограничения на търговските банки в резултат на кризата. </w:t>
      </w:r>
      <w:r>
        <w:rPr>
          <w:rFonts w:ascii="Times New Roman" w:hAnsi="Times New Roman"/>
          <w:noProof/>
          <w:color w:val="000000"/>
          <w:sz w:val="24"/>
        </w:rPr>
        <w:t>Правилата за държавната помощ целят да се гарантира, че банките за развитие допринасят за програмата за растеж на ЕС без да водят до неправомерно нарушаване на конкуренцията. Например, в случая на Британската Стопанска банка (BBB) Комисията одобри интегрирана структура за управление на достъпа на МСП до финансиране в Обединеното кралство</w:t>
      </w:r>
      <w:r>
        <w:rPr>
          <w:rStyle w:val="FootnoteReference"/>
          <w:rFonts w:ascii="Times New Roman" w:hAnsi="Times New Roman"/>
          <w:noProof/>
          <w:color w:val="000000"/>
          <w:sz w:val="24"/>
        </w:rPr>
        <w:footnoteReference w:id="29"/>
      </w:r>
      <w:r>
        <w:rPr>
          <w:rFonts w:ascii="Times New Roman" w:hAnsi="Times New Roman"/>
          <w:noProof/>
          <w:color w:val="000000"/>
          <w:sz w:val="24"/>
        </w:rPr>
        <w:t xml:space="preserve">. </w:t>
      </w:r>
      <w:r>
        <w:rPr>
          <w:rFonts w:ascii="Times New Roman" w:hAnsi="Times New Roman"/>
          <w:noProof/>
          <w:sz w:val="24"/>
        </w:rPr>
        <w:t>В Португалия Комисията одобри създаването на Instituição Financeira de Desenvolvimento (IFD)</w:t>
      </w:r>
      <w:r>
        <w:rPr>
          <w:rStyle w:val="FootnoteReference"/>
          <w:rFonts w:ascii="Times New Roman" w:hAnsi="Times New Roman"/>
          <w:noProof/>
          <w:sz w:val="24"/>
        </w:rPr>
        <w:footnoteReference w:id="30"/>
      </w:r>
      <w:r>
        <w:rPr>
          <w:rFonts w:ascii="Times New Roman" w:hAnsi="Times New Roman"/>
          <w:noProof/>
          <w:sz w:val="24"/>
        </w:rPr>
        <w:t>, институция за финансиране на развитието, и първата фаза от нейната дейност. IFD ще управлява и насочва европейските структурни и инвестиционни фондове (ЕСИФ), предоставени на Португалия за периода на финансиране 2014—2020</w:t>
      </w:r>
      <w:r>
        <w:rPr>
          <w:rFonts w:ascii="Times New Roman" w:hAnsi="Times New Roman"/>
          <w:noProof/>
          <w:sz w:val="24"/>
          <w:lang w:val="en-GB"/>
        </w:rPr>
        <w:t> </w:t>
      </w:r>
      <w:r>
        <w:rPr>
          <w:rFonts w:ascii="Times New Roman" w:hAnsi="Times New Roman"/>
          <w:noProof/>
          <w:sz w:val="24"/>
        </w:rPr>
        <w:t>г., както и възстановяването на суми от програми, финансирани от ЕСИФ.</w:t>
      </w:r>
    </w:p>
    <w:p>
      <w:pPr>
        <w:spacing w:line="240" w:lineRule="auto"/>
        <w:jc w:val="both"/>
        <w:rPr>
          <w:rFonts w:ascii="Times New Roman" w:hAnsi="Times New Roman"/>
          <w:noProof/>
          <w:sz w:val="24"/>
        </w:rPr>
      </w:pPr>
      <w:r>
        <w:rPr>
          <w:rFonts w:ascii="Times New Roman" w:hAnsi="Times New Roman"/>
          <w:noProof/>
          <w:sz w:val="24"/>
        </w:rPr>
        <w:t>Контролът върху държавната помощ изигра важна роля и в контекста на икономическите и финансови програми в Гърция, Кипър и Португалия (която напусна програмата през май), както и в Ирландия и Испания, които получаваха финансова помощ до 2013 г.</w:t>
      </w:r>
    </w:p>
    <w:p>
      <w:pPr>
        <w:keepNext/>
        <w:spacing w:line="240" w:lineRule="auto"/>
        <w:jc w:val="both"/>
        <w:rPr>
          <w:rFonts w:ascii="Times New Roman" w:hAnsi="Times New Roman"/>
          <w:i/>
          <w:noProof/>
          <w:sz w:val="24"/>
        </w:rPr>
      </w:pPr>
      <w:r>
        <w:rPr>
          <w:rFonts w:ascii="Times New Roman" w:hAnsi="Times New Roman"/>
          <w:i/>
          <w:noProof/>
          <w:sz w:val="24"/>
        </w:rPr>
        <w:t>Увеличаване на прозрачността на пазарите за финансови инструменти: правоприлагане и регулаторни усилия</w:t>
      </w:r>
    </w:p>
    <w:p>
      <w:pPr>
        <w:spacing w:line="240" w:lineRule="auto"/>
        <w:jc w:val="both"/>
        <w:rPr>
          <w:rFonts w:ascii="Times New Roman" w:hAnsi="Times New Roman"/>
          <w:noProof/>
          <w:sz w:val="24"/>
        </w:rPr>
      </w:pPr>
      <w:r>
        <w:rPr>
          <w:rFonts w:ascii="Times New Roman" w:hAnsi="Times New Roman"/>
          <w:noProof/>
          <w:sz w:val="24"/>
        </w:rPr>
        <w:t>През октомври Комисията прие две важни решения в областта на картелите, свързани с лихвени деривати в швейцарски франкове. Едното решение засегна две банки — RBS и JP Morgan, участвали в незаконен, двустранен картел, чиято цел е била да влияе на референтния лихвен процент LIBOR в швейцарски франкове между март 2008 г. и юли 2009 г</w:t>
      </w:r>
      <w:r>
        <w:rPr>
          <w:rFonts w:ascii="Times New Roman" w:hAnsi="Times New Roman"/>
          <w:noProof/>
          <w:sz w:val="24"/>
          <w:vertAlign w:val="superscript"/>
        </w:rPr>
        <w:footnoteReference w:id="31"/>
      </w:r>
      <w:r>
        <w:rPr>
          <w:rFonts w:ascii="Times New Roman" w:hAnsi="Times New Roman"/>
          <w:noProof/>
          <w:sz w:val="24"/>
        </w:rPr>
        <w:t xml:space="preserve">. Комисията наложи глоби, възлизащи общо на почти 62 милиона </w:t>
      </w:r>
      <w:r>
        <w:rPr>
          <w:rFonts w:ascii="Times New Roman" w:hAnsi="Times New Roman"/>
          <w:noProof/>
          <w:color w:val="000000"/>
          <w:sz w:val="24"/>
        </w:rPr>
        <w:t>евро</w:t>
      </w:r>
      <w:r>
        <w:rPr>
          <w:rFonts w:ascii="Times New Roman" w:hAnsi="Times New Roman"/>
          <w:noProof/>
          <w:sz w:val="24"/>
        </w:rPr>
        <w:t xml:space="preserve">. С другото решение RBS, UBS, JP Morgan и Crédit Suisse бяха глобени с </w:t>
      </w:r>
      <w:r>
        <w:rPr>
          <w:rFonts w:ascii="Times New Roman" w:hAnsi="Times New Roman"/>
          <w:noProof/>
          <w:color w:val="000000"/>
          <w:sz w:val="24"/>
        </w:rPr>
        <w:t>общо</w:t>
      </w:r>
      <w:r>
        <w:rPr>
          <w:rFonts w:ascii="Times New Roman" w:hAnsi="Times New Roman"/>
          <w:noProof/>
          <w:sz w:val="24"/>
        </w:rPr>
        <w:t> 32 милиона евро за образуването на картел, манипулиращ спредовете купува-продава на лихвените деривати в швейцарски франкове в Европейското икономическо пространство</w:t>
      </w:r>
      <w:r>
        <w:rPr>
          <w:rFonts w:ascii="Times New Roman" w:hAnsi="Times New Roman"/>
          <w:noProof/>
          <w:sz w:val="24"/>
          <w:vertAlign w:val="superscript"/>
        </w:rPr>
        <w:footnoteReference w:id="32"/>
      </w:r>
      <w:r>
        <w:rPr>
          <w:rFonts w:ascii="Times New Roman" w:hAnsi="Times New Roman"/>
          <w:noProof/>
          <w:sz w:val="24"/>
        </w:rPr>
        <w:t>. И в двата случая банките се съгласиха да търсят споразумение с Комисията. Комисията прие други две решения за картели във връзка с манипулирането на финансови референтни показатели през 2013 г.</w:t>
      </w:r>
      <w:r>
        <w:rPr>
          <w:rFonts w:ascii="Times New Roman" w:hAnsi="Times New Roman"/>
          <w:noProof/>
          <w:sz w:val="24"/>
          <w:vertAlign w:val="superscript"/>
        </w:rPr>
        <w:footnoteReference w:id="33"/>
      </w:r>
      <w:r>
        <w:rPr>
          <w:rFonts w:ascii="Times New Roman" w:hAnsi="Times New Roman"/>
          <w:noProof/>
          <w:sz w:val="24"/>
        </w:rPr>
        <w:t xml:space="preserve"> </w:t>
      </w:r>
    </w:p>
    <w:p>
      <w:pPr>
        <w:spacing w:line="240" w:lineRule="auto"/>
        <w:jc w:val="both"/>
        <w:rPr>
          <w:rFonts w:ascii="Times New Roman" w:hAnsi="Times New Roman"/>
          <w:noProof/>
          <w:sz w:val="24"/>
          <w:szCs w:val="24"/>
        </w:rPr>
      </w:pPr>
      <w:r>
        <w:rPr>
          <w:rFonts w:ascii="Times New Roman" w:hAnsi="Times New Roman"/>
          <w:noProof/>
          <w:sz w:val="24"/>
        </w:rPr>
        <w:t>В областта на финансовото регулиране през май бяха приети Директивата относно пазарите на финансови инструменти (ДПФИ II)</w:t>
      </w:r>
      <w:r>
        <w:rPr>
          <w:rFonts w:ascii="Times New Roman" w:hAnsi="Times New Roman"/>
          <w:noProof/>
          <w:sz w:val="24"/>
          <w:vertAlign w:val="superscript"/>
        </w:rPr>
        <w:footnoteReference w:id="34"/>
      </w:r>
      <w:r>
        <w:rPr>
          <w:rFonts w:ascii="Times New Roman" w:hAnsi="Times New Roman"/>
          <w:noProof/>
          <w:sz w:val="24"/>
        </w:rPr>
        <w:t xml:space="preserve"> и Регламентът относно пазарите на финансови инструменти (РПФИ)</w:t>
      </w:r>
      <w:r>
        <w:rPr>
          <w:rFonts w:ascii="Times New Roman" w:hAnsi="Times New Roman"/>
          <w:noProof/>
          <w:sz w:val="24"/>
          <w:vertAlign w:val="superscript"/>
        </w:rPr>
        <w:footnoteReference w:id="35"/>
      </w:r>
      <w:r>
        <w:rPr>
          <w:rFonts w:ascii="Times New Roman" w:hAnsi="Times New Roman"/>
          <w:noProof/>
          <w:sz w:val="24"/>
        </w:rPr>
        <w:t>. Тези мерки са част от програмата на ЕС за финансово регулиране, която има за цел да реформира финансовия сектор на ЕС и да изпълни поетите от Г-20 ангажименти реформата да обхване по-слабо регулираните части от финансовата система. Новите правила целят финансовите пазари да станат по-ефективни, по-устойчиви и по-прозрачни. Те ще подобрят също условията за конкуренция в търговията и клиринга на финансови инструменти, като установят хармонизиран режим на ЕС за недискриминационен достъп до тържища, централни контрагенти и референтни показатели с цел клиринг и търговия.</w:t>
      </w:r>
    </w:p>
    <w:p>
      <w:pPr>
        <w:keepNext/>
        <w:spacing w:line="240" w:lineRule="auto"/>
        <w:jc w:val="both"/>
        <w:rPr>
          <w:rFonts w:ascii="Times New Roman" w:hAnsi="Times New Roman"/>
          <w:i/>
          <w:noProof/>
          <w:sz w:val="24"/>
          <w:szCs w:val="24"/>
        </w:rPr>
      </w:pPr>
      <w:r>
        <w:rPr>
          <w:rFonts w:ascii="Times New Roman" w:hAnsi="Times New Roman"/>
          <w:i/>
          <w:noProof/>
          <w:sz w:val="24"/>
        </w:rPr>
        <w:t>Насърчаване на здравословната конкуренция в сектора на платежните услуги в полза на европейските потребители</w:t>
      </w:r>
    </w:p>
    <w:p>
      <w:pPr>
        <w:autoSpaceDE w:val="0"/>
        <w:autoSpaceDN w:val="0"/>
        <w:adjustRightInd w:val="0"/>
        <w:spacing w:line="240" w:lineRule="auto"/>
        <w:jc w:val="both"/>
        <w:rPr>
          <w:rFonts w:ascii="Times New Roman" w:eastAsia="Times New Roman" w:hAnsi="Times New Roman"/>
          <w:noProof/>
          <w:spacing w:val="-2"/>
          <w:sz w:val="24"/>
          <w:szCs w:val="24"/>
        </w:rPr>
      </w:pPr>
      <w:r>
        <w:rPr>
          <w:rFonts w:ascii="Times New Roman" w:hAnsi="Times New Roman"/>
          <w:noProof/>
          <w:spacing w:val="-2"/>
          <w:sz w:val="24"/>
        </w:rPr>
        <w:t>Плащанията с карта играят ключова роля при обикновени, трансгранични и онлайн покупки. Европейските потребители и предприятия осъществяват повече от 40 % от своите непарични плащания чрез разплащателни карти. Поради това нарушенията на конкуренцията при плащанията могат да възпрепятстват функционирането на единния пазар и значително да навредят на европейските потребители. Прилагането на антитръстовото законодателство продължи борбата с антиконкурентните стопански модели, основаващи се на многостранни обменни такси (МОТ). Многостранните обменни такси са междубанкови такси, плащани от банките на търговците на дребно (акцептиращи банки) в полза на банките на притежателите на картите (банките издатели). Акцептиращите банки обикновено прехвърлят тези такси на търговците на дребно, а те на свой ред ги прехвърлят върху клиентите, като увеличават цените на стоките и услугите, които продават.</w:t>
      </w:r>
    </w:p>
    <w:p>
      <w:pPr>
        <w:autoSpaceDE w:val="0"/>
        <w:autoSpaceDN w:val="0"/>
        <w:adjustRightInd w:val="0"/>
        <w:spacing w:line="240" w:lineRule="auto"/>
        <w:jc w:val="both"/>
        <w:rPr>
          <w:rFonts w:ascii="Times New Roman" w:eastAsia="Times New Roman" w:hAnsi="Times New Roman"/>
          <w:noProof/>
          <w:spacing w:val="-2"/>
          <w:sz w:val="24"/>
          <w:szCs w:val="24"/>
        </w:rPr>
      </w:pPr>
      <w:r>
        <w:rPr>
          <w:rFonts w:ascii="Times New Roman" w:hAnsi="Times New Roman"/>
          <w:noProof/>
          <w:spacing w:val="-2"/>
          <w:sz w:val="24"/>
        </w:rPr>
        <w:t>През февруари Комисията направи правно обвързващи ангажиментите, предложени от Visa Europe, да намали значително многостранните обменни такси при плащания с кредитна карта, както и да реформира своите правила с цел да улесни трансграничната конкуренция</w:t>
      </w:r>
      <w:r>
        <w:rPr>
          <w:rFonts w:ascii="Times New Roman" w:hAnsi="Times New Roman"/>
          <w:noProof/>
          <w:spacing w:val="-2"/>
          <w:sz w:val="24"/>
          <w:vertAlign w:val="superscript"/>
        </w:rPr>
        <w:footnoteReference w:id="36"/>
      </w:r>
      <w:r>
        <w:rPr>
          <w:rFonts w:ascii="Times New Roman" w:hAnsi="Times New Roman"/>
          <w:noProof/>
          <w:spacing w:val="-2"/>
          <w:sz w:val="24"/>
        </w:rPr>
        <w:t>. Таванът на МОТ за кредитни карти бе определен на 0,3 % за всички сделки, платени с потребителски кредитни карти, което представлява намаление между 40 и 60 %</w:t>
      </w:r>
      <w:r>
        <w:rPr>
          <w:rFonts w:ascii="Times New Roman" w:hAnsi="Times New Roman"/>
          <w:noProof/>
          <w:spacing w:val="-2"/>
          <w:sz w:val="24"/>
          <w:vertAlign w:val="superscript"/>
        </w:rPr>
        <w:footnoteReference w:id="37"/>
      </w:r>
      <w:r>
        <w:rPr>
          <w:rFonts w:ascii="Times New Roman" w:hAnsi="Times New Roman"/>
          <w:noProof/>
          <w:spacing w:val="-2"/>
          <w:sz w:val="24"/>
        </w:rPr>
        <w:t xml:space="preserve">. Visa Europe пое също ангажимента да прилага по-ниски трансгранични междубанкови такси (0,3 % за кредитни и 0,2 % за дебитни операции), когато акцептиращите предлагат услугите си в други държави. При съществуващата система те трябва да прилагат местните ставки в държавата, в която предоставят услугата, което изглежда сегментира изкуствено единния пазар. Комисията продължава производството срещу Visa Inc. и Visa International по отношение на междурегионалните (международните) междубанкови такси, които се прилагат, когато притежателите на карти извън територията на Visa Europe използват кредитните си карти Visa, за да пазаруват в Европейското икономическо пространство. Тези такси се определят от Visa Inc. и Visa International, а не от Visa Europe. </w:t>
      </w:r>
    </w:p>
    <w:p>
      <w:pPr>
        <w:autoSpaceDE w:val="0"/>
        <w:autoSpaceDN w:val="0"/>
        <w:adjustRightInd w:val="0"/>
        <w:spacing w:line="240" w:lineRule="auto"/>
        <w:jc w:val="both"/>
        <w:rPr>
          <w:rFonts w:ascii="Times New Roman" w:eastAsia="Times New Roman" w:hAnsi="Times New Roman"/>
          <w:noProof/>
          <w:spacing w:val="-2"/>
          <w:sz w:val="24"/>
          <w:szCs w:val="24"/>
        </w:rPr>
      </w:pPr>
      <w:r>
        <w:rPr>
          <w:rFonts w:ascii="Times New Roman" w:hAnsi="Times New Roman"/>
          <w:noProof/>
          <w:spacing w:val="-2"/>
          <w:sz w:val="24"/>
        </w:rPr>
        <w:t>Понастоящем Комисията разследва също междурегионалните (международни) междубанкови такси на MasterCard и техните правила, отнасящи се до трансграничното акцептиране. Едновременно с това Съветът и Парламентът работиха по законодателство за въвеждане на яснота относно моделите за такси, търговските правила и за улесняването на навлизането на пазара на небанкови институции въз основа на две предложения на Комисията: едното за Регламент относно обменните такси при плащания с карта</w:t>
      </w:r>
      <w:r>
        <w:rPr>
          <w:rFonts w:ascii="Times New Roman" w:hAnsi="Times New Roman"/>
          <w:noProof/>
          <w:spacing w:val="-2"/>
          <w:sz w:val="24"/>
          <w:vertAlign w:val="superscript"/>
        </w:rPr>
        <w:footnoteReference w:id="38"/>
      </w:r>
      <w:r>
        <w:rPr>
          <w:rFonts w:ascii="Times New Roman" w:hAnsi="Times New Roman"/>
          <w:noProof/>
          <w:spacing w:val="-2"/>
          <w:sz w:val="24"/>
        </w:rPr>
        <w:t>, а другото за преразглеждане на Директивата за платежните услуги (ДПУ)</w:t>
      </w:r>
      <w:r>
        <w:rPr>
          <w:rFonts w:ascii="Times New Roman" w:hAnsi="Times New Roman"/>
          <w:noProof/>
          <w:spacing w:val="-2"/>
          <w:sz w:val="24"/>
          <w:vertAlign w:val="superscript"/>
        </w:rPr>
        <w:footnoteReference w:id="39"/>
      </w:r>
      <w:r>
        <w:rPr>
          <w:rFonts w:ascii="Times New Roman" w:hAnsi="Times New Roman"/>
          <w:noProof/>
          <w:spacing w:val="-2"/>
          <w:sz w:val="24"/>
        </w:rPr>
        <w:t xml:space="preserve">. След като през април Европейският парламент прие своите доклади по двете предложения, в края на 2014 г. Съветът прие общ подход по двата текста. </w:t>
      </w:r>
    </w:p>
    <w:p>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noProof/>
          <w:sz w:val="20"/>
          <w:szCs w:val="20"/>
        </w:rPr>
      </w:pPr>
      <w:r>
        <w:rPr>
          <w:rFonts w:ascii="Times New Roman" w:hAnsi="Times New Roman"/>
          <w:b/>
          <w:noProof/>
          <w:sz w:val="20"/>
        </w:rPr>
        <w:t>Съдебна практика в областта на антитръстовото правоприлагане: решението по делото MasterCard</w:t>
      </w:r>
    </w:p>
    <w:p>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imes New Roman" w:hAnsi="Times New Roman"/>
          <w:noProof/>
          <w:sz w:val="20"/>
          <w:szCs w:val="20"/>
        </w:rPr>
      </w:pPr>
      <w:r>
        <w:rPr>
          <w:rFonts w:ascii="Times New Roman" w:hAnsi="Times New Roman"/>
          <w:noProof/>
          <w:sz w:val="20"/>
        </w:rPr>
        <w:t>През септември Съдът на Европейския съюз потвърди решението на Комисията по делото на MasterCard (дело C-382/12P). Съдът потвърди, че МТО представляват ограничение на конкуренцията в нарушение на антитръстовите правила на ЕС. Решението е от особено значение, защото подкрепя над 20 годишната работа на Комисията и националните органи за защита на конкуренцията по създаването на функциониращ пазар за разплащателни карти в ЕС и потвърждава, че определянето на МТО попада в приложното поле на правилата на конкуренцията.</w:t>
      </w:r>
    </w:p>
    <w:p>
      <w:pPr>
        <w:keepNext/>
        <w:spacing w:line="240" w:lineRule="auto"/>
        <w:rPr>
          <w:rFonts w:ascii="Times New Roman" w:hAnsi="Times New Roman"/>
          <w:b/>
          <w:caps/>
          <w:noProof/>
          <w:sz w:val="24"/>
        </w:rPr>
      </w:pPr>
      <w:r>
        <w:rPr>
          <w:rFonts w:ascii="Times New Roman" w:hAnsi="Times New Roman"/>
          <w:b/>
          <w:caps/>
          <w:noProof/>
          <w:sz w:val="24"/>
        </w:rPr>
        <w:t>5. Укрепване на конкурентоспособността на европейската промишленост</w:t>
      </w:r>
    </w:p>
    <w:p>
      <w:pPr>
        <w:spacing w:line="240" w:lineRule="auto"/>
        <w:jc w:val="both"/>
        <w:rPr>
          <w:rFonts w:ascii="Times New Roman" w:hAnsi="Times New Roman"/>
          <w:i/>
          <w:noProof/>
          <w:sz w:val="24"/>
        </w:rPr>
      </w:pPr>
      <w:r>
        <w:rPr>
          <w:rFonts w:ascii="Times New Roman" w:hAnsi="Times New Roman"/>
          <w:noProof/>
          <w:sz w:val="24"/>
        </w:rPr>
        <w:t>Политиката в областта на конкуренцията и индустриалната политика са двете страни на една и съща монета: и двете помагат на европейските предприятия да станат по-ефективни и ги подготвят за вътрешната и световната конкуренция.</w:t>
      </w:r>
    </w:p>
    <w:p>
      <w:pPr>
        <w:keepNext/>
        <w:spacing w:line="240" w:lineRule="auto"/>
        <w:jc w:val="both"/>
        <w:rPr>
          <w:rFonts w:ascii="Times New Roman" w:eastAsia="Times New Roman" w:hAnsi="Times New Roman"/>
          <w:i/>
          <w:noProof/>
          <w:sz w:val="24"/>
          <w:szCs w:val="24"/>
        </w:rPr>
      </w:pPr>
      <w:r>
        <w:rPr>
          <w:rFonts w:ascii="Times New Roman" w:hAnsi="Times New Roman"/>
          <w:i/>
          <w:noProof/>
          <w:sz w:val="24"/>
        </w:rPr>
        <w:t>Насочване на публичните ресурси за отключването на потенциала за растеж в ЕС: инициативата за модернизиране на държавната помощ</w:t>
      </w:r>
    </w:p>
    <w:p>
      <w:pPr>
        <w:spacing w:line="240" w:lineRule="auto"/>
        <w:jc w:val="both"/>
        <w:rPr>
          <w:rFonts w:ascii="Times New Roman" w:eastAsia="Times New Roman" w:hAnsi="Times New Roman"/>
          <w:noProof/>
          <w:sz w:val="24"/>
          <w:szCs w:val="24"/>
        </w:rPr>
      </w:pPr>
      <w:r>
        <w:rPr>
          <w:rFonts w:ascii="Times New Roman" w:hAnsi="Times New Roman"/>
          <w:noProof/>
          <w:sz w:val="24"/>
        </w:rPr>
        <w:t>През януари бяха приети нови Насоки за държавните помощи за рисково финансиране</w:t>
      </w:r>
      <w:r>
        <w:rPr>
          <w:rFonts w:ascii="Times New Roman" w:hAnsi="Times New Roman"/>
          <w:noProof/>
        </w:rPr>
        <w:t xml:space="preserve">, </w:t>
      </w:r>
      <w:r>
        <w:rPr>
          <w:rFonts w:ascii="Times New Roman" w:hAnsi="Times New Roman"/>
          <w:noProof/>
          <w:sz w:val="24"/>
        </w:rPr>
        <w:t>които предоставят на държавите — членки на ЕС, усъвършенствани инструменти за улесняването на достъпа до финансиране за европейските МСП и дружествата със средна пазарна капитализация в ранните етапи на тяхното развитие</w:t>
      </w:r>
      <w:r>
        <w:rPr>
          <w:rFonts w:ascii="Times New Roman" w:hAnsi="Times New Roman"/>
          <w:noProof/>
          <w:sz w:val="24"/>
          <w:vertAlign w:val="superscript"/>
        </w:rPr>
        <w:footnoteReference w:id="40"/>
      </w:r>
      <w:r>
        <w:rPr>
          <w:rFonts w:ascii="Times New Roman" w:hAnsi="Times New Roman"/>
          <w:noProof/>
          <w:sz w:val="24"/>
        </w:rPr>
        <w:t>. Новите насоки дават повече възможности на държавите членки да отпускат помощ, предвиждат по-широка гама финансови инструменти и по-висок праг, съобразен с пазарната действителност. Насоките за рисково финансиране са част от инициативата за модернизиране на държавната помощ</w:t>
      </w:r>
      <w:r>
        <w:rPr>
          <w:rFonts w:ascii="Times New Roman" w:hAnsi="Times New Roman"/>
          <w:noProof/>
          <w:sz w:val="24"/>
          <w:vertAlign w:val="superscript"/>
        </w:rPr>
        <w:footnoteReference w:id="41"/>
      </w:r>
      <w:r>
        <w:rPr>
          <w:rFonts w:ascii="Times New Roman" w:hAnsi="Times New Roman"/>
          <w:noProof/>
          <w:sz w:val="24"/>
        </w:rPr>
        <w:t>, която представлява всеобхватна реформа на контрола върху държавната помощ, предназначена да стимулира икономическия растеж и допринасяща за постигането и на други цели от общ интерес.</w:t>
      </w:r>
    </w:p>
    <w:p>
      <w:pPr>
        <w:spacing w:line="240" w:lineRule="auto"/>
        <w:jc w:val="both"/>
        <w:rPr>
          <w:rFonts w:ascii="Times New Roman" w:eastAsia="Times New Roman" w:hAnsi="Times New Roman"/>
          <w:noProof/>
          <w:sz w:val="24"/>
          <w:szCs w:val="24"/>
        </w:rPr>
      </w:pPr>
      <w:r>
        <w:rPr>
          <w:rFonts w:ascii="Times New Roman" w:hAnsi="Times New Roman"/>
          <w:noProof/>
          <w:sz w:val="24"/>
        </w:rPr>
        <w:t>Насърчаването на научните изследвания и иновациите е една от тези цели, но силно новаторските проекти често са свързани с голям риск и не могат да бъдат изпълнени поради недостиг на финансиране. През май Комисията прие нови правила, за да улесни отпускането на помощи в подкрепа на научноизследователската и развойната дейност и иновациите</w:t>
      </w:r>
      <w:r>
        <w:rPr>
          <w:rFonts w:ascii="Times New Roman" w:hAnsi="Times New Roman"/>
          <w:noProof/>
          <w:sz w:val="24"/>
          <w:vertAlign w:val="superscript"/>
        </w:rPr>
        <w:footnoteReference w:id="42"/>
      </w:r>
      <w:r>
        <w:rPr>
          <w:rFonts w:ascii="Times New Roman" w:hAnsi="Times New Roman"/>
          <w:noProof/>
          <w:sz w:val="24"/>
        </w:rPr>
        <w:t xml:space="preserve">. Новата рамка ще спомогне за преодоляването на евентуален недостиг на финансиране, ще насърчи по-рационалното използване на публичните ресурси и ще намали бюрокрацията, като освободи групово значителна част от тези помощи. По подобен начин проектите за екоиновации обикновено отстраняват двойна пазарна неефективност, свързана с по-големите рискове на иновацията в съчетание с екологичния аспект на проекта. Тези инвестиции могат да получат по-високи интензитети на помощ, а съгласно новите насоки относно държавната помощ в областта на околната среда и енергетиката те могат да се прилагат особено към мерките за ресурсна ефективност. </w:t>
      </w:r>
    </w:p>
    <w:p>
      <w:pPr>
        <w:spacing w:line="240" w:lineRule="auto"/>
        <w:jc w:val="both"/>
        <w:rPr>
          <w:rFonts w:ascii="Times New Roman" w:hAnsi="Times New Roman"/>
          <w:noProof/>
        </w:rPr>
      </w:pPr>
      <w:r>
        <w:rPr>
          <w:rFonts w:ascii="Times New Roman" w:hAnsi="Times New Roman"/>
          <w:noProof/>
          <w:sz w:val="24"/>
        </w:rPr>
        <w:t>Финансирането на големи и рискови трансгранични проекти като изграждането на широкомащабна инфраструктура и изпълнението на други амбициозни проекти може да даде нов тласък на инвестициите, растежа и заетостта в Европа и да повиши конкурентоспособността на ЕС. В рамките на модернизирането на държавната помощ Комисията прие Съобщение за важни проекти от общо европейски интерес (ВПОИ)</w:t>
      </w:r>
      <w:r>
        <w:rPr>
          <w:rFonts w:ascii="Times New Roman" w:hAnsi="Times New Roman"/>
          <w:noProof/>
          <w:sz w:val="24"/>
          <w:vertAlign w:val="superscript"/>
        </w:rPr>
        <w:footnoteReference w:id="43"/>
      </w:r>
      <w:r>
        <w:rPr>
          <w:rFonts w:ascii="Times New Roman" w:hAnsi="Times New Roman"/>
          <w:noProof/>
          <w:sz w:val="24"/>
        </w:rPr>
        <w:t xml:space="preserve">, което открива нови възможности за държавите членки да финансират проекти, за които изглежда е необходимо междуотраслово сътрудничеството на равнище ЕС. </w:t>
      </w:r>
    </w:p>
    <w:p>
      <w:pPr>
        <w:spacing w:line="240" w:lineRule="auto"/>
        <w:jc w:val="both"/>
        <w:rPr>
          <w:rFonts w:ascii="Times New Roman" w:eastAsia="Times New Roman" w:hAnsi="Times New Roman"/>
          <w:noProof/>
          <w:sz w:val="24"/>
          <w:szCs w:val="24"/>
        </w:rPr>
      </w:pPr>
      <w:r>
        <w:rPr>
          <w:rFonts w:ascii="Times New Roman" w:hAnsi="Times New Roman"/>
          <w:noProof/>
          <w:sz w:val="24"/>
        </w:rPr>
        <w:t>През ноември председателят Юнкер обяви създаването на Европейски фонд за стратегически инвестиции (ЕФСИ)</w:t>
      </w:r>
      <w:r>
        <w:rPr>
          <w:rFonts w:ascii="Times New Roman" w:hAnsi="Times New Roman"/>
          <w:noProof/>
          <w:sz w:val="24"/>
          <w:vertAlign w:val="superscript"/>
        </w:rPr>
        <w:footnoteReference w:id="44"/>
      </w:r>
      <w:r>
        <w:rPr>
          <w:rFonts w:ascii="Times New Roman" w:hAnsi="Times New Roman"/>
          <w:noProof/>
          <w:sz w:val="24"/>
        </w:rPr>
        <w:t>, чиято цел е да бъдат увеличени инвестициите в Европа чрез създаване на инвестиции в размер на 315 милиарда евро. За постигането на максимален ефект от тези инвестиции Комисията ще разработи набор от основни принципи за оценка на държавната помощ, с които проектите трябва да бъдат съобразени, за да бъдат допустими за подкрепа по ЕФСИ</w:t>
      </w:r>
      <w:r>
        <w:rPr>
          <w:rFonts w:ascii="Times New Roman" w:hAnsi="Times New Roman"/>
          <w:noProof/>
          <w:sz w:val="24"/>
          <w:vertAlign w:val="superscript"/>
        </w:rPr>
        <w:footnoteReference w:id="45"/>
      </w:r>
      <w:r>
        <w:rPr>
          <w:rFonts w:ascii="Times New Roman" w:hAnsi="Times New Roman"/>
          <w:noProof/>
          <w:sz w:val="24"/>
        </w:rPr>
        <w:t>. Ако съответният проект отговаря на тези критерии и е подпомаган от Фонда, всяка допълнителна национална подкрепа ще подлежи на опростена и ускорена оценка на държавната помощ, при която единственият допълнителен аспект, който Комисията проверява, е пропорционалността на публичното подпомагане (липса на свръхкомпенсация).</w:t>
      </w:r>
    </w:p>
    <w:p>
      <w:pPr>
        <w:spacing w:line="240" w:lineRule="auto"/>
        <w:jc w:val="both"/>
        <w:rPr>
          <w:rFonts w:ascii="Times New Roman" w:eastAsia="Times New Roman" w:hAnsi="Times New Roman"/>
          <w:noProof/>
          <w:sz w:val="24"/>
          <w:szCs w:val="24"/>
        </w:rPr>
      </w:pPr>
      <w:r>
        <w:rPr>
          <w:rFonts w:ascii="Times New Roman" w:hAnsi="Times New Roman"/>
          <w:noProof/>
          <w:sz w:val="24"/>
        </w:rPr>
        <w:t>През 2014</w:t>
      </w:r>
      <w:r>
        <w:rPr>
          <w:rFonts w:ascii="Times New Roman" w:hAnsi="Times New Roman"/>
          <w:noProof/>
          <w:sz w:val="24"/>
          <w:lang w:val="en-GB"/>
        </w:rPr>
        <w:t> </w:t>
      </w:r>
      <w:r>
        <w:rPr>
          <w:rFonts w:ascii="Times New Roman" w:hAnsi="Times New Roman"/>
          <w:noProof/>
          <w:sz w:val="24"/>
        </w:rPr>
        <w:t>г. Комисията приключи също преразглеждането на Насоките за държавна помощ за оздравяване и преструктуриране на нефинансови предприятия в затруднено положение</w:t>
      </w:r>
      <w:r>
        <w:rPr>
          <w:rFonts w:ascii="Times New Roman" w:hAnsi="Times New Roman"/>
          <w:noProof/>
          <w:sz w:val="24"/>
          <w:vertAlign w:val="superscript"/>
        </w:rPr>
        <w:footnoteReference w:id="46"/>
      </w:r>
      <w:r>
        <w:rPr>
          <w:rFonts w:ascii="Times New Roman" w:hAnsi="Times New Roman"/>
          <w:noProof/>
          <w:sz w:val="24"/>
        </w:rPr>
        <w:t>. Новите насоки целят да се гарантира, че ресурсите се използват по-ефективно и с по-малък брой смущения във функционирането на пазара, както и че държавната помощ се насочва към случаите, в които тя наистина е необходима.</w:t>
      </w:r>
    </w:p>
    <w:p>
      <w:pPr>
        <w:spacing w:line="240" w:lineRule="auto"/>
        <w:jc w:val="both"/>
        <w:rPr>
          <w:rFonts w:ascii="Times New Roman" w:hAnsi="Times New Roman"/>
          <w:noProof/>
          <w:sz w:val="24"/>
        </w:rPr>
      </w:pPr>
      <w:r>
        <w:rPr>
          <w:rFonts w:ascii="Times New Roman" w:hAnsi="Times New Roman"/>
          <w:noProof/>
          <w:sz w:val="24"/>
        </w:rPr>
        <w:t>За да се гарантира, че новите насоки ще изпълнят обещанията си, в модернизирането на държавната помощ бяха очертани също междусекторни принципи и практики. Държавите членки ще разберат по-добре разходите и ползите от своите намеси благодарение на въведеното изискване за последваща оценка на големите схеми по ОРГО в определени категории помощи, както и за схемите, за които е постъпило уведомление съгласно новите насоки. И накрая, бяха въведени и по-строги изисквания за прозрачност.</w:t>
      </w:r>
    </w:p>
    <w:p>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noProof/>
          <w:sz w:val="20"/>
          <w:szCs w:val="20"/>
        </w:rPr>
      </w:pPr>
      <w:r>
        <w:rPr>
          <w:rFonts w:ascii="Times New Roman" w:hAnsi="Times New Roman"/>
          <w:b/>
          <w:noProof/>
          <w:sz w:val="20"/>
        </w:rPr>
        <w:t>Нов Общ регламент за групово освобождаване, който подкрепя стимулиращи растежа мерки за помощ</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rPr>
        <w:t>Крайъгълен камък на инициативата за модернизиране на държавната помощ е преразгледаният Общ регламент за групово освобождаване (ОРГО), който дава на държавите членки много повече свобода при замисъла и изпълнението на мерките за помощ. От 1 юли 2014 г. държавите членки могат да предоставят по-широк набор от мерки, както и по-големи размери на помощ, без да се налага да уведомяват за тях Комисията с цел да получат предварително разрешение. Очаква се три четвърти от мерките за държавна помощ и около две трети от размера на помощите да бъдат обхванати от новия Общ регламент за групово освобождаване, което ще ускори достъпа до помощ, считана за съвместима с вътрешния пазар.</w:t>
      </w:r>
    </w:p>
    <w:p>
      <w:pPr>
        <w:keepNext/>
        <w:spacing w:line="240" w:lineRule="auto"/>
        <w:jc w:val="both"/>
        <w:rPr>
          <w:rFonts w:ascii="Times New Roman" w:eastAsia="Times New Roman" w:hAnsi="Times New Roman"/>
          <w:i/>
          <w:noProof/>
          <w:sz w:val="24"/>
          <w:szCs w:val="24"/>
        </w:rPr>
      </w:pPr>
      <w:r>
        <w:rPr>
          <w:rFonts w:ascii="Times New Roman" w:hAnsi="Times New Roman"/>
          <w:i/>
          <w:noProof/>
          <w:sz w:val="24"/>
        </w:rPr>
        <w:t>Гарантиране на достъп за промишлеността до производствени фактори на справедливи цени чрез борба с картелите и предотвратяване на вредните за конкуренцията сливания</w:t>
      </w:r>
    </w:p>
    <w:p>
      <w:pPr>
        <w:spacing w:line="240" w:lineRule="auto"/>
        <w:jc w:val="both"/>
        <w:rPr>
          <w:rFonts w:ascii="Times New Roman" w:eastAsia="Times New Roman" w:hAnsi="Times New Roman"/>
          <w:noProof/>
          <w:sz w:val="24"/>
          <w:szCs w:val="24"/>
        </w:rPr>
      </w:pPr>
      <w:r>
        <w:rPr>
          <w:rFonts w:ascii="Times New Roman" w:hAnsi="Times New Roman"/>
          <w:noProof/>
          <w:sz w:val="24"/>
        </w:rPr>
        <w:t>Целенасочената публична подкрепа може да спомогне за преодоляване на слабостите на пазара, но достъпът до производствени фактори на справедливи цени е също толкова важен, особено в епохата на глобална конкуренция. Картелите често засягат междинни продукти, които могат да са важен производствен фактор за промишлеността, и поради това картелите могат да засегнат конкурентоспособността на европейската промишленост. През 2014 г. действията по правоприлагане в областта на конкуренцията бяха насочени към няколко такива картела.</w:t>
      </w:r>
    </w:p>
    <w:p>
      <w:pPr>
        <w:spacing w:line="240" w:lineRule="auto"/>
        <w:jc w:val="both"/>
        <w:rPr>
          <w:rFonts w:ascii="Times New Roman" w:eastAsia="Times New Roman" w:hAnsi="Times New Roman"/>
          <w:noProof/>
          <w:sz w:val="24"/>
          <w:szCs w:val="24"/>
        </w:rPr>
      </w:pPr>
      <w:r>
        <w:rPr>
          <w:rFonts w:ascii="Times New Roman" w:hAnsi="Times New Roman"/>
          <w:noProof/>
          <w:sz w:val="24"/>
        </w:rPr>
        <w:t>В резултат на делото за кабелните снопове от 2013</w:t>
      </w:r>
      <w:r>
        <w:rPr>
          <w:rFonts w:ascii="Times New Roman" w:hAnsi="Times New Roman"/>
          <w:noProof/>
          <w:sz w:val="24"/>
          <w:vertAlign w:val="superscript"/>
        </w:rPr>
        <w:footnoteReference w:id="47"/>
      </w:r>
      <w:r>
        <w:rPr>
          <w:rFonts w:ascii="Times New Roman" w:hAnsi="Times New Roman"/>
          <w:noProof/>
          <w:sz w:val="24"/>
        </w:rPr>
        <w:t xml:space="preserve"> г. през 2014 г. Комисията наложи глоба на два картела в сектора на частите за автомобили. През януари Комисията наложи глоба на четиримата основни производители на гъвкава полиуретанова пяна за матраци, дивани и автомобилни седалки — Vita, Carpenter, Recticel и Eurofoam — общо </w:t>
      </w:r>
      <w:r>
        <w:rPr>
          <w:rFonts w:ascii="Times New Roman" w:hAnsi="Times New Roman"/>
          <w:noProof/>
          <w:color w:val="000000"/>
          <w:sz w:val="24"/>
        </w:rPr>
        <w:t>114 милиона евро</w:t>
      </w:r>
      <w:r>
        <w:rPr>
          <w:rFonts w:ascii="Times New Roman" w:hAnsi="Times New Roman"/>
          <w:noProof/>
          <w:sz w:val="24"/>
          <w:vertAlign w:val="superscript"/>
        </w:rPr>
        <w:footnoteReference w:id="48"/>
      </w:r>
      <w:r>
        <w:rPr>
          <w:rFonts w:ascii="Times New Roman" w:hAnsi="Times New Roman"/>
          <w:noProof/>
          <w:sz w:val="24"/>
        </w:rPr>
        <w:t xml:space="preserve">. През март две европейски дружества (SKF и Schaeffler) и четири японски дружества (JTEKT, NSK, NFC и NTN с френското си дъщерно предприятие NTN-SNR) бяха глобени общо 953 милиона </w:t>
      </w:r>
      <w:r>
        <w:rPr>
          <w:rFonts w:ascii="Times New Roman" w:hAnsi="Times New Roman"/>
          <w:noProof/>
          <w:color w:val="000000"/>
          <w:sz w:val="24"/>
        </w:rPr>
        <w:t xml:space="preserve">евро </w:t>
      </w:r>
      <w:r>
        <w:rPr>
          <w:rFonts w:ascii="Times New Roman" w:hAnsi="Times New Roman"/>
          <w:noProof/>
          <w:sz w:val="24"/>
        </w:rPr>
        <w:t>за създаването на картел на пазара на автомобилни лагери</w:t>
      </w:r>
      <w:r>
        <w:rPr>
          <w:rFonts w:ascii="Times New Roman" w:hAnsi="Times New Roman"/>
          <w:noProof/>
          <w:sz w:val="24"/>
          <w:vertAlign w:val="superscript"/>
        </w:rPr>
        <w:footnoteReference w:id="49"/>
      </w:r>
      <w:r>
        <w:rPr>
          <w:rFonts w:ascii="Times New Roman" w:hAnsi="Times New Roman"/>
          <w:noProof/>
          <w:sz w:val="24"/>
        </w:rPr>
        <w:t>. Автомобилните лагери се използват в леките и товарните автомобили и от производителите на автомобилни части, за да се намали триенето между движещите се части в самото превозно средство.</w:t>
      </w:r>
    </w:p>
    <w:p>
      <w:pPr>
        <w:spacing w:line="240" w:lineRule="auto"/>
        <w:jc w:val="both"/>
        <w:rPr>
          <w:rFonts w:ascii="Times New Roman" w:eastAsia="Times New Roman" w:hAnsi="Times New Roman"/>
          <w:noProof/>
          <w:sz w:val="24"/>
          <w:szCs w:val="24"/>
        </w:rPr>
      </w:pPr>
      <w:r>
        <w:rPr>
          <w:rFonts w:ascii="Times New Roman" w:hAnsi="Times New Roman"/>
          <w:noProof/>
          <w:spacing w:val="-6"/>
          <w:sz w:val="24"/>
        </w:rPr>
        <w:t xml:space="preserve">През април Комисията установи, че Ervin, Winoa, Metalltechnik Schmidt и Eisenwerk Würth са участвали в картел за координиране на цените на стоманени абразиви в Европа и им наложи глоби от общо над 30 милиона </w:t>
      </w:r>
      <w:r>
        <w:rPr>
          <w:rFonts w:ascii="Times New Roman" w:hAnsi="Times New Roman"/>
          <w:noProof/>
          <w:color w:val="000000"/>
          <w:spacing w:val="-6"/>
          <w:sz w:val="24"/>
        </w:rPr>
        <w:t>евро</w:t>
      </w:r>
      <w:r>
        <w:rPr>
          <w:rFonts w:ascii="Times New Roman" w:hAnsi="Times New Roman"/>
          <w:noProof/>
          <w:spacing w:val="-6"/>
          <w:sz w:val="24"/>
          <w:vertAlign w:val="superscript"/>
        </w:rPr>
        <w:footnoteReference w:id="50"/>
      </w:r>
      <w:r>
        <w:rPr>
          <w:rFonts w:ascii="Times New Roman" w:hAnsi="Times New Roman"/>
          <w:noProof/>
          <w:spacing w:val="-6"/>
          <w:sz w:val="24"/>
        </w:rPr>
        <w:t xml:space="preserve"> . Стоманените абразиви са гранулени стоманени частици, използвани за почистване или подобряване на метални повърхности в стоманодобива, автомобилостроенето, металургията и нефтохимическата промишленост</w:t>
      </w:r>
      <w:r>
        <w:rPr>
          <w:rFonts w:ascii="Times New Roman" w:hAnsi="Times New Roman"/>
          <w:noProof/>
          <w:sz w:val="24"/>
        </w:rPr>
        <w:t>.</w:t>
      </w:r>
    </w:p>
    <w:p>
      <w:pPr>
        <w:spacing w:line="240" w:lineRule="auto"/>
        <w:jc w:val="both"/>
        <w:rPr>
          <w:rFonts w:ascii="Times New Roman" w:eastAsia="Times New Roman" w:hAnsi="Times New Roman"/>
          <w:noProof/>
          <w:sz w:val="24"/>
          <w:szCs w:val="24"/>
        </w:rPr>
      </w:pPr>
      <w:r>
        <w:rPr>
          <w:rFonts w:ascii="Times New Roman" w:hAnsi="Times New Roman"/>
          <w:noProof/>
          <w:sz w:val="24"/>
        </w:rPr>
        <w:t>Комисията глоби също 11 предприятия, произвеждащи подземни и подводни електропроводи за високо напрежение, с общо почти 302 милиона евро за това, че са си поделили пазарите и разпределили клиентите</w:t>
      </w:r>
      <w:r>
        <w:rPr>
          <w:rFonts w:ascii="Times New Roman" w:hAnsi="Times New Roman"/>
          <w:noProof/>
          <w:sz w:val="24"/>
          <w:vertAlign w:val="superscript"/>
        </w:rPr>
        <w:footnoteReference w:id="51"/>
      </w:r>
      <w:r>
        <w:rPr>
          <w:rFonts w:ascii="Times New Roman" w:hAnsi="Times New Roman"/>
          <w:noProof/>
          <w:sz w:val="24"/>
        </w:rPr>
        <w:t>. Електропроводите се използват за пренос и разпределение на електрическа енергия и са положени под земята или под водата. Те обикновено се използват за свързване на генериращи мощности (по-специално производствен капацитет от възобновяеми енергийни източници) с електропреносната мрежа или за свързването на електроенергийни мрежи в различни държави. По тази причина цената на такива кабели е от пряко значение за потребителите на електроенергия.</w:t>
      </w:r>
    </w:p>
    <w:p>
      <w:pPr>
        <w:spacing w:line="240" w:lineRule="auto"/>
        <w:jc w:val="both"/>
        <w:rPr>
          <w:rFonts w:ascii="Times New Roman" w:eastAsia="Times New Roman" w:hAnsi="Times New Roman"/>
          <w:noProof/>
          <w:sz w:val="24"/>
          <w:szCs w:val="24"/>
        </w:rPr>
      </w:pPr>
      <w:r>
        <w:rPr>
          <w:rFonts w:ascii="Times New Roman" w:hAnsi="Times New Roman"/>
          <w:noProof/>
          <w:sz w:val="24"/>
        </w:rPr>
        <w:t>През септември Комисията глоби Infineon, Philips, Samsung и Renesas (към въпросния момент съвместно предприятие на Hitachi и Mitsubishi) за участието им в картела за чипове за смарт карти на територията на ЕИП</w:t>
      </w:r>
      <w:r>
        <w:rPr>
          <w:rFonts w:ascii="Times New Roman" w:hAnsi="Times New Roman"/>
          <w:noProof/>
          <w:sz w:val="24"/>
          <w:vertAlign w:val="superscript"/>
        </w:rPr>
        <w:footnoteReference w:id="52"/>
      </w:r>
      <w:r>
        <w:rPr>
          <w:rFonts w:ascii="Times New Roman" w:hAnsi="Times New Roman"/>
          <w:noProof/>
          <w:sz w:val="24"/>
        </w:rPr>
        <w:t xml:space="preserve">. Чиповете за смарт карти се използват в SIM карти за мобилни телефони, банкови карти, лични карти и паспорти, карти за платена телевизия, както и в различни други приложения. Комисията наложи глоби, възлизащи общо на 138 милиона </w:t>
      </w:r>
      <w:r>
        <w:rPr>
          <w:rFonts w:ascii="Times New Roman" w:hAnsi="Times New Roman"/>
          <w:noProof/>
          <w:color w:val="000000"/>
          <w:sz w:val="24"/>
        </w:rPr>
        <w:t>евро</w:t>
      </w:r>
      <w:r>
        <w:rPr>
          <w:rFonts w:ascii="Times New Roman" w:hAnsi="Times New Roman"/>
          <w:noProof/>
          <w:sz w:val="24"/>
        </w:rPr>
        <w:t>.</w:t>
      </w:r>
    </w:p>
    <w:p>
      <w:pPr>
        <w:spacing w:line="240" w:lineRule="auto"/>
        <w:jc w:val="both"/>
        <w:rPr>
          <w:rFonts w:ascii="Times New Roman" w:eastAsia="Times New Roman" w:hAnsi="Times New Roman"/>
          <w:noProof/>
          <w:sz w:val="24"/>
          <w:szCs w:val="24"/>
        </w:rPr>
      </w:pPr>
      <w:r>
        <w:rPr>
          <w:rFonts w:ascii="Times New Roman" w:hAnsi="Times New Roman"/>
          <w:noProof/>
          <w:sz w:val="24"/>
        </w:rPr>
        <w:t>В момента се провежда важно разследване в сектора на тежкотоварните камиони. Комисията има опасения, че някои производители на тежко- и среднотоварни автомобили може да са се споразумели или да са координирали своето ценово поведение в Европейското икономическо пространство. През ноември на засегнатите дружества бе изпратено изложение на възраженията</w:t>
      </w:r>
      <w:r>
        <w:rPr>
          <w:rFonts w:ascii="Times New Roman" w:hAnsi="Times New Roman"/>
          <w:noProof/>
          <w:sz w:val="24"/>
          <w:vertAlign w:val="superscript"/>
        </w:rPr>
        <w:footnoteReference w:id="53"/>
      </w:r>
      <w:r>
        <w:rPr>
          <w:rFonts w:ascii="Times New Roman" w:hAnsi="Times New Roman"/>
          <w:noProof/>
          <w:sz w:val="24"/>
        </w:rPr>
        <w:t>.</w:t>
      </w:r>
    </w:p>
    <w:p>
      <w:pPr>
        <w:spacing w:line="240" w:lineRule="auto"/>
        <w:jc w:val="both"/>
        <w:rPr>
          <w:rFonts w:ascii="Times New Roman" w:hAnsi="Times New Roman"/>
          <w:noProof/>
          <w:sz w:val="24"/>
          <w:szCs w:val="24"/>
        </w:rPr>
      </w:pPr>
      <w:r>
        <w:rPr>
          <w:rFonts w:ascii="Times New Roman" w:hAnsi="Times New Roman"/>
          <w:noProof/>
          <w:sz w:val="24"/>
        </w:rPr>
        <w:t>Освен това прилагането на антитръстовите правила на ЕС не позволява на предприятията с господстващо положение да изключват конкуренти от пазара, като това е от особено значение за малките участници като МСП. МСП могат също да се възползват от конкретни разпоредби, които вземат предвид техните особености и важния им принос за растежа и разкриването на работни места. През юни Комисията прие преразгледания текст на Известието относно споразумения с незначителен ефект (Известието „</w:t>
      </w:r>
      <w:r>
        <w:rPr>
          <w:rFonts w:ascii="Times New Roman" w:hAnsi="Times New Roman"/>
          <w:i/>
          <w:noProof/>
          <w:sz w:val="24"/>
        </w:rPr>
        <w:t>De minimis</w:t>
      </w:r>
      <w:r>
        <w:rPr>
          <w:rFonts w:ascii="Times New Roman" w:hAnsi="Times New Roman"/>
          <w:noProof/>
          <w:sz w:val="24"/>
        </w:rPr>
        <w:t>“)</w:t>
      </w:r>
      <w:r>
        <w:rPr>
          <w:rFonts w:ascii="Times New Roman" w:hAnsi="Times New Roman"/>
          <w:noProof/>
          <w:sz w:val="24"/>
          <w:vertAlign w:val="superscript"/>
        </w:rPr>
        <w:footnoteReference w:id="54"/>
      </w:r>
      <w:r>
        <w:rPr>
          <w:rFonts w:ascii="Times New Roman" w:hAnsi="Times New Roman"/>
          <w:noProof/>
          <w:sz w:val="24"/>
        </w:rPr>
        <w:t>, което осигурява защитена зона за споразумения, съдържащи нетвърди ограничения, сключени между предприятия с пазарни дялове под определени прагове. За тези споразумения се счита, че не ограничават съществено конкуренцията. За да се улесни оценката на дружествата дали споразуменията им попадат в защитената зона в съответствие с Известието „</w:t>
      </w:r>
      <w:r>
        <w:rPr>
          <w:rFonts w:ascii="Times New Roman" w:hAnsi="Times New Roman"/>
          <w:i/>
          <w:noProof/>
          <w:sz w:val="24"/>
        </w:rPr>
        <w:t>De minimis</w:t>
      </w:r>
      <w:r>
        <w:rPr>
          <w:rFonts w:ascii="Times New Roman" w:hAnsi="Times New Roman"/>
          <w:noProof/>
          <w:sz w:val="24"/>
        </w:rPr>
        <w:t>“, Комисията публикува също документ с насоки.</w:t>
      </w:r>
    </w:p>
    <w:p>
      <w:pPr>
        <w:spacing w:line="240" w:lineRule="auto"/>
        <w:jc w:val="both"/>
        <w:rPr>
          <w:rFonts w:ascii="Times New Roman" w:hAnsi="Times New Roman"/>
          <w:noProof/>
          <w:sz w:val="24"/>
          <w:szCs w:val="24"/>
        </w:rPr>
      </w:pPr>
      <w:r>
        <w:rPr>
          <w:rFonts w:ascii="Times New Roman" w:hAnsi="Times New Roman"/>
          <w:noProof/>
          <w:sz w:val="24"/>
        </w:rPr>
        <w:t>Комисията внимаваше също производителите на важни производствени фактори да не придобиват чрез сливания пазарна мощ, позволяваща им да увеличават цените над конкурентните равнища</w:t>
      </w:r>
      <w:r>
        <w:rPr>
          <w:rFonts w:ascii="Times New Roman" w:hAnsi="Times New Roman"/>
          <w:noProof/>
        </w:rPr>
        <w:t>.</w:t>
      </w:r>
      <w:r>
        <w:rPr>
          <w:rFonts w:ascii="Times New Roman" w:hAnsi="Times New Roman"/>
          <w:noProof/>
          <w:sz w:val="24"/>
        </w:rPr>
        <w:t xml:space="preserve"> След задълбочено разследване Комисията одобри предложението за съвместно предприятие между Ineos и Solvay в силно концентрирания пазар на PVC, но им наложи условието да преотстъпят на конкурент значителен пакет производствени активи</w:t>
      </w:r>
      <w:r>
        <w:rPr>
          <w:rFonts w:ascii="Times New Roman" w:hAnsi="Times New Roman"/>
          <w:noProof/>
          <w:sz w:val="24"/>
          <w:vertAlign w:val="superscript"/>
        </w:rPr>
        <w:footnoteReference w:id="55"/>
      </w:r>
      <w:r>
        <w:rPr>
          <w:rFonts w:ascii="Times New Roman" w:hAnsi="Times New Roman"/>
          <w:noProof/>
          <w:sz w:val="24"/>
        </w:rPr>
        <w:t>.</w:t>
      </w:r>
    </w:p>
    <w:p>
      <w:pPr>
        <w:keepNext/>
        <w:spacing w:line="240" w:lineRule="auto"/>
        <w:rPr>
          <w:rFonts w:ascii="Times New Roman" w:hAnsi="Times New Roman"/>
          <w:b/>
          <w:caps/>
          <w:noProof/>
          <w:sz w:val="24"/>
        </w:rPr>
      </w:pPr>
      <w:r>
        <w:rPr>
          <w:rFonts w:ascii="Times New Roman" w:hAnsi="Times New Roman"/>
          <w:b/>
          <w:caps/>
          <w:noProof/>
          <w:sz w:val="24"/>
        </w:rPr>
        <w:t>6. Контрол върху държавните помощи, койтодопринася за това да се гарантира справедлива данъчна тежест за всички</w:t>
      </w:r>
    </w:p>
    <w:p>
      <w:pPr>
        <w:spacing w:line="240" w:lineRule="auto"/>
        <w:jc w:val="both"/>
        <w:rPr>
          <w:rFonts w:ascii="Times New Roman" w:hAnsi="Times New Roman"/>
          <w:noProof/>
          <w:sz w:val="24"/>
          <w:szCs w:val="24"/>
        </w:rPr>
      </w:pPr>
      <w:r>
        <w:rPr>
          <w:rFonts w:ascii="Times New Roman" w:hAnsi="Times New Roman"/>
          <w:noProof/>
          <w:sz w:val="24"/>
        </w:rPr>
        <w:t>Приходите от данъци в ЕС представляват около 90 % от всички бюджетни приходи</w:t>
      </w:r>
      <w:r>
        <w:rPr>
          <w:rFonts w:ascii="Times New Roman" w:hAnsi="Times New Roman"/>
          <w:noProof/>
          <w:sz w:val="24"/>
          <w:vertAlign w:val="superscript"/>
        </w:rPr>
        <w:footnoteReference w:id="56"/>
      </w:r>
      <w:r>
        <w:rPr>
          <w:rFonts w:ascii="Times New Roman" w:hAnsi="Times New Roman"/>
          <w:noProof/>
          <w:sz w:val="24"/>
        </w:rPr>
        <w:t xml:space="preserve">. В сегашния икономически контекст е по-важно от всякога всички данъкоплатци да дават своя принос. Лоялната данъчна конкуренция е от съществено значение също за целостта на единния пазар и за запазването на равнопоставеност между европейските дружества. В своите политически насоки председателят Юнкер заяви: </w:t>
      </w:r>
      <w:r>
        <w:rPr>
          <w:rFonts w:ascii="Times New Roman" w:hAnsi="Times New Roman"/>
          <w:i/>
          <w:noProof/>
          <w:sz w:val="24"/>
        </w:rPr>
        <w:t>„Като признаваме компетентността на държавите членки за техните системи на данъчно облагане, ние трябва да засилим нашите усилия за борба с укриването на данъци и данъчните измами, така че всеки да допринася със справедлив дял“.</w:t>
      </w:r>
    </w:p>
    <w:p>
      <w:pPr>
        <w:spacing w:line="240" w:lineRule="auto"/>
        <w:jc w:val="both"/>
        <w:rPr>
          <w:rFonts w:ascii="Times New Roman" w:hAnsi="Times New Roman"/>
          <w:noProof/>
          <w:sz w:val="24"/>
        </w:rPr>
      </w:pPr>
      <w:r>
        <w:rPr>
          <w:rFonts w:ascii="Times New Roman" w:hAnsi="Times New Roman"/>
          <w:noProof/>
          <w:sz w:val="24"/>
        </w:rPr>
        <w:t>ЕС не разполага с преки правомощия за намеса в националните данъчни системи, но Комисията може да разследва дали определени данъчни режими не представляват неправомерни държавни помощи в полза на предприятия, като им предоставят избирателни данъчни предимства. По силата на рамката за държавните помощи Комисията изрази съмнения относно съвместимостта на някои данъчни практики, възприети от големи мултинационални дружества в контекста на агресивното данъчно планиране.</w:t>
      </w:r>
    </w:p>
    <w:p>
      <w:pPr>
        <w:spacing w:line="240" w:lineRule="auto"/>
        <w:jc w:val="both"/>
        <w:rPr>
          <w:rFonts w:ascii="Times New Roman" w:hAnsi="Times New Roman"/>
          <w:noProof/>
          <w:sz w:val="24"/>
        </w:rPr>
      </w:pPr>
      <w:r>
        <w:rPr>
          <w:rFonts w:ascii="Times New Roman" w:hAnsi="Times New Roman"/>
          <w:noProof/>
          <w:sz w:val="24"/>
        </w:rPr>
        <w:t xml:space="preserve">Агресивното данъчно планиране представлява възползване от техническите аспекти на данъчната система или от несъответствията между данъчните системи с цел намаляване на данъчни задължения. Агресивното данъчно планиране може да приеме различни форми, включително използването на индивидуални решения за предварително определяне на приложимия данъчен режим. Решенията за предварително определяне на данъчния режим като такива не създават проблеми: те са писмени становища, изготвяни от данъчните администрации в отговор на запитвания на отделни дружества, изясняващи как ще бъде изчислен корпоративният им данък. </w:t>
      </w:r>
    </w:p>
    <w:p>
      <w:pPr>
        <w:spacing w:line="240" w:lineRule="auto"/>
        <w:jc w:val="both"/>
        <w:rPr>
          <w:rFonts w:ascii="Times New Roman" w:hAnsi="Times New Roman"/>
          <w:noProof/>
          <w:sz w:val="24"/>
        </w:rPr>
      </w:pPr>
      <w:r>
        <w:rPr>
          <w:rFonts w:ascii="Times New Roman" w:hAnsi="Times New Roman"/>
          <w:noProof/>
          <w:sz w:val="24"/>
        </w:rPr>
        <w:t>Решенията за предварително определяне на данъчния режим се използват по-специално за потвърждаване на споразуменията за трансферни цени. Трансферните цени се използват за търговски сделки между различни структури на една и съща група дружества, по-специално цените, определени за продаваните стоки или предоставяните услуги от едно дружество, влизащо в състава на корпоративна група, за друго дружество от същата група. По този начин трансферните цени влияят на разпределянето на облагаемата печалба между дъщерните дружества на определена група, разположени в различни държави.</w:t>
      </w:r>
    </w:p>
    <w:p>
      <w:pPr>
        <w:spacing w:line="240" w:lineRule="auto"/>
        <w:jc w:val="both"/>
        <w:rPr>
          <w:rFonts w:ascii="Times New Roman" w:hAnsi="Times New Roman"/>
          <w:noProof/>
          <w:sz w:val="24"/>
        </w:rPr>
      </w:pPr>
      <w:r>
        <w:rPr>
          <w:rFonts w:ascii="Times New Roman" w:hAnsi="Times New Roman"/>
          <w:noProof/>
          <w:sz w:val="24"/>
        </w:rPr>
        <w:t>Решенията за предварително определяне на данъчния режим, които се ограничават с уточняването на начина, по който се прилагат общите правила към конкретни случаи, не създават проблеми. Решенията за предварително определяне на данъчния режим могат обаче да включват държавна помощ, ако те използват за предоставянето на избирателно предимство за конкретни дружества или групи. Ако възнаграждението, получавано от една структура, не се основава на възнаграждение по пазарни условия при нормална конкуренция, това би могло да доведе до намаляване на облагаемата печалба за групата като цяло. Други дружества, които купуват от пазара и продават на него стоки или услуги, а не в рамките на групата, биха били поставени в неравностойно положение.</w:t>
      </w:r>
    </w:p>
    <w:p>
      <w:pPr>
        <w:spacing w:line="240" w:lineRule="auto"/>
        <w:jc w:val="both"/>
        <w:rPr>
          <w:rFonts w:ascii="Times New Roman" w:hAnsi="Times New Roman"/>
          <w:noProof/>
          <w:sz w:val="24"/>
        </w:rPr>
      </w:pPr>
      <w:r>
        <w:rPr>
          <w:rFonts w:ascii="Times New Roman" w:hAnsi="Times New Roman"/>
          <w:noProof/>
          <w:sz w:val="24"/>
        </w:rPr>
        <w:t>През юни Комисията откри официални разследвания по три случая: Apple в Ирландия</w:t>
      </w:r>
      <w:r>
        <w:rPr>
          <w:rFonts w:ascii="Times New Roman" w:hAnsi="Times New Roman"/>
          <w:noProof/>
          <w:vertAlign w:val="superscript"/>
        </w:rPr>
        <w:footnoteReference w:id="57"/>
      </w:r>
      <w:r>
        <w:rPr>
          <w:rFonts w:ascii="Times New Roman" w:hAnsi="Times New Roman"/>
          <w:noProof/>
          <w:sz w:val="24"/>
        </w:rPr>
        <w:t>, Starbucks в Нидерландия</w:t>
      </w:r>
      <w:r>
        <w:rPr>
          <w:rFonts w:ascii="Times New Roman" w:hAnsi="Times New Roman"/>
          <w:noProof/>
          <w:vertAlign w:val="superscript"/>
        </w:rPr>
        <w:footnoteReference w:id="58"/>
      </w:r>
      <w:r>
        <w:rPr>
          <w:rFonts w:ascii="Times New Roman" w:hAnsi="Times New Roman"/>
          <w:noProof/>
          <w:sz w:val="24"/>
        </w:rPr>
        <w:t xml:space="preserve"> и Fiat Finance &amp; Trade в Люксембург</w:t>
      </w:r>
      <w:r>
        <w:rPr>
          <w:rFonts w:ascii="Times New Roman" w:hAnsi="Times New Roman"/>
          <w:noProof/>
          <w:vertAlign w:val="superscript"/>
        </w:rPr>
        <w:footnoteReference w:id="59"/>
      </w:r>
      <w:r>
        <w:rPr>
          <w:rFonts w:ascii="Times New Roman" w:hAnsi="Times New Roman"/>
          <w:noProof/>
          <w:sz w:val="24"/>
        </w:rPr>
        <w:t>. През октомври започна друго разследване, касаещо Amazon в Люксембург</w:t>
      </w:r>
      <w:r>
        <w:rPr>
          <w:rFonts w:ascii="Times New Roman" w:hAnsi="Times New Roman"/>
          <w:noProof/>
          <w:vertAlign w:val="superscript"/>
        </w:rPr>
        <w:footnoteReference w:id="60"/>
      </w:r>
      <w:r>
        <w:rPr>
          <w:rFonts w:ascii="Times New Roman" w:hAnsi="Times New Roman"/>
          <w:noProof/>
          <w:sz w:val="24"/>
        </w:rPr>
        <w:t>. Комисията изрази съмнения дали индивидуални решения за предварително определяне на данъчния режим не представляват държавна помощ съгласно член 107, параграф 1 от ДФЕС. Едновременно с тези четири официални разследвания Комисията ще продължи своето по-широко проучване на решения за предварително определяне на данъчен режим, обхващащо понастоящем всички държави членки.</w:t>
      </w:r>
    </w:p>
    <w:p>
      <w:pPr>
        <w:keepNext/>
        <w:spacing w:line="240" w:lineRule="auto"/>
        <w:rPr>
          <w:rFonts w:ascii="Times New Roman" w:hAnsi="Times New Roman"/>
          <w:b/>
          <w:caps/>
          <w:noProof/>
          <w:sz w:val="24"/>
          <w:szCs w:val="24"/>
        </w:rPr>
      </w:pPr>
      <w:r>
        <w:rPr>
          <w:rFonts w:ascii="Times New Roman" w:hAnsi="Times New Roman"/>
          <w:b/>
          <w:caps/>
          <w:noProof/>
          <w:sz w:val="24"/>
        </w:rPr>
        <w:t>7. Насърчаване на културата на конкуренция в ЕС и извън него</w:t>
      </w:r>
    </w:p>
    <w:p>
      <w:pPr>
        <w:spacing w:line="240" w:lineRule="auto"/>
        <w:jc w:val="both"/>
        <w:rPr>
          <w:rFonts w:ascii="Times New Roman" w:hAnsi="Times New Roman"/>
          <w:noProof/>
          <w:sz w:val="24"/>
        </w:rPr>
      </w:pPr>
      <w:r>
        <w:rPr>
          <w:rFonts w:ascii="Times New Roman" w:hAnsi="Times New Roman"/>
          <w:noProof/>
          <w:sz w:val="24"/>
        </w:rPr>
        <w:t>Насърчаването на културата на конкуренция допринася пряко за по-доброто функциониране на пазарите в полза на потребителите и предприятията. За тази цел Комисията насърчава сближаването и сътрудничеството между органите за защита на конкуренцията в ЕС и по света.</w:t>
      </w:r>
    </w:p>
    <w:p>
      <w:pPr>
        <w:keepNext/>
        <w:spacing w:line="240" w:lineRule="auto"/>
        <w:rPr>
          <w:rFonts w:ascii="Times New Roman" w:hAnsi="Times New Roman"/>
          <w:i/>
          <w:noProof/>
          <w:sz w:val="24"/>
        </w:rPr>
      </w:pPr>
      <w:r>
        <w:rPr>
          <w:rFonts w:ascii="Times New Roman" w:hAnsi="Times New Roman"/>
          <w:i/>
          <w:noProof/>
          <w:sz w:val="24"/>
        </w:rPr>
        <w:t>10 години от влизането в сила на Регламент 1/2003: равносметка и поглед напред</w:t>
      </w:r>
    </w:p>
    <w:p>
      <w:pPr>
        <w:spacing w:line="240" w:lineRule="auto"/>
        <w:jc w:val="both"/>
        <w:rPr>
          <w:rFonts w:ascii="Times New Roman" w:hAnsi="Times New Roman"/>
          <w:noProof/>
          <w:sz w:val="24"/>
        </w:rPr>
      </w:pPr>
      <w:r>
        <w:rPr>
          <w:rFonts w:ascii="Times New Roman" w:hAnsi="Times New Roman"/>
          <w:noProof/>
          <w:sz w:val="24"/>
        </w:rPr>
        <w:t>Преди десет години Комисията прие Регламент 1/2003</w:t>
      </w:r>
      <w:r>
        <w:rPr>
          <w:rFonts w:ascii="Times New Roman" w:hAnsi="Times New Roman"/>
          <w:noProof/>
          <w:sz w:val="24"/>
          <w:vertAlign w:val="superscript"/>
        </w:rPr>
        <w:footnoteReference w:id="61"/>
      </w:r>
      <w:r>
        <w:rPr>
          <w:rFonts w:ascii="Times New Roman" w:hAnsi="Times New Roman"/>
          <w:noProof/>
          <w:sz w:val="24"/>
        </w:rPr>
        <w:t xml:space="preserve"> — знаменателна реформа, с която бяха преработени основно процедурите за прилагане на правилата на ЕС в областта на конкуренцията и по-конкретно членове 101 и 102 от ДФЕС. Освен че въведе система за правоприлагане, основана на прякото прилагане на правилата на ЕС за конкуренция в тяхната цялост, Регламент № 1/2003 оправомощи органите за защита на конкуренцията в държавите членки („НОЗК“) и националните съдилища да прилагат всички аспекти на правилата за конкуренция на ЕС в допълнение към действията на Европейската комисия.</w:t>
      </w:r>
    </w:p>
    <w:p>
      <w:pPr>
        <w:spacing w:line="240" w:lineRule="auto"/>
        <w:jc w:val="both"/>
        <w:rPr>
          <w:rFonts w:ascii="Times New Roman" w:hAnsi="Times New Roman"/>
          <w:noProof/>
          <w:sz w:val="24"/>
        </w:rPr>
      </w:pPr>
      <w:r>
        <w:rPr>
          <w:rFonts w:ascii="Times New Roman" w:hAnsi="Times New Roman"/>
          <w:noProof/>
          <w:sz w:val="24"/>
        </w:rPr>
        <w:t>През юли Комисията прие Съобщението „Десет години прилагане на антитръстовото законодателство съгласно Регламент № 1/2003: постижения и бъдещи перспективи“</w:t>
      </w:r>
      <w:r>
        <w:rPr>
          <w:rFonts w:ascii="Times New Roman" w:hAnsi="Times New Roman"/>
          <w:noProof/>
          <w:sz w:val="24"/>
          <w:vertAlign w:val="superscript"/>
        </w:rPr>
        <w:footnoteReference w:id="62"/>
      </w:r>
      <w:r>
        <w:rPr>
          <w:rFonts w:ascii="Times New Roman" w:hAnsi="Times New Roman"/>
          <w:noProof/>
          <w:sz w:val="24"/>
        </w:rPr>
        <w:t>. В съобщението се прави преглед на правоприлагането от страна на Комисията и НОЗК и се установяват областите, в които може да бъде постигнат допълнителен напредък. Съобщението се съсредоточава върху гарантирането на независимостта и на достатъчни ресурси за НОЗК при изпълнението на техните задачи, като осигурява пълен набор от ефективни правомощия за разследване и вземане на решения и гарантира, че всички държави членки разполагат с правомощия да налагат ефективни и пропорционални глоби, както и с добре замислени програми за снизходителност.</w:t>
      </w:r>
    </w:p>
    <w:p>
      <w:pPr>
        <w:keepNext/>
        <w:spacing w:line="240" w:lineRule="auto"/>
        <w:jc w:val="both"/>
        <w:rPr>
          <w:rFonts w:ascii="Times New Roman" w:hAnsi="Times New Roman"/>
          <w:i/>
          <w:noProof/>
          <w:sz w:val="24"/>
        </w:rPr>
      </w:pPr>
      <w:r>
        <w:rPr>
          <w:rFonts w:ascii="Times New Roman" w:hAnsi="Times New Roman"/>
          <w:i/>
          <w:noProof/>
          <w:sz w:val="24"/>
        </w:rPr>
        <w:t>Повишаване на ефективността и рационализиране на контрола на ЕС върху сливанията</w:t>
      </w:r>
    </w:p>
    <w:p>
      <w:pPr>
        <w:spacing w:line="240" w:lineRule="auto"/>
        <w:jc w:val="both"/>
        <w:rPr>
          <w:rFonts w:ascii="Times New Roman" w:hAnsi="Times New Roman"/>
          <w:noProof/>
          <w:sz w:val="24"/>
        </w:rPr>
      </w:pPr>
      <w:r>
        <w:rPr>
          <w:rFonts w:ascii="Times New Roman" w:hAnsi="Times New Roman"/>
          <w:noProof/>
          <w:sz w:val="24"/>
        </w:rPr>
        <w:t>През 2004 г. Комисията направи преглед на функционирането на контрола върху сливанията през последните 10 години след последното основно преразглеждане на Регламента на ЕС за сливанията</w:t>
      </w:r>
      <w:r>
        <w:rPr>
          <w:rFonts w:ascii="Times New Roman" w:hAnsi="Times New Roman"/>
          <w:noProof/>
          <w:sz w:val="24"/>
          <w:vertAlign w:val="superscript"/>
        </w:rPr>
        <w:footnoteReference w:id="63"/>
      </w:r>
      <w:r>
        <w:rPr>
          <w:rFonts w:ascii="Times New Roman" w:hAnsi="Times New Roman"/>
          <w:noProof/>
          <w:sz w:val="24"/>
        </w:rPr>
        <w:t>, като с Бялата книга, озаглавена „Към по-ефективен контрол на ЕС върху сливанията“</w:t>
      </w:r>
      <w:r>
        <w:rPr>
          <w:rFonts w:ascii="Times New Roman" w:hAnsi="Times New Roman"/>
          <w:noProof/>
          <w:sz w:val="24"/>
          <w:vertAlign w:val="superscript"/>
        </w:rPr>
        <w:footnoteReference w:id="64"/>
      </w:r>
      <w:r>
        <w:rPr>
          <w:rFonts w:ascii="Times New Roman" w:hAnsi="Times New Roman"/>
          <w:noProof/>
          <w:sz w:val="24"/>
        </w:rPr>
        <w:t xml:space="preserve"> даде началото на обществена консултация относно предложения за подобряване на контрола върху сливанията на равнище ЕС. Сред основните предложения в Бялата книга са: i) олекотена и съобразена с конкретните нужди проверка на придобиванията на миноритарни дялови участия, неосигуряващи контрол, ii) препращанията на дела между държавите членки и Комисията да благоприятстват развитието на предприятията и да станат по-ефективни, iii) опростяване на процедурите, iv) насърчаване на съгласуваност и сближаване между държавите членки и Комисията и между самите държави членки с цел засилване на сътрудничеството и избягване на непоследователност в резултатите.</w:t>
      </w:r>
    </w:p>
    <w:p>
      <w:pPr>
        <w:keepNext/>
        <w:spacing w:line="240" w:lineRule="auto"/>
        <w:jc w:val="both"/>
        <w:rPr>
          <w:rFonts w:ascii="Times New Roman" w:hAnsi="Times New Roman"/>
          <w:i/>
          <w:noProof/>
          <w:sz w:val="24"/>
        </w:rPr>
      </w:pPr>
      <w:r>
        <w:rPr>
          <w:rFonts w:ascii="Times New Roman" w:hAnsi="Times New Roman"/>
          <w:i/>
          <w:noProof/>
          <w:sz w:val="24"/>
        </w:rPr>
        <w:t>Международно сътрудничество, съобразено с глобализацията</w:t>
      </w:r>
    </w:p>
    <w:p>
      <w:pPr>
        <w:spacing w:line="240" w:lineRule="auto"/>
        <w:jc w:val="both"/>
        <w:rPr>
          <w:rFonts w:ascii="Times New Roman" w:hAnsi="Times New Roman"/>
          <w:noProof/>
        </w:rPr>
      </w:pPr>
      <w:r>
        <w:rPr>
          <w:rFonts w:ascii="Times New Roman" w:hAnsi="Times New Roman"/>
          <w:noProof/>
          <w:sz w:val="24"/>
        </w:rPr>
        <w:t>Усилията на Комисията да осигурява строго прилагане на законодателството в областта на конкуренцията и да насърчава културата на конкуренция се простират далеч извън границите на ЕС. Глобализацията налага на органите за защита на конкуренцията по света да се ангажират с гарантирането на истинска равнопоставеност на световните пазари.</w:t>
      </w:r>
      <w:r>
        <w:rPr>
          <w:rFonts w:ascii="Times New Roman" w:hAnsi="Times New Roman"/>
          <w:noProof/>
        </w:rPr>
        <w:t xml:space="preserve"> </w:t>
      </w:r>
    </w:p>
    <w:p>
      <w:pPr>
        <w:spacing w:line="240" w:lineRule="auto"/>
        <w:jc w:val="both"/>
        <w:rPr>
          <w:rFonts w:ascii="Times New Roman" w:hAnsi="Times New Roman"/>
          <w:noProof/>
          <w:sz w:val="24"/>
        </w:rPr>
      </w:pPr>
      <w:r>
        <w:rPr>
          <w:rFonts w:ascii="Times New Roman" w:hAnsi="Times New Roman"/>
          <w:noProof/>
          <w:sz w:val="24"/>
        </w:rPr>
        <w:t>Рязкото увеличение по света на броя на режимите в областта на конкуренцията обостри необходимостта от намиране на обща световна база. В този контекст способността на Комисията да защитава конкуренцията и да гарантира ефективно правоприлагане зависи от възможността да бъде установен общ набор от принципи и цели.</w:t>
      </w:r>
      <w:r>
        <w:rPr>
          <w:rFonts w:ascii="Times New Roman" w:hAnsi="Times New Roman"/>
          <w:noProof/>
        </w:rPr>
        <w:t xml:space="preserve"> </w:t>
      </w:r>
      <w:r>
        <w:rPr>
          <w:rFonts w:ascii="Times New Roman" w:hAnsi="Times New Roman"/>
          <w:noProof/>
          <w:sz w:val="24"/>
        </w:rPr>
        <w:t>Сред международните форуми по въпроси от областта на конкуренцията, на които Комисията активно се ангажира с тази цел, са Комитетът по конкуренция на ОИСР, Международната мрежа по конкуренцията и УНКТАД.</w:t>
      </w:r>
    </w:p>
    <w:p>
      <w:p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Освен това органите за защита на конкуренцията — включително Комисията — трябва да реагират на антиконкурентни поведения и сливания, чиито последици все по-често са трансгранични. Понастоящем Комисията работи с органи извън ЕС в 64 % от разследваните от нея случаи на злоупотреба с господстващо положение, 58 % от сложните разследвания на сливания и 78 % от решенията, засягащи картели. Освен координацията на работата по конкретни случаи, Комисията ще продължи да разширява и укрепя многостранното сътрудничество с аналогични организации, включително на бързо развиващите се пазари.</w:t>
      </w:r>
    </w:p>
    <w:p>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noProof/>
          <w:sz w:val="20"/>
          <w:szCs w:val="20"/>
        </w:rPr>
      </w:pPr>
      <w:r>
        <w:rPr>
          <w:rFonts w:ascii="Times New Roman" w:hAnsi="Times New Roman"/>
          <w:b/>
          <w:noProof/>
          <w:sz w:val="20"/>
        </w:rPr>
        <w:t>Развитие на сътрудничеството с бързо развиващите се икономики</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rPr>
        <w:t>През последните години Комисията подписа меморандуми за разбирателство с повечето страни от групата БРИКЮ и започна също техническо сътрудничество в различна степен с тези държави. Важна стъпка в тази насока е техническото сътрудничество с китайските органи за защита на конкуренцията, която продължава през 2015 г. по текущата програма за сътрудничество (EUCTP II). Що се отнася до Индия, съществена програма за техническо сътрудничество с индийските органи за защита на конкуренцията — CITD, започна през 2014 г. и ще продължи до 2018 г.</w:t>
      </w:r>
    </w:p>
    <w:p>
      <w:p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Комисията се съсредоточи също върху преговорите със САЩ за трансатлантическо споразумение за партньорство в областта на търговията и инвестициите (ТПТИ), което ще включва глава, разглеждаща въпросите на конкуренцията. Преговорите започнаха през юли 2013 г. и напреднаха през 2014 г.</w:t>
      </w:r>
    </w:p>
    <w:p>
      <w:pPr>
        <w:keepNext/>
        <w:spacing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 xml:space="preserve">Укрепване на отношенията с други европейски държави </w:t>
      </w:r>
    </w:p>
    <w:p>
      <w:p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Подготовката за присъединяването на страните кандидатки и потенциални кандидатки се оказа добро средство за популяризиране на културата на конкуренция. Благодарение на строгите задължения в областта на конкуренцията, поети по силата на споразуменията за асоцииране, държавите, обхванати от процеса на разширяване, постепенно адаптираха своята нормативна уредба и практики в областта на конкуренцията много преди да се присъединят. Що се отнася до преговорите за присъединяване, през 2014 г. продължи проверката на сръбското законодателство, както и помощта, предоставяна на органите на Черна гора.</w:t>
      </w:r>
    </w:p>
    <w:p>
      <w:p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Освен това споразумението за сътрудничество, подписано между ЕС и Швейцария през 2013 г., бе ратифицирано през октомври и влезе в сила на 1 декември. Това е новаторско споразумение от второ поколение, което дава възможност на двата органа за защита на конкуренцията да обменят доказателства, които са събрали в хода на съответните си разследвания. </w:t>
      </w:r>
    </w:p>
    <w:p>
      <w:pPr>
        <w:keepNext/>
        <w:spacing w:line="240" w:lineRule="auto"/>
        <w:rPr>
          <w:rFonts w:ascii="Times New Roman" w:hAnsi="Times New Roman"/>
          <w:b/>
          <w:caps/>
          <w:noProof/>
          <w:sz w:val="24"/>
          <w:szCs w:val="24"/>
        </w:rPr>
      </w:pPr>
      <w:r>
        <w:rPr>
          <w:rFonts w:ascii="Times New Roman" w:hAnsi="Times New Roman"/>
          <w:b/>
          <w:caps/>
          <w:noProof/>
          <w:sz w:val="24"/>
        </w:rPr>
        <w:t>8. Диалогът с другите институции по въпросите на конкуренцията</w:t>
      </w:r>
    </w:p>
    <w:p>
      <w:pPr>
        <w:keepNext/>
        <w:spacing w:line="240" w:lineRule="auto"/>
        <w:rPr>
          <w:rFonts w:ascii="Times New Roman" w:eastAsia="Times New Roman" w:hAnsi="Times New Roman"/>
          <w:i/>
          <w:noProof/>
          <w:sz w:val="24"/>
          <w:szCs w:val="24"/>
        </w:rPr>
      </w:pPr>
      <w:r>
        <w:rPr>
          <w:rFonts w:ascii="Times New Roman" w:eastAsia="Times New Roman" w:hAnsi="Times New Roman"/>
          <w:i/>
          <w:noProof/>
          <w:sz w:val="24"/>
          <w:szCs w:val="24"/>
        </w:rPr>
        <w:t>Структуриран диалог с Европейския парламент</w:t>
      </w:r>
    </w:p>
    <w:p>
      <w:p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През 2014 г. ГД „Конкуренция“ продължи да участва в непрекъснат структуриран диалог по въпросите на конкуренцията с Европейския парламент, и по-специално неговата Комисия по икономически и парични въпроси (ECON). По време на изслушването ѝ, комисар Вестегер подчерта значението на тясното сътрудничество между Европейския парламент и Комисията.</w:t>
      </w:r>
    </w:p>
    <w:p>
      <w:p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В контекста на структурирания диалог бившият заместник-председател на Комисията г-н Алмуния посети ECON два пъти: през март и септември. На 11 ноември комисар Вестегер посети за пръв път официално Комисията по икономически и парични въпроси.</w:t>
      </w:r>
    </w:p>
    <w:p>
      <w:pPr>
        <w:keepNext/>
        <w:spacing w:line="240" w:lineRule="auto"/>
        <w:rPr>
          <w:rFonts w:ascii="Times New Roman" w:eastAsia="Times New Roman" w:hAnsi="Times New Roman"/>
          <w:i/>
          <w:noProof/>
          <w:sz w:val="24"/>
          <w:szCs w:val="24"/>
        </w:rPr>
      </w:pPr>
      <w:r>
        <w:rPr>
          <w:rFonts w:ascii="Times New Roman" w:eastAsia="Times New Roman" w:hAnsi="Times New Roman"/>
          <w:i/>
          <w:noProof/>
          <w:sz w:val="24"/>
          <w:szCs w:val="24"/>
        </w:rPr>
        <w:t>Искове за обезщетения</w:t>
      </w:r>
    </w:p>
    <w:p>
      <w:p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Директива 2014/104/ЕС от 26 ноември 2014 г. относно исковете за обезщетение за вреди вследствие нарушаване на антитръстовите правила бе публикувана в Официален вестник на Европейския съюз на 5 декември 2014 г. Тя бе първата директива за ГД „Конкуренция“, приета по обикновената законодателна процедура. Заместник-председателят Алмуния приветства приемането на директивата като пример за тясното сътрудничество между институциите на ЕС.</w:t>
      </w:r>
    </w:p>
    <w:p>
      <w:pPr>
        <w:keepNext/>
        <w:spacing w:line="240" w:lineRule="auto"/>
        <w:rPr>
          <w:rFonts w:ascii="Times New Roman" w:eastAsia="Times New Roman" w:hAnsi="Times New Roman"/>
          <w:i/>
          <w:noProof/>
          <w:sz w:val="24"/>
          <w:szCs w:val="24"/>
        </w:rPr>
      </w:pPr>
      <w:r>
        <w:rPr>
          <w:rFonts w:ascii="Times New Roman" w:eastAsia="Times New Roman" w:hAnsi="Times New Roman"/>
          <w:i/>
          <w:noProof/>
          <w:sz w:val="24"/>
          <w:szCs w:val="24"/>
        </w:rPr>
        <w:t>Споразумението с Швейцария</w:t>
      </w:r>
    </w:p>
    <w:p>
      <w:p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През ноември 2010 г. ГД „Конкуренция“ информира Европейския парламент за преговорите, проведени с швейцарския орган за защита на конкуренцията, относно споразумение за сътрудничество по прилагането на съответните законодателства на двете страни в областта на конкуренцията. След това Съветът поиска официално от Парламента да даде съгласието си за споразумението. Европейският парламент даде официалното си съгласие за споразумението на 5 февруари 2014 г. и приветства това първо „споразумение от второ поколение“. Парламентът отправи също препоръки за бъдещите споразумения.</w:t>
      </w:r>
    </w:p>
    <w:p>
      <w:pPr>
        <w:spacing w:before="100" w:beforeAutospacing="1" w:after="240" w:afterAutospacing="1"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ГД „Конкуренция“ работи в тясно сътрудничество с Парламента през цялата процедура.</w:t>
      </w:r>
    </w:p>
    <w:p>
      <w:pPr>
        <w:keepNext/>
        <w:spacing w:line="240" w:lineRule="auto"/>
        <w:rPr>
          <w:rFonts w:ascii="Times New Roman" w:eastAsia="Times New Roman" w:hAnsi="Times New Roman"/>
          <w:i/>
          <w:noProof/>
          <w:sz w:val="24"/>
          <w:szCs w:val="24"/>
        </w:rPr>
      </w:pPr>
      <w:r>
        <w:rPr>
          <w:rFonts w:ascii="Times New Roman" w:eastAsia="Times New Roman" w:hAnsi="Times New Roman"/>
          <w:i/>
          <w:noProof/>
          <w:sz w:val="24"/>
          <w:szCs w:val="24"/>
        </w:rPr>
        <w:t>Обменни такси за платежни операции, свързани с карти</w:t>
      </w:r>
    </w:p>
    <w:p>
      <w:p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Следвайки предложението на Комисията от 27 юли 2013 г. за Регламент относно обменните такси за платежни операции, свързани с карти, Европейският парламент и Съветът постигнаха политическо споразумение на 17 декември 2014 г. Договореното между Парламента и Съвета законодателство по време на италианското председателство цели да внесе яснота в обменните такси между държавите от ЕС, за които Съдът потвърди в своето решение от 11 септември от 2014 г. по делото „MasterCard“, че представляват нарушение на антитръстовите правила на ЕС.</w:t>
      </w:r>
    </w:p>
    <w:p>
      <w:pPr>
        <w:keepNext/>
        <w:spacing w:line="240" w:lineRule="auto"/>
        <w:rPr>
          <w:rFonts w:ascii="Times New Roman" w:eastAsia="Times New Roman" w:hAnsi="Times New Roman"/>
          <w:i/>
          <w:noProof/>
          <w:sz w:val="24"/>
          <w:szCs w:val="24"/>
        </w:rPr>
      </w:pPr>
      <w:r>
        <w:rPr>
          <w:rFonts w:ascii="Times New Roman" w:eastAsia="Times New Roman" w:hAnsi="Times New Roman"/>
          <w:i/>
          <w:noProof/>
          <w:sz w:val="24"/>
          <w:szCs w:val="24"/>
        </w:rPr>
        <w:t>Непрестанно укрепване на връзките между ГД „Конкуренция“ и Комисията на Европейския парламент по икономически и парични въпроси (ECON)</w:t>
      </w:r>
    </w:p>
    <w:p>
      <w:p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На 17 октомври се състоя редовният информационен семинар на ГД „Конкуренция“ за асистенти и политически съветници от ECON по основните теми в доклада за конкуренцията от 2013 г. ГД „Конкуренция“ продължи практиката на редовно информиране на съответните парламентарни комисии за публични консултации и за приемането на нови насоки и документи по политиките.</w:t>
      </w:r>
    </w:p>
    <w:p>
      <w:p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ГД „Конкуренция“ имаше водеща роля в 327 писмени парламентарни въпроса и 24 петиции, изготвени от службите на Комисията.</w:t>
      </w:r>
    </w:p>
    <w:p>
      <w:pPr>
        <w:keepNext/>
        <w:spacing w:line="240" w:lineRule="auto"/>
        <w:rPr>
          <w:rFonts w:ascii="Times New Roman" w:eastAsia="Times New Roman" w:hAnsi="Times New Roman"/>
          <w:i/>
          <w:noProof/>
          <w:sz w:val="24"/>
          <w:szCs w:val="24"/>
        </w:rPr>
      </w:pPr>
      <w:r>
        <w:rPr>
          <w:rFonts w:ascii="Times New Roman" w:eastAsia="Times New Roman" w:hAnsi="Times New Roman"/>
          <w:i/>
          <w:noProof/>
          <w:sz w:val="24"/>
          <w:szCs w:val="24"/>
        </w:rPr>
        <w:t>Ангажимент на ГД „Конкуренция“ към ЕИСК и КР</w:t>
      </w:r>
    </w:p>
    <w:p>
      <w:p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Комисията информира също Европейския икономически и социален комитет (ЕИСК) и Комитета на регионите (КР) относно основните политически инициативи и участва в проучвателните групи и в заседанията на специализираните секции. От своя страна ЕИСК излезе със становища: на 21 януари относно достъпността на услугите от общ икономически интерес (УОИИ) (становище по собствена инициатива), на 9 юли относно преразглеждането на Насоките на Общността относно държавните помощи за летища и авиокомпании, на 15 октомври относно доклада на Комисията от 2013 г. за политиката на конкуренция, а на 10 декември относно Бялата книга „Към по-ефективен контрол на ЕС върху сливанията“. На 2 април КР излезе със становище относно новите Насоки за държавните помощи в областта на енергетиката (становище по собствена инициатива).</w:t>
      </w:r>
    </w:p>
    <w:p>
      <w:pPr>
        <w:spacing w:line="240" w:lineRule="auto"/>
        <w:jc w:val="both"/>
        <w:rPr>
          <w:rFonts w:ascii="Times New Roman" w:hAnsi="Times New Roman"/>
          <w:noProof/>
          <w:sz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Жан-Клод Юнкер, „</w:t>
      </w:r>
      <w:r>
        <w:rPr>
          <w:rFonts w:ascii="Times New Roman" w:hAnsi="Times New Roman"/>
          <w:i/>
        </w:rPr>
        <w:t>Ново начало за Европа: моята програма за работни места, растеж, справедливост и демократична промяна“</w:t>
      </w:r>
      <w:r>
        <w:rPr>
          <w:rFonts w:ascii="Times New Roman" w:hAnsi="Times New Roman"/>
        </w:rPr>
        <w:t xml:space="preserve">, Политически насоки за следващата Европейска комисия, Встъпително изявление на пленарното заседание на Европейския парламент, 15 юли 2014 г.: </w:t>
      </w:r>
      <w:hyperlink r:id="rId1">
        <w:r>
          <w:rPr>
            <w:rStyle w:val="Hyperlink"/>
            <w:rFonts w:ascii="Times New Roman" w:hAnsi="Times New Roman"/>
          </w:rPr>
          <w:t>http://ec.europa.eu/priorities/docs/pg_bg.pdf.</w:t>
        </w:r>
      </w:hyperlink>
    </w:p>
  </w:footnote>
  <w:footnote w:id="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Жан-Клод Юнкер, Писмо относно мандата, адресирано до Маргрете Вестегер, член на Комисията, отговарящ за конкуренцията, 1 ноември 2014 г., достъпно на адрес: </w:t>
      </w:r>
      <w:hyperlink r:id="rId2">
        <w:r>
          <w:rPr>
            <w:rStyle w:val="Hyperlink"/>
            <w:rFonts w:ascii="Times New Roman" w:hAnsi="Times New Roman"/>
          </w:rPr>
          <w:t>http://ec.europa.eu/commission/sites/cwt/files/commissioner_mission_letters/vestager_en.pdf</w:t>
        </w:r>
      </w:hyperlink>
      <w:r>
        <w:rPr>
          <w:rFonts w:ascii="Times New Roman" w:hAnsi="Times New Roman"/>
        </w:rPr>
        <w:t>.</w:t>
      </w:r>
    </w:p>
  </w:footnote>
  <w:footnote w:id="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Директива 2014/104/ЕС на Европейския парламент и на Съвета от 26 ноември 2014 г. относно някои правила за уреждане на искове за обезщетение за вреди по националното право за нарушения на разпоредбите на правото на държавите членки и на Европейския съюз в областта на конкуренцията, ОВ L 349, 5.12.2014 г., стр. 1, достъпна на адрес: </w:t>
      </w:r>
      <w:hyperlink r:id="rId3">
        <w:r>
          <w:rPr>
            <w:rStyle w:val="Hyperlink"/>
            <w:rFonts w:ascii="Times New Roman" w:hAnsi="Times New Roman"/>
          </w:rPr>
          <w:t>http://eur-lex.europa.eu/legal-content/BG/TXT/HTML/?uri=CELEX:32014L0104&amp;from=EN</w:t>
        </w:r>
      </w:hyperlink>
      <w:r>
        <w:rPr>
          <w:rFonts w:ascii="Times New Roman" w:hAnsi="Times New Roman"/>
        </w:rPr>
        <w:t>.</w:t>
      </w:r>
    </w:p>
  </w:footnote>
  <w:footnote w:id="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Вж. например изследването </w:t>
      </w:r>
      <w:r>
        <w:rPr>
          <w:rFonts w:ascii="Times New Roman" w:hAnsi="Times New Roman"/>
          <w:i/>
        </w:rPr>
        <w:t>„Отключване на потенциала за растеж на ИКТ в Европа: създаване на възможности на хората и бизнеса“</w:t>
      </w:r>
      <w:r>
        <w:rPr>
          <w:rFonts w:ascii="Times New Roman" w:hAnsi="Times New Roman"/>
        </w:rPr>
        <w:t xml:space="preserve"> (2013</w:t>
      </w:r>
      <w:r>
        <w:rPr>
          <w:rFonts w:ascii="Times New Roman" w:hAnsi="Times New Roman"/>
          <w:lang w:val="en-GB"/>
        </w:rPr>
        <w:t> </w:t>
      </w:r>
      <w:r>
        <w:rPr>
          <w:rFonts w:ascii="Times New Roman" w:hAnsi="Times New Roman"/>
        </w:rPr>
        <w:t xml:space="preserve">г.), на The Conference Board, изготвено за Европейската комисия, достъпно на адрес: </w:t>
      </w:r>
      <w:hyperlink r:id="rId4">
        <w:r>
          <w:rPr>
            <w:rStyle w:val="Hyperlink"/>
            <w:rFonts w:ascii="Times New Roman" w:hAnsi="Times New Roman"/>
          </w:rPr>
          <w:t>http://ec.europa.eu/digital-agenda/en/news/new-study-unlocking-ict-growth-potential-europe-enabling-people-and-businesses</w:t>
        </w:r>
      </w:hyperlink>
      <w:r>
        <w:rPr>
          <w:rFonts w:ascii="Times New Roman" w:hAnsi="Times New Roman"/>
        </w:rPr>
        <w:t xml:space="preserve"> </w:t>
      </w:r>
    </w:p>
  </w:footnote>
  <w:footnote w:id="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Съобщение на Комисията — </w:t>
      </w:r>
      <w:r>
        <w:rPr>
          <w:rFonts w:ascii="Times New Roman" w:hAnsi="Times New Roman"/>
          <w:i/>
        </w:rPr>
        <w:t>Насоки на ЕС относно прилагането на правилата за държавна помощ във връзка с бързото разполагане на широколентови мрежи</w:t>
      </w:r>
      <w:r>
        <w:rPr>
          <w:rFonts w:ascii="Times New Roman" w:hAnsi="Times New Roman"/>
        </w:rPr>
        <w:t xml:space="preserve">, OВ 2013 C 25, 26.1.2013 г., стр. 1, достъпно на адрес </w:t>
      </w:r>
      <w:hyperlink r:id="rId5">
        <w:r>
          <w:rPr>
            <w:rStyle w:val="Hyperlink"/>
            <w:rFonts w:ascii="Times New Roman" w:hAnsi="Times New Roman"/>
          </w:rPr>
          <w:t>http://eur-lex.europa.eu/LexUriServ/LexUriServ.do?uri=OJ:C:2013:025:0001:0026:bg:PDF</w:t>
        </w:r>
      </w:hyperlink>
      <w:r>
        <w:rPr>
          <w:rFonts w:ascii="Times New Roman" w:hAnsi="Times New Roman"/>
        </w:rPr>
        <w:t>.</w:t>
      </w:r>
    </w:p>
  </w:footnote>
  <w:footnote w:id="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Регламент (ЕС) № 651/2014 на Комисията от 17 юни 2014 година за обявяване на някои категории помощи за съвместими с вътрешния пазар в приложение на членове 107 и 108 от Договора, OВ L 187, 26.6.2014</w:t>
      </w:r>
      <w:r>
        <w:rPr>
          <w:rFonts w:ascii="Times New Roman" w:hAnsi="Times New Roman"/>
          <w:lang w:val="en-GB"/>
        </w:rPr>
        <w:t> </w:t>
      </w:r>
      <w:r>
        <w:rPr>
          <w:rFonts w:ascii="Times New Roman" w:hAnsi="Times New Roman"/>
        </w:rPr>
        <w:t xml:space="preserve">г., стр. 1, достъпен на адрес: </w:t>
      </w:r>
      <w:hyperlink r:id="rId6">
        <w:r>
          <w:rPr>
            <w:rStyle w:val="Hyperlink"/>
            <w:rFonts w:ascii="Times New Roman" w:hAnsi="Times New Roman"/>
          </w:rPr>
          <w:t>http://eur-lex.europa.eu/legal-content/BG/TXT/HTML/?uri=CELEX:32014R0651&amp;from=EN</w:t>
        </w:r>
      </w:hyperlink>
      <w:r>
        <w:rPr>
          <w:rFonts w:ascii="Times New Roman" w:hAnsi="Times New Roman"/>
        </w:rPr>
        <w:t xml:space="preserve">. </w:t>
      </w:r>
    </w:p>
  </w:footnote>
  <w:footnote w:id="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Дело AT. 39523 </w:t>
      </w:r>
      <w:r>
        <w:rPr>
          <w:rFonts w:ascii="Times New Roman" w:hAnsi="Times New Roman"/>
          <w:i/>
        </w:rPr>
        <w:t>Slovak Telekom</w:t>
      </w:r>
      <w:r>
        <w:rPr>
          <w:rFonts w:ascii="Times New Roman" w:hAnsi="Times New Roman"/>
        </w:rPr>
        <w:t xml:space="preserve">, Решение на Комисията от 15 октомври 2014 г., достъпно на адрес: </w:t>
      </w:r>
      <w:hyperlink r:id="rId7">
        <w:r>
          <w:rPr>
            <w:rStyle w:val="Hyperlink"/>
            <w:rFonts w:ascii="Times New Roman" w:hAnsi="Times New Roman"/>
          </w:rPr>
          <w:t>http://ec.europa.eu/competition/elojade/isef/case_details.cfm?proc_code=1_39523</w:t>
        </w:r>
      </w:hyperlink>
      <w:r>
        <w:rPr>
          <w:rFonts w:ascii="Times New Roman" w:hAnsi="Times New Roman"/>
        </w:rPr>
        <w:t xml:space="preserve"> </w:t>
      </w:r>
    </w:p>
  </w:footnote>
  <w:footnote w:id="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Дела AT.37451, AT.37578, AT.37579 </w:t>
      </w:r>
      <w:r>
        <w:rPr>
          <w:rFonts w:ascii="Times New Roman" w:hAnsi="Times New Roman"/>
          <w:i/>
        </w:rPr>
        <w:t>Deutsche Telekom AG</w:t>
      </w:r>
      <w:r>
        <w:rPr>
          <w:rFonts w:ascii="Times New Roman" w:hAnsi="Times New Roman"/>
        </w:rPr>
        <w:t xml:space="preserve">, Решение на Комисията от 21 май 2003 г., достъпно на адрес: </w:t>
      </w:r>
      <w:hyperlink r:id="rId8">
        <w:r>
          <w:rPr>
            <w:rStyle w:val="Hyperlink"/>
            <w:rFonts w:ascii="Times New Roman" w:hAnsi="Times New Roman"/>
          </w:rPr>
          <w:t>http://eur-lex.europa.eu/legal-content/EN/ALL/?uri=CELEX:32003D0707</w:t>
        </w:r>
      </w:hyperlink>
      <w:r>
        <w:rPr>
          <w:rFonts w:ascii="Times New Roman" w:hAnsi="Times New Roman"/>
        </w:rPr>
        <w:t xml:space="preserve"> </w:t>
      </w:r>
    </w:p>
  </w:footnote>
  <w:footnote w:id="10">
    <w:p>
      <w:pPr>
        <w:pStyle w:val="FootnoteText"/>
        <w:spacing w:after="0" w:line="240" w:lineRule="auto"/>
        <w:jc w:val="both"/>
        <w:rPr>
          <w:rFonts w:ascii="Times New Roman" w:hAnsi="Times New Roman"/>
        </w:rPr>
      </w:pPr>
      <w:r>
        <w:rPr>
          <w:rStyle w:val="Caratteredellanota"/>
          <w:rFonts w:ascii="Times New Roman" w:hAnsi="Times New Roman"/>
        </w:rPr>
        <w:footnoteRef/>
      </w:r>
      <w:r>
        <w:rPr>
          <w:rFonts w:ascii="Times New Roman" w:hAnsi="Times New Roman"/>
        </w:rPr>
        <w:t xml:space="preserve"> Дело M. 6992 — </w:t>
      </w:r>
      <w:r>
        <w:rPr>
          <w:rFonts w:ascii="Times New Roman" w:hAnsi="Times New Roman"/>
          <w:i/>
        </w:rPr>
        <w:t>Hutchison 3G UK/Telefónica Ireland</w:t>
      </w:r>
      <w:r>
        <w:rPr>
          <w:rFonts w:ascii="Times New Roman" w:hAnsi="Times New Roman"/>
        </w:rPr>
        <w:t xml:space="preserve">, Решение на Комисията от 28 май 2014 г., достъпно на адрес: </w:t>
      </w:r>
      <w:hyperlink r:id="rId9">
        <w:r>
          <w:rPr>
            <w:rStyle w:val="Hyperlink"/>
            <w:rFonts w:ascii="Times New Roman" w:hAnsi="Times New Roman"/>
          </w:rPr>
          <w:t>http://ec.europa.eu/competition/elojade/isef/case_details.cfm?proc_code=2_M_6992</w:t>
        </w:r>
      </w:hyperlink>
      <w:r>
        <w:rPr>
          <w:rFonts w:ascii="Times New Roman" w:hAnsi="Times New Roman"/>
        </w:rPr>
        <w:t xml:space="preserve"> </w:t>
      </w:r>
    </w:p>
  </w:footnote>
  <w:footnote w:id="11">
    <w:p>
      <w:pPr>
        <w:pStyle w:val="FootnoteText"/>
        <w:spacing w:after="0" w:line="240" w:lineRule="auto"/>
        <w:jc w:val="both"/>
        <w:rPr>
          <w:rFonts w:ascii="Times New Roman" w:hAnsi="Times New Roman"/>
        </w:rPr>
      </w:pPr>
      <w:r>
        <w:rPr>
          <w:rStyle w:val="Caratteredellanota"/>
          <w:rFonts w:ascii="Times New Roman" w:hAnsi="Times New Roman"/>
        </w:rPr>
        <w:footnoteRef/>
      </w:r>
      <w:r>
        <w:rPr>
          <w:rFonts w:ascii="Times New Roman" w:hAnsi="Times New Roman"/>
        </w:rPr>
        <w:t xml:space="preserve"> Дело M.7018 </w:t>
      </w:r>
      <w:r>
        <w:rPr>
          <w:rFonts w:ascii="Times New Roman" w:hAnsi="Times New Roman"/>
          <w:i/>
        </w:rPr>
        <w:t>Telefónica Deutschland / E-Plus</w:t>
      </w:r>
      <w:r>
        <w:rPr>
          <w:rFonts w:ascii="Times New Roman" w:hAnsi="Times New Roman"/>
        </w:rPr>
        <w:t>, Решение на Комисията от 2 юли 2014</w:t>
      </w:r>
      <w:r>
        <w:rPr>
          <w:rFonts w:ascii="Times New Roman" w:hAnsi="Times New Roman"/>
          <w:lang w:val="en-GB"/>
        </w:rPr>
        <w:t> </w:t>
      </w:r>
      <w:r>
        <w:rPr>
          <w:rFonts w:ascii="Times New Roman" w:hAnsi="Times New Roman"/>
        </w:rPr>
        <w:t xml:space="preserve">г., достъпно на адрес: </w:t>
      </w:r>
      <w:hyperlink r:id="rId10">
        <w:r>
          <w:rPr>
            <w:rStyle w:val="Hyperlink"/>
            <w:rFonts w:ascii="Times New Roman" w:hAnsi="Times New Roman"/>
          </w:rPr>
          <w:t>http://ec.europa.eu/competition/elojade/isef/case_details.cfm?proc_code=2_M_7018</w:t>
        </w:r>
      </w:hyperlink>
      <w:r>
        <w:rPr>
          <w:rFonts w:ascii="Times New Roman" w:hAnsi="Times New Roman"/>
        </w:rPr>
        <w:t xml:space="preserve"> </w:t>
      </w:r>
    </w:p>
  </w:footnote>
  <w:footnote w:id="1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Дело M.7217 </w:t>
      </w:r>
      <w:r>
        <w:rPr>
          <w:rFonts w:ascii="Times New Roman" w:hAnsi="Times New Roman"/>
          <w:i/>
        </w:rPr>
        <w:t>Facebook / Whatsapp</w:t>
      </w:r>
      <w:r>
        <w:rPr>
          <w:rFonts w:ascii="Times New Roman" w:hAnsi="Times New Roman"/>
        </w:rPr>
        <w:t xml:space="preserve">, Решение на Комисията от 3 октомври 2014 г., достъпно на адрес: </w:t>
      </w:r>
      <w:hyperlink r:id="rId11">
        <w:r>
          <w:rPr>
            <w:rStyle w:val="Hyperlink"/>
            <w:rFonts w:ascii="Times New Roman" w:hAnsi="Times New Roman"/>
          </w:rPr>
          <w:t>http://ec.europa.eu/competition/elojade/isef/case_details.cfm?proc_code=2_M_7217</w:t>
        </w:r>
      </w:hyperlink>
      <w:r>
        <w:rPr>
          <w:rFonts w:ascii="Times New Roman" w:hAnsi="Times New Roman"/>
        </w:rPr>
        <w:t xml:space="preserve"> </w:t>
      </w:r>
    </w:p>
  </w:footnote>
  <w:footnote w:id="1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Дела AT. 39985 </w:t>
      </w:r>
      <w:r>
        <w:rPr>
          <w:rFonts w:ascii="Times New Roman" w:hAnsi="Times New Roman"/>
          <w:i/>
        </w:rPr>
        <w:t xml:space="preserve">Motorola </w:t>
      </w:r>
      <w:r>
        <w:rPr>
          <w:rFonts w:ascii="Times New Roman" w:hAnsi="Times New Roman"/>
        </w:rPr>
        <w:t xml:space="preserve">— </w:t>
      </w:r>
      <w:r>
        <w:rPr>
          <w:rFonts w:ascii="Times New Roman" w:hAnsi="Times New Roman"/>
          <w:i/>
        </w:rPr>
        <w:t>Спазване на основни патенти, свързани със стандарта GPRS</w:t>
      </w:r>
      <w:r>
        <w:rPr>
          <w:rFonts w:ascii="Times New Roman" w:hAnsi="Times New Roman"/>
        </w:rPr>
        <w:t xml:space="preserve">, решения на Комисията от 29 април 2014 г., достъпно на адрес: </w:t>
      </w:r>
      <w:hyperlink r:id="rId12">
        <w:r>
          <w:rPr>
            <w:rStyle w:val="Hyperlink"/>
            <w:rFonts w:ascii="Times New Roman" w:hAnsi="Times New Roman"/>
          </w:rPr>
          <w:t>http://ec.europa.eu/competition/elojade/isef/case_details.cfm?proc_code=1_39985</w:t>
        </w:r>
      </w:hyperlink>
      <w:r>
        <w:rPr>
          <w:rFonts w:ascii="Times New Roman" w:hAnsi="Times New Roman"/>
        </w:rPr>
        <w:t xml:space="preserve"> </w:t>
      </w:r>
    </w:p>
  </w:footnote>
  <w:footnote w:id="1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Дело AT. 39939 — </w:t>
      </w:r>
      <w:r>
        <w:rPr>
          <w:rFonts w:ascii="Times New Roman" w:hAnsi="Times New Roman"/>
          <w:i/>
        </w:rPr>
        <w:t>Samsung — Прилагане на важни патенти за стандарт UMTS,</w:t>
      </w:r>
      <w:r>
        <w:rPr>
          <w:rFonts w:ascii="Times New Roman" w:hAnsi="Times New Roman"/>
        </w:rPr>
        <w:t xml:space="preserve"> Решение на Комисията от 29 април 2014 г., достъпно на адрес: </w:t>
      </w:r>
      <w:hyperlink r:id="rId13" w:history="1">
        <w:r>
          <w:rPr>
            <w:rStyle w:val="Hyperlink"/>
            <w:rFonts w:ascii="Times New Roman" w:hAnsi="Times New Roman"/>
          </w:rPr>
          <w:t>http://ec.europa.eu/competition/elojade/isef/case_details.cfm?proc_code=1_39939</w:t>
        </w:r>
      </w:hyperlink>
      <w:r>
        <w:rPr>
          <w:rFonts w:ascii="Times New Roman" w:hAnsi="Times New Roman"/>
        </w:rPr>
        <w:t xml:space="preserve"> </w:t>
      </w:r>
    </w:p>
  </w:footnote>
  <w:footnote w:id="1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За повече подробности относно съдържанието и процедурата на разследването, свързано с Google, вж. </w:t>
      </w:r>
      <w:hyperlink r:id="rId14" w:history="1">
        <w:r>
          <w:rPr>
            <w:rStyle w:val="Hyperlink"/>
            <w:rFonts w:ascii="Times New Roman" w:hAnsi="Times New Roman"/>
          </w:rPr>
          <w:t>http://ec.europa.eu/competition/elojade/isef/case_details.cfm?proc_code=1_39740</w:t>
        </w:r>
      </w:hyperlink>
      <w:r>
        <w:rPr>
          <w:rFonts w:ascii="Times New Roman" w:hAnsi="Times New Roman"/>
        </w:rPr>
        <w:t xml:space="preserve"> </w:t>
      </w:r>
    </w:p>
  </w:footnote>
  <w:footnote w:id="1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Дело AT. 40023 </w:t>
      </w:r>
      <w:r>
        <w:rPr>
          <w:rFonts w:ascii="Times New Roman" w:hAnsi="Times New Roman"/>
          <w:i/>
        </w:rPr>
        <w:t>Трансграничен достъп до платени телевизионни програми</w:t>
      </w:r>
      <w:r>
        <w:rPr>
          <w:rFonts w:ascii="Times New Roman" w:hAnsi="Times New Roman"/>
        </w:rPr>
        <w:t xml:space="preserve">, вж. IP/14/15 от 13 януари 2014 г., достъпно на адрес: </w:t>
      </w:r>
      <w:hyperlink r:id="rId15">
        <w:r>
          <w:rPr>
            <w:rFonts w:ascii="Times New Roman" w:hAnsi="Times New Roman"/>
            <w:color w:val="0000FF"/>
            <w:u w:val="single"/>
          </w:rPr>
          <w:t>http://europa.eu/rapid/press-release_IP-14-15_en.htm</w:t>
        </w:r>
      </w:hyperlink>
    </w:p>
  </w:footnote>
  <w:footnote w:id="1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Регламент (ЕС) № 316/2014 на Комисията от 21 март 2014</w:t>
      </w:r>
      <w:r>
        <w:rPr>
          <w:rFonts w:ascii="Times New Roman" w:hAnsi="Times New Roman"/>
          <w:lang w:val="en-GB"/>
        </w:rPr>
        <w:t> </w:t>
      </w:r>
      <w:r>
        <w:rPr>
          <w:rFonts w:ascii="Times New Roman" w:hAnsi="Times New Roman"/>
        </w:rPr>
        <w:t>г. относно прилагането на член 101, параграф 3 от Договора за функционирането на Европейския съюз по отношение на категории споразумения за трансфер на технологии, ОВ L 93, 28.3.2014</w:t>
      </w:r>
      <w:r>
        <w:rPr>
          <w:rFonts w:ascii="Times New Roman" w:hAnsi="Times New Roman"/>
          <w:lang w:val="en-GB"/>
        </w:rPr>
        <w:t> </w:t>
      </w:r>
      <w:r>
        <w:rPr>
          <w:rFonts w:ascii="Times New Roman" w:hAnsi="Times New Roman"/>
        </w:rPr>
        <w:t xml:space="preserve">г., стр. 17, достъпен на адрес </w:t>
      </w:r>
      <w:hyperlink r:id="rId16">
        <w:r>
          <w:rPr>
            <w:rStyle w:val="Hyperlink"/>
            <w:rFonts w:ascii="Times New Roman" w:hAnsi="Times New Roman"/>
          </w:rPr>
          <w:t>http://eur-lex.europa.eu/legal-content/BG/TXT/HTML/?uri=CELEX:32014R0316&amp;from=EN</w:t>
        </w:r>
      </w:hyperlink>
      <w:r>
        <w:rPr>
          <w:rFonts w:ascii="Times New Roman" w:hAnsi="Times New Roman"/>
        </w:rPr>
        <w:t xml:space="preserve"> и Съобщение на Комисията, </w:t>
      </w:r>
      <w:r>
        <w:rPr>
          <w:rFonts w:ascii="Times New Roman" w:hAnsi="Times New Roman"/>
          <w:i/>
        </w:rPr>
        <w:t>Насоки за прилагането на член 101 от Договора за функционирането на Европейския съюз към споразумения за трансфер на технологии</w:t>
      </w:r>
      <w:r>
        <w:rPr>
          <w:rFonts w:ascii="Times New Roman" w:hAnsi="Times New Roman"/>
        </w:rPr>
        <w:t xml:space="preserve">, OВ C 89, 28.3.2014 г., стр. 3, достъпно на адрес </w:t>
      </w:r>
      <w:hyperlink r:id="rId17">
        <w:r>
          <w:rPr>
            <w:rStyle w:val="Hyperlink"/>
            <w:rFonts w:ascii="Times New Roman" w:hAnsi="Times New Roman"/>
          </w:rPr>
          <w:t>http://eur-lex.europa.eu/legal-content/BG/TXT/HTML/?uri=CELEX:52014XC0328(01)&amp;from=EN</w:t>
        </w:r>
      </w:hyperlink>
      <w:r>
        <w:rPr>
          <w:rFonts w:ascii="Times New Roman" w:hAnsi="Times New Roman"/>
        </w:rPr>
        <w:t xml:space="preserve"> </w:t>
      </w:r>
    </w:p>
  </w:footnote>
  <w:footnote w:id="1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Съобщение на Комисията, </w:t>
      </w:r>
      <w:r>
        <w:rPr>
          <w:rFonts w:ascii="Times New Roman" w:hAnsi="Times New Roman"/>
          <w:i/>
        </w:rPr>
        <w:t>Насоки относно държавната помощ за опазване на околната среда и за енергетика за периода 2014 — 2020 г.</w:t>
      </w:r>
      <w:r>
        <w:rPr>
          <w:rFonts w:ascii="Times New Roman" w:hAnsi="Times New Roman"/>
        </w:rPr>
        <w:t xml:space="preserve">, OВ C 200, 28.6.2014 г., стр. 1, достъпно на адрес </w:t>
      </w:r>
      <w:hyperlink r:id="rId18">
        <w:r>
          <w:rPr>
            <w:rStyle w:val="Hyperlink"/>
            <w:rFonts w:ascii="Times New Roman" w:hAnsi="Times New Roman"/>
          </w:rPr>
          <w:t>http://eur-lex.europa.eu/legal-content/BG/TXT/HTML/?uri=CELEX:52014XC0628(01)&amp;from=EN</w:t>
        </w:r>
      </w:hyperlink>
      <w:r>
        <w:rPr>
          <w:rFonts w:ascii="Times New Roman" w:hAnsi="Times New Roman"/>
        </w:rPr>
        <w:t xml:space="preserve"> </w:t>
      </w:r>
    </w:p>
  </w:footnote>
  <w:footnote w:id="1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Регламент (ЕС) № 651/2014 на Комисията от 17 юни 2014 г. за обявяване на някои категории помощи за съвместими с вътрешния пазар в приложение на членове 107 и 108 от Договора, OВ L 187, 26.6.2014 г., стр. 1, достъпен на адрес: </w:t>
      </w:r>
      <w:hyperlink r:id="rId19">
        <w:r>
          <w:rPr>
            <w:rStyle w:val="Hyperlink"/>
            <w:rFonts w:ascii="Times New Roman" w:hAnsi="Times New Roman"/>
          </w:rPr>
          <w:t>http://eur-lex.europa.eu/legal-content/BG/TXT/HTML/?uri=CELEX:32014R0651&amp;from=EN</w:t>
        </w:r>
      </w:hyperlink>
      <w:r>
        <w:rPr>
          <w:rFonts w:ascii="Times New Roman" w:hAnsi="Times New Roman"/>
        </w:rPr>
        <w:t xml:space="preserve">. </w:t>
      </w:r>
    </w:p>
  </w:footnote>
  <w:footnote w:id="2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Дело SA. 34947, </w:t>
      </w:r>
      <w:r>
        <w:rPr>
          <w:rFonts w:ascii="Times New Roman" w:hAnsi="Times New Roman"/>
          <w:i/>
        </w:rPr>
        <w:t>UK — Подпомагане за атомната електроцентрала „Hinkley Point C“</w:t>
      </w:r>
      <w:r>
        <w:rPr>
          <w:rFonts w:ascii="Times New Roman" w:hAnsi="Times New Roman"/>
        </w:rPr>
        <w:t xml:space="preserve">, вж. IP/14/1093 от 8 октомври 2014 г., достъпно на адрес: </w:t>
      </w:r>
      <w:hyperlink r:id="rId20">
        <w:r>
          <w:rPr>
            <w:rStyle w:val="Hyperlink"/>
            <w:rFonts w:ascii="Times New Roman" w:hAnsi="Times New Roman"/>
          </w:rPr>
          <w:t>http://europa.eu/rapid/press-release_IP-14-1093_en.htm</w:t>
        </w:r>
      </w:hyperlink>
      <w:r>
        <w:rPr>
          <w:rFonts w:ascii="Times New Roman" w:hAnsi="Times New Roman"/>
        </w:rPr>
        <w:t>.</w:t>
      </w:r>
    </w:p>
  </w:footnote>
  <w:footnote w:id="2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Дело AT. 39952 </w:t>
      </w:r>
      <w:r>
        <w:rPr>
          <w:rFonts w:ascii="Times New Roman" w:hAnsi="Times New Roman"/>
          <w:i/>
        </w:rPr>
        <w:t>Енергийни борси</w:t>
      </w:r>
      <w:r>
        <w:rPr>
          <w:rFonts w:ascii="Times New Roman" w:hAnsi="Times New Roman"/>
        </w:rPr>
        <w:t>, Решение на Комисията от 5 март 2014</w:t>
      </w:r>
      <w:r>
        <w:rPr>
          <w:rFonts w:ascii="Times New Roman" w:hAnsi="Times New Roman"/>
          <w:lang w:val="en-GB"/>
        </w:rPr>
        <w:t> </w:t>
      </w:r>
      <w:r>
        <w:rPr>
          <w:rFonts w:ascii="Times New Roman" w:hAnsi="Times New Roman"/>
        </w:rPr>
        <w:t xml:space="preserve">г., достъпно на адрес: </w:t>
      </w:r>
      <w:hyperlink r:id="rId21" w:history="1">
        <w:r>
          <w:rPr>
            <w:rStyle w:val="Hyperlink"/>
            <w:rFonts w:ascii="Times New Roman" w:hAnsi="Times New Roman"/>
          </w:rPr>
          <w:t>http://ec.europa.eu/competition/elojade/isef/case_details.cfm?proc_code=1_39952.</w:t>
        </w:r>
      </w:hyperlink>
      <w:r>
        <w:rPr>
          <w:rFonts w:ascii="Times New Roman" w:hAnsi="Times New Roman"/>
        </w:rPr>
        <w:t xml:space="preserve"> </w:t>
      </w:r>
    </w:p>
  </w:footnote>
  <w:footnote w:id="2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Дело AT.39984 </w:t>
      </w:r>
      <w:r>
        <w:rPr>
          <w:rFonts w:ascii="Times New Roman" w:hAnsi="Times New Roman"/>
          <w:i/>
        </w:rPr>
        <w:t>OPCOM</w:t>
      </w:r>
      <w:r>
        <w:rPr>
          <w:rFonts w:ascii="Times New Roman" w:hAnsi="Times New Roman"/>
        </w:rPr>
        <w:t>/</w:t>
      </w:r>
      <w:r>
        <w:rPr>
          <w:rFonts w:ascii="Times New Roman" w:hAnsi="Times New Roman"/>
          <w:i/>
        </w:rPr>
        <w:t>Румънска енергийна борса</w:t>
      </w:r>
      <w:r>
        <w:rPr>
          <w:rFonts w:ascii="Times New Roman" w:hAnsi="Times New Roman"/>
        </w:rPr>
        <w:t xml:space="preserve">, Решение на Комисията от 5 март 2014 г., достъпно на адрес: </w:t>
      </w:r>
      <w:hyperlink r:id="rId22">
        <w:r>
          <w:rPr>
            <w:rStyle w:val="Hyperlink"/>
            <w:rFonts w:ascii="Times New Roman" w:hAnsi="Times New Roman"/>
          </w:rPr>
          <w:t>http://ec.europa.eu/competition/elojade/isef/case_details.cfm?proc_code=1_39984</w:t>
        </w:r>
      </w:hyperlink>
      <w:r>
        <w:rPr>
          <w:rFonts w:ascii="Times New Roman" w:hAnsi="Times New Roman"/>
        </w:rPr>
        <w:t xml:space="preserve">. </w:t>
      </w:r>
    </w:p>
  </w:footnote>
  <w:footnote w:id="2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Дело AT. 39767 — </w:t>
      </w:r>
      <w:r>
        <w:rPr>
          <w:rFonts w:ascii="Times New Roman" w:hAnsi="Times New Roman"/>
          <w:i/>
        </w:rPr>
        <w:t>Електроенергия, доставяна от БЕХ</w:t>
      </w:r>
      <w:r>
        <w:rPr>
          <w:rFonts w:ascii="Times New Roman" w:hAnsi="Times New Roman"/>
        </w:rPr>
        <w:t xml:space="preserve"> , вж. IP/14/922 от 12 август 2014 г., достъпно на </w:t>
      </w:r>
      <w:hyperlink r:id="rId23">
        <w:r>
          <w:rPr>
            <w:rStyle w:val="Hyperlink"/>
            <w:rFonts w:ascii="Times New Roman" w:hAnsi="Times New Roman"/>
          </w:rPr>
          <w:t>http://europa.eu/rapid/press-release_IP-14-922_en.htm</w:t>
        </w:r>
      </w:hyperlink>
      <w:r>
        <w:rPr>
          <w:rFonts w:ascii="Times New Roman" w:hAnsi="Times New Roman"/>
        </w:rPr>
        <w:t xml:space="preserve"> </w:t>
      </w:r>
    </w:p>
  </w:footnote>
  <w:footnote w:id="2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Дело AT. 39849 — </w:t>
      </w:r>
      <w:r>
        <w:rPr>
          <w:rFonts w:ascii="Times New Roman" w:hAnsi="Times New Roman"/>
          <w:i/>
        </w:rPr>
        <w:t>Газ от БЕХ</w:t>
      </w:r>
      <w:r>
        <w:rPr>
          <w:rFonts w:ascii="Times New Roman" w:hAnsi="Times New Roman"/>
        </w:rPr>
        <w:t xml:space="preserve">, вж. IP/13/656 от 5 юли 2013 г., достъпно на адрес: </w:t>
      </w:r>
      <w:hyperlink r:id="rId24">
        <w:r>
          <w:rPr>
            <w:rStyle w:val="Hyperlink"/>
            <w:rFonts w:ascii="Times New Roman" w:hAnsi="Times New Roman"/>
          </w:rPr>
          <w:t>http://europa.eu/rapid/press-release_IP-13-656_en.htm</w:t>
        </w:r>
      </w:hyperlink>
      <w:r>
        <w:rPr>
          <w:rFonts w:ascii="Times New Roman" w:hAnsi="Times New Roman"/>
        </w:rPr>
        <w:t>.</w:t>
      </w:r>
    </w:p>
  </w:footnote>
  <w:footnote w:id="2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Дело AT. 39816 — </w:t>
      </w:r>
      <w:r>
        <w:rPr>
          <w:rFonts w:ascii="Times New Roman" w:hAnsi="Times New Roman"/>
          <w:i/>
        </w:rPr>
        <w:t>Доставчици на газ нагоре по веригата в Централна и Източна Европа</w:t>
      </w:r>
      <w:r>
        <w:rPr>
          <w:rFonts w:ascii="Times New Roman" w:hAnsi="Times New Roman"/>
        </w:rPr>
        <w:t xml:space="preserve">, вж. IP/12/937 от 4 септември 2012 г., достъпно на адрес: </w:t>
      </w:r>
      <w:hyperlink r:id="rId25">
        <w:r>
          <w:rPr>
            <w:rStyle w:val="Hyperlink"/>
            <w:rFonts w:ascii="Times New Roman" w:hAnsi="Times New Roman"/>
          </w:rPr>
          <w:t>http://europa.eu/rapid/press-release_IP-12-937_en.htm?locale=en</w:t>
        </w:r>
      </w:hyperlink>
    </w:p>
  </w:footnote>
  <w:footnote w:id="2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Дело AT.40054 </w:t>
      </w:r>
      <w:r>
        <w:rPr>
          <w:rFonts w:ascii="Times New Roman" w:hAnsi="Times New Roman"/>
          <w:i/>
        </w:rPr>
        <w:t>Пазари на нефтени продукти и биогорива</w:t>
      </w:r>
      <w:r>
        <w:rPr>
          <w:rFonts w:ascii="Times New Roman" w:hAnsi="Times New Roman"/>
        </w:rPr>
        <w:t>, вж. MEMO/13/435 от 14 май 2013</w:t>
      </w:r>
      <w:r>
        <w:rPr>
          <w:rFonts w:ascii="Times New Roman" w:hAnsi="Times New Roman"/>
          <w:lang w:val="en-GB"/>
        </w:rPr>
        <w:t> </w:t>
      </w:r>
      <w:r>
        <w:rPr>
          <w:rFonts w:ascii="Times New Roman" w:hAnsi="Times New Roman"/>
        </w:rPr>
        <w:t xml:space="preserve">г., достъпно на адрес </w:t>
      </w:r>
      <w:hyperlink r:id="rId26">
        <w:r>
          <w:rPr>
            <w:rStyle w:val="Hyperlink"/>
            <w:rFonts w:ascii="Times New Roman" w:hAnsi="Times New Roman"/>
          </w:rPr>
          <w:t>http://europa.eu/rapid/press-release_MEMO-13-435_en.htm</w:t>
        </w:r>
      </w:hyperlink>
      <w:r>
        <w:rPr>
          <w:rFonts w:ascii="Times New Roman" w:hAnsi="Times New Roman"/>
        </w:rPr>
        <w:t>и MEMO/14/581 от 9 октомври 2014</w:t>
      </w:r>
      <w:r>
        <w:rPr>
          <w:rFonts w:ascii="Times New Roman" w:hAnsi="Times New Roman"/>
          <w:lang w:val="en-GB"/>
        </w:rPr>
        <w:t> </w:t>
      </w:r>
      <w:r>
        <w:rPr>
          <w:rFonts w:ascii="Times New Roman" w:hAnsi="Times New Roman"/>
        </w:rPr>
        <w:t xml:space="preserve">г., достъпно на адрес </w:t>
      </w:r>
      <w:hyperlink r:id="rId27">
        <w:r>
          <w:rPr>
            <w:rStyle w:val="Hyperlink"/>
            <w:rFonts w:ascii="Times New Roman" w:hAnsi="Times New Roman"/>
          </w:rPr>
          <w:t>http://europa.eu/rapid/press-release_MEMO-14-581_en.htm</w:t>
        </w:r>
      </w:hyperlink>
    </w:p>
  </w:footnote>
  <w:footnote w:id="2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Дело M.7137 </w:t>
      </w:r>
      <w:r>
        <w:rPr>
          <w:rFonts w:ascii="Times New Roman" w:hAnsi="Times New Roman"/>
          <w:i/>
        </w:rPr>
        <w:t>EDF/Dalkia en France</w:t>
      </w:r>
      <w:r>
        <w:rPr>
          <w:rFonts w:ascii="Times New Roman" w:hAnsi="Times New Roman"/>
        </w:rPr>
        <w:t>, Решение на Комисията от 25 юни 2014</w:t>
      </w:r>
      <w:r>
        <w:rPr>
          <w:rFonts w:ascii="Times New Roman" w:hAnsi="Times New Roman"/>
          <w:lang w:val="en-GB"/>
        </w:rPr>
        <w:t> </w:t>
      </w:r>
      <w:r>
        <w:rPr>
          <w:rFonts w:ascii="Times New Roman" w:hAnsi="Times New Roman"/>
        </w:rPr>
        <w:t xml:space="preserve">г., достъпно на адрес: </w:t>
      </w:r>
      <w:hyperlink r:id="rId28">
        <w:r>
          <w:rPr>
            <w:rStyle w:val="Hyperlink"/>
            <w:rFonts w:ascii="Times New Roman" w:hAnsi="Times New Roman"/>
          </w:rPr>
          <w:t>http://ec.europa.eu/competition/elojade/isef/case_details.cfm?proc_code=2_M_7137</w:t>
        </w:r>
      </w:hyperlink>
      <w:r>
        <w:rPr>
          <w:rFonts w:ascii="Times New Roman" w:hAnsi="Times New Roman"/>
        </w:rPr>
        <w:t xml:space="preserve"> </w:t>
      </w:r>
    </w:p>
  </w:footnote>
  <w:footnote w:id="2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Дело SA.35980 </w:t>
      </w:r>
      <w:r>
        <w:rPr>
          <w:rFonts w:ascii="Times New Roman" w:hAnsi="Times New Roman"/>
          <w:i/>
        </w:rPr>
        <w:t>Обединено кралство – Пазарът на капацитет в Обединеното кралство</w:t>
      </w:r>
      <w:r>
        <w:rPr>
          <w:rFonts w:ascii="Times New Roman" w:hAnsi="Times New Roman"/>
        </w:rPr>
        <w:t xml:space="preserve">, вж. IP/14/865 от 23 юли 2014 г., достъпно на адрес: </w:t>
      </w:r>
      <w:hyperlink r:id="rId29" w:history="1">
        <w:r>
          <w:rPr>
            <w:rStyle w:val="Hyperlink"/>
            <w:rFonts w:ascii="Times New Roman" w:hAnsi="Times New Roman"/>
          </w:rPr>
          <w:t>http://europa.eu/rapid/press-release_IP-14-865_en.htm</w:t>
        </w:r>
      </w:hyperlink>
      <w:r>
        <w:rPr>
          <w:rFonts w:ascii="Times New Roman" w:hAnsi="Times New Roman"/>
        </w:rPr>
        <w:t xml:space="preserve"> </w:t>
      </w:r>
    </w:p>
  </w:footnote>
  <w:footnote w:id="2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Дело AT. 39523 </w:t>
      </w:r>
      <w:r>
        <w:rPr>
          <w:rFonts w:ascii="Times New Roman" w:hAnsi="Times New Roman"/>
          <w:i/>
        </w:rPr>
        <w:t>Slovak Telekom</w:t>
      </w:r>
      <w:r>
        <w:rPr>
          <w:rFonts w:ascii="Times New Roman" w:hAnsi="Times New Roman"/>
        </w:rPr>
        <w:t>, Решение на Комисията от 15 октомври 2014</w:t>
      </w:r>
      <w:r>
        <w:rPr>
          <w:rFonts w:ascii="Times New Roman" w:hAnsi="Times New Roman"/>
          <w:lang w:val="en-GB"/>
        </w:rPr>
        <w:t> </w:t>
      </w:r>
      <w:r>
        <w:rPr>
          <w:rFonts w:ascii="Times New Roman" w:hAnsi="Times New Roman"/>
        </w:rPr>
        <w:t xml:space="preserve">г., достъпно на адрес: </w:t>
      </w:r>
      <w:hyperlink r:id="rId30">
        <w:r>
          <w:rPr>
            <w:rStyle w:val="Hyperlink"/>
            <w:rFonts w:ascii="Times New Roman" w:hAnsi="Times New Roman"/>
          </w:rPr>
          <w:t>http://ec.europa.eu/competition/elojade/isef/case_details.cfm?proc_code=3_SA_36061</w:t>
        </w:r>
      </w:hyperlink>
    </w:p>
  </w:footnote>
  <w:footnote w:id="30">
    <w:p>
      <w:pPr>
        <w:pStyle w:val="FootnoteText"/>
        <w:spacing w:after="0" w:line="240" w:lineRule="auto"/>
        <w:jc w:val="both"/>
        <w:rPr>
          <w:rFonts w:ascii="Times New Roman" w:hAnsi="Times New Roman"/>
          <w:spacing w:val="-6"/>
        </w:rPr>
      </w:pPr>
      <w:r>
        <w:rPr>
          <w:rStyle w:val="FootnoteReference"/>
          <w:rFonts w:ascii="Times New Roman" w:hAnsi="Times New Roman"/>
        </w:rPr>
        <w:footnoteRef/>
      </w:r>
      <w:r>
        <w:rPr>
          <w:rFonts w:ascii="Times New Roman" w:hAnsi="Times New Roman"/>
        </w:rPr>
        <w:t xml:space="preserve"> </w:t>
      </w:r>
      <w:r>
        <w:rPr>
          <w:rFonts w:ascii="Times New Roman" w:hAnsi="Times New Roman"/>
          <w:spacing w:val="-6"/>
        </w:rPr>
        <w:t xml:space="preserve">Дело SA. 37824 </w:t>
      </w:r>
      <w:r>
        <w:rPr>
          <w:rFonts w:ascii="Times New Roman" w:hAnsi="Times New Roman"/>
          <w:i/>
          <w:spacing w:val="-6"/>
        </w:rPr>
        <w:t>Португалска финансова институция за развитие</w:t>
      </w:r>
      <w:r>
        <w:rPr>
          <w:rFonts w:ascii="Times New Roman" w:hAnsi="Times New Roman"/>
          <w:spacing w:val="-6"/>
        </w:rPr>
        <w:t xml:space="preserve">, Решение на Комисията от 28 октомври 2014 г., достъпно на адрес: </w:t>
      </w:r>
      <w:hyperlink r:id="rId31">
        <w:r>
          <w:rPr>
            <w:rStyle w:val="Hyperlink"/>
            <w:rFonts w:ascii="Times New Roman" w:hAnsi="Times New Roman"/>
          </w:rPr>
          <w:t>http://ec.europa.eu/competition/elojade/isef/case_details.cfm?proc_code=3_SA_37824</w:t>
        </w:r>
      </w:hyperlink>
    </w:p>
  </w:footnote>
  <w:footnote w:id="3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Дело AT.39924 </w:t>
      </w:r>
      <w:r>
        <w:rPr>
          <w:rFonts w:ascii="Times New Roman" w:hAnsi="Times New Roman"/>
          <w:i/>
        </w:rPr>
        <w:t>Лихвени деривати в швейцарски франкове</w:t>
      </w:r>
      <w:r>
        <w:rPr>
          <w:rFonts w:ascii="Times New Roman" w:hAnsi="Times New Roman"/>
        </w:rPr>
        <w:t xml:space="preserve">, Решение на Комисията от 21 октомври 2014 г., вж. IP/14/1189, което може да бъде намерено на: </w:t>
      </w:r>
      <w:hyperlink r:id="rId32">
        <w:r>
          <w:rPr>
            <w:rStyle w:val="Hyperlink"/>
            <w:rFonts w:ascii="Times New Roman" w:hAnsi="Times New Roman"/>
          </w:rPr>
          <w:t>http://europa.eu/rapid/press-release_IP-14-1189_en.htm</w:t>
        </w:r>
      </w:hyperlink>
    </w:p>
  </w:footnote>
  <w:footnote w:id="3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Дело AT.39924 </w:t>
      </w:r>
      <w:r>
        <w:rPr>
          <w:rFonts w:ascii="Times New Roman" w:hAnsi="Times New Roman"/>
          <w:i/>
        </w:rPr>
        <w:t>Swiss Franc Interest Rate Derivatives</w:t>
      </w:r>
      <w:r>
        <w:rPr>
          <w:rFonts w:ascii="Times New Roman" w:hAnsi="Times New Roman"/>
        </w:rPr>
        <w:t xml:space="preserve">, решение от 21 октомври 2014 г., вж. IP/14/1190, което може да бъде намерено на: </w:t>
      </w:r>
      <w:hyperlink r:id="rId33">
        <w:r>
          <w:rPr>
            <w:rStyle w:val="Hyperlink"/>
            <w:rFonts w:ascii="Times New Roman" w:hAnsi="Times New Roman"/>
          </w:rPr>
          <w:t>http://europa.eu/rapid/press-release_IP-14-1190_en.htm</w:t>
        </w:r>
      </w:hyperlink>
    </w:p>
  </w:footnote>
  <w:footnote w:id="3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През декември 2013 г. в рамките на процедура за постигане на споразумение Комисията глоби 8 банки с общо 1,7 милиарда евро за участие в картели на пазари за финансови деривати. През март 2013 г. Комисията откри също производство срещу Crédit Agricole, HSBC и JPMorgan поради подозрения за участие в картел за лихвени деривати в евро. За тези банки разследването продължава по стандартната процедура (без споразумение). На 20 май 2014 г. на трите банки бе изпратено изложение на възраженията.</w:t>
      </w:r>
    </w:p>
  </w:footnote>
  <w:footnote w:id="3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ОВ L 173, 12.6.2014 г., стр. 349, достъпна на адрес: </w:t>
      </w:r>
      <w:hyperlink r:id="rId34">
        <w:r>
          <w:rPr>
            <w:rStyle w:val="Hyperlink"/>
            <w:rFonts w:ascii="Times New Roman" w:hAnsi="Times New Roman"/>
          </w:rPr>
          <w:t>http://eur-lex.europa.eu/legal-content/BG/TXT/HTML/?uri=CELEX:32014L0065&amp;from=EN</w:t>
        </w:r>
      </w:hyperlink>
      <w:r>
        <w:rPr>
          <w:rFonts w:ascii="Times New Roman" w:hAnsi="Times New Roman"/>
        </w:rPr>
        <w:t xml:space="preserve"> </w:t>
      </w:r>
    </w:p>
  </w:footnote>
  <w:footnote w:id="3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Регламент (ЕС) № 600/2014 на Европейския парламент и на Съвета от 15 май 2014 г. относно пазарите на финансови инструменти и за изменение на Директива (ЕС) № 648/2012, ОВ L 173, 12.6.2014 г., стр. 84, достъпен на адрес: </w:t>
      </w:r>
      <w:hyperlink r:id="rId35">
        <w:r>
          <w:rPr>
            <w:rStyle w:val="Hyperlink"/>
            <w:rFonts w:ascii="Times New Roman" w:hAnsi="Times New Roman"/>
          </w:rPr>
          <w:t>http://eur-lex.europa.eu/legal-content/BG/TXT/HTML/?uri=CELEX:32014R0600&amp;from=EN</w:t>
        </w:r>
      </w:hyperlink>
      <w:r>
        <w:rPr>
          <w:rFonts w:ascii="Times New Roman" w:hAnsi="Times New Roman"/>
        </w:rPr>
        <w:t xml:space="preserve"> </w:t>
      </w:r>
    </w:p>
  </w:footnote>
  <w:footnote w:id="3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Дело AT.39398 </w:t>
      </w:r>
      <w:r>
        <w:rPr>
          <w:rFonts w:ascii="Times New Roman" w:hAnsi="Times New Roman"/>
          <w:i/>
        </w:rPr>
        <w:t xml:space="preserve">Visa MIF, </w:t>
      </w:r>
      <w:r>
        <w:rPr>
          <w:rFonts w:ascii="Times New Roman" w:hAnsi="Times New Roman"/>
        </w:rPr>
        <w:t xml:space="preserve">Решение на Комисията от 26 февруари 2014 г., което може да бъде намерено на адрес: </w:t>
      </w:r>
      <w:hyperlink r:id="rId36" w:history="1">
        <w:r>
          <w:rPr>
            <w:rStyle w:val="Hyperlink"/>
            <w:rFonts w:ascii="Times New Roman" w:hAnsi="Times New Roman"/>
          </w:rPr>
          <w:t>http://ec.europa.eu/competition/antitrust/cases/dec_docs/39398/39398_9728_3.pdf</w:t>
        </w:r>
      </w:hyperlink>
    </w:p>
  </w:footnote>
  <w:footnote w:id="3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През декември 2010 г. Комисията направи задължителни ангажиментите, предложени от Visa Европа, да намали своите МТО за плащания с дебитни карти и въведе разнообразни правила за прозрачност. Тези ангажименти изтекоха през декември 2014 г.</w:t>
      </w:r>
    </w:p>
  </w:footnote>
  <w:footnote w:id="38">
    <w:p>
      <w:pPr>
        <w:autoSpaceDE w:val="0"/>
        <w:autoSpaceDN w:val="0"/>
        <w:adjustRightInd w:val="0"/>
        <w:spacing w:after="0" w:line="240" w:lineRule="auto"/>
        <w:jc w:val="both"/>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Предложение на Комисията за регламент на Европейския парламент и на Съвета относно обменните такси за платежни операции, свързани с карти, COM(2013)</w:t>
      </w:r>
      <w:r>
        <w:rPr>
          <w:rFonts w:ascii="Times New Roman" w:hAnsi="Times New Roman"/>
        </w:rPr>
        <w:t> </w:t>
      </w:r>
      <w:r>
        <w:rPr>
          <w:rFonts w:ascii="Times New Roman" w:hAnsi="Times New Roman"/>
          <w:sz w:val="20"/>
        </w:rPr>
        <w:t xml:space="preserve">550 окончателен, 2013/0265 (COD) от 24 юли 2013 г., което може да бъде намерено на адрес: </w:t>
      </w:r>
      <w:hyperlink r:id="rId37">
        <w:r>
          <w:rPr>
            <w:rStyle w:val="Hyperlink"/>
            <w:rFonts w:ascii="Times New Roman" w:hAnsi="Times New Roman"/>
            <w:sz w:val="20"/>
          </w:rPr>
          <w:t>http://eur-lex.europa.eu/LexUriServ/LexUriServ.do?uri=COM:2013:0550:FIN:bg:HTML</w:t>
        </w:r>
      </w:hyperlink>
      <w:r>
        <w:rPr>
          <w:rFonts w:ascii="Times New Roman" w:hAnsi="Times New Roman"/>
          <w:sz w:val="20"/>
        </w:rPr>
        <w:t xml:space="preserve"> </w:t>
      </w:r>
    </w:p>
  </w:footnote>
  <w:footnote w:id="39">
    <w:p>
      <w:pPr>
        <w:autoSpaceDE w:val="0"/>
        <w:autoSpaceDN w:val="0"/>
        <w:adjustRightInd w:val="0"/>
        <w:spacing w:after="0" w:line="240" w:lineRule="auto"/>
        <w:jc w:val="both"/>
        <w:rPr>
          <w:rFonts w:ascii="Times New Roman" w:hAnsi="Times New Roman"/>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000000"/>
          <w:sz w:val="20"/>
        </w:rPr>
        <w:t>Предложение на Комисията за Директива относно платежните услуги във вътрешния пазар, COM(2013)</w:t>
      </w:r>
      <w:r>
        <w:rPr>
          <w:rFonts w:ascii="Times New Roman" w:hAnsi="Times New Roman"/>
        </w:rPr>
        <w:t> </w:t>
      </w:r>
      <w:r>
        <w:rPr>
          <w:rFonts w:ascii="Times New Roman" w:hAnsi="Times New Roman"/>
          <w:color w:val="000000"/>
          <w:sz w:val="20"/>
        </w:rPr>
        <w:t xml:space="preserve">547 окончателен от 24 юли 2013 г., което може да бъде намерено на адрес: </w:t>
      </w:r>
      <w:hyperlink r:id="rId38">
        <w:r>
          <w:rPr>
            <w:rStyle w:val="Hyperlink"/>
            <w:rFonts w:ascii="Times New Roman" w:hAnsi="Times New Roman"/>
            <w:sz w:val="20"/>
          </w:rPr>
          <w:t>http://eur-lex.europa.eu/legal-content/BG/TXT/HTML/?uri=CELEX:52013PC0547&amp;from=EN</w:t>
        </w:r>
      </w:hyperlink>
    </w:p>
  </w:footnote>
  <w:footnote w:id="4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Съобщение на Комисията — </w:t>
      </w:r>
      <w:r>
        <w:rPr>
          <w:rFonts w:ascii="Times New Roman" w:hAnsi="Times New Roman"/>
          <w:i/>
        </w:rPr>
        <w:t>Насоки относно държавните помощи за насърчаване на инвестициите в рисково финансиране</w:t>
      </w:r>
      <w:r>
        <w:rPr>
          <w:rFonts w:ascii="Times New Roman" w:hAnsi="Times New Roman"/>
        </w:rPr>
        <w:t xml:space="preserve">, ОВ C 19, 22.1.2014 г., стр. 4, което може да бъде намерено на адрес: </w:t>
      </w:r>
      <w:hyperlink r:id="rId39">
        <w:r>
          <w:rPr>
            <w:rStyle w:val="Hyperlink"/>
            <w:rFonts w:ascii="Times New Roman" w:hAnsi="Times New Roman"/>
          </w:rPr>
          <w:t>http://eur-lex.europa.eu/legal-content/BG/TXT/HTML/?uri=CELEX:52014XC0122(04)&amp;from=EN</w:t>
        </w:r>
      </w:hyperlink>
    </w:p>
  </w:footnote>
  <w:footnote w:id="4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За пълен преглед, вж. </w:t>
      </w:r>
      <w:hyperlink r:id="rId40">
        <w:r>
          <w:rPr>
            <w:rStyle w:val="Hyperlink"/>
            <w:rFonts w:ascii="Times New Roman" w:hAnsi="Times New Roman"/>
          </w:rPr>
          <w:t>http://ec.europa.eu/competition/state_aid/modernisation/index_en.html</w:t>
        </w:r>
      </w:hyperlink>
    </w:p>
  </w:footnote>
  <w:footnote w:id="4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Съобщение на Комисията — </w:t>
      </w:r>
      <w:r>
        <w:rPr>
          <w:rFonts w:ascii="Times New Roman" w:hAnsi="Times New Roman"/>
          <w:i/>
        </w:rPr>
        <w:t>Насоки относно държавните помощи за научни изследвания, развитие и иновации</w:t>
      </w:r>
      <w:r>
        <w:rPr>
          <w:rFonts w:ascii="Times New Roman" w:hAnsi="Times New Roman"/>
        </w:rPr>
        <w:t xml:space="preserve">, ОВ C 198, 27.6.2014 г., стр. 1, което може да бъде намерено на адрес: </w:t>
      </w:r>
      <w:hyperlink r:id="rId41" w:history="1">
        <w:r>
          <w:rPr>
            <w:rStyle w:val="Hyperlink"/>
            <w:rFonts w:ascii="Times New Roman" w:hAnsi="Times New Roman"/>
          </w:rPr>
          <w:t>http://eur-lex.europa.eu/legal-content/BG/TXT/HTML/?uri=CELEX:52014XC0627(01)&amp;from=EN.</w:t>
        </w:r>
      </w:hyperlink>
    </w:p>
  </w:footnote>
  <w:footnote w:id="43">
    <w:p>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rPr>
        <w:t xml:space="preserve"> Съобщение на Комисията — </w:t>
      </w:r>
      <w:r>
        <w:rPr>
          <w:rFonts w:ascii="Times New Roman" w:hAnsi="Times New Roman"/>
          <w:i/>
        </w:rPr>
        <w:t>Критерии за анализ на съвместимостта с вътрешния пазар на държавна помощ за насърчаване изпълнението на важни проекти от общоевропейски интерес</w:t>
      </w:r>
      <w:r>
        <w:rPr>
          <w:rFonts w:ascii="Times New Roman" w:hAnsi="Times New Roman"/>
        </w:rPr>
        <w:t xml:space="preserve">, ОВ C 188, 20.6.2014 г., стр. 4, което може да бъде намерено на адрес: </w:t>
      </w:r>
      <w:hyperlink r:id="rId42">
        <w:r>
          <w:rPr>
            <w:rStyle w:val="Hyperlink"/>
            <w:rFonts w:ascii="Times New Roman" w:hAnsi="Times New Roman"/>
          </w:rPr>
          <w:t>http://eur-lex.europa.eu/legal-content/BG/TXT/HTML/?uri=CELEX:52014XC0620(01)&amp;from=EN</w:t>
        </w:r>
      </w:hyperlink>
      <w:r>
        <w:rPr>
          <w:rFonts w:ascii="Times New Roman" w:hAnsi="Times New Roman"/>
        </w:rPr>
        <w:t xml:space="preserve"> </w:t>
      </w:r>
    </w:p>
  </w:footnote>
  <w:footnote w:id="4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Съобщение на Комисията до Европейския парламент, Съвета, Европейската централна банка, Европейския икономически и социален комитет, Комитета на регионите и Европейската инвестиционна банка, </w:t>
      </w:r>
      <w:r>
        <w:rPr>
          <w:rFonts w:ascii="Times New Roman" w:hAnsi="Times New Roman"/>
          <w:i/>
        </w:rPr>
        <w:t>План за инвестиции за Европа</w:t>
      </w:r>
      <w:r>
        <w:rPr>
          <w:rFonts w:ascii="Times New Roman" w:hAnsi="Times New Roman"/>
        </w:rPr>
        <w:t xml:space="preserve">, COM(2014) 903 final, 26.11.2014 г., което може да бъде намерено на адрес: </w:t>
      </w:r>
      <w:hyperlink r:id="rId43">
        <w:r>
          <w:rPr>
            <w:rStyle w:val="Hyperlink"/>
            <w:rFonts w:ascii="Times New Roman" w:hAnsi="Times New Roman"/>
          </w:rPr>
          <w:t>http://eur-lex.europa.eu/legal-content/BG/TXT/PDF/?uri=CELEX:52014DC0903&amp;from=EN</w:t>
        </w:r>
      </w:hyperlink>
      <w:r>
        <w:rPr>
          <w:rFonts w:ascii="Times New Roman" w:hAnsi="Times New Roman"/>
        </w:rPr>
        <w:t xml:space="preserve"> и предложение за Регламент на Европейския парламент и на Съвета относно Европейския фонд за стратегически инвестиции и за изменение на регламенти (ЕС) № 1291/2013 и (ЕС) № 1316/2013 – COM(2015) 10 final, 2015/0009 (COD), 13.1.2015 г., което може да бъде намерено на адрес </w:t>
      </w:r>
      <w:hyperlink r:id="rId44" w:history="1">
        <w:r>
          <w:rPr>
            <w:rStyle w:val="Hyperlink"/>
            <w:rFonts w:ascii="Times New Roman" w:hAnsi="Times New Roman"/>
          </w:rPr>
          <w:t>http://eur-lex.europa.eu/legal-content/EN/TXT/?qid=1427812320943&amp;uri=CELEX:52015PC0010</w:t>
        </w:r>
      </w:hyperlink>
      <w:r>
        <w:rPr>
          <w:rFonts w:ascii="Times New Roman" w:hAnsi="Times New Roman"/>
        </w:rPr>
        <w:t xml:space="preserve"> </w:t>
      </w:r>
    </w:p>
  </w:footnote>
  <w:footnote w:id="4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За да се гарантира, че инвестициите в инфраструктури и проекти, подпомагани по тази инициатива, са в съответствие с правилата за държавна помощ, проектите следва да отговорят на незадоволени потребности (например да не се дублира съществуваща инфраструктура), да привличат във възможно най-голяма степен частно финансиране и да избягват изместването на проекти, финансирани с частни средства. Подпомаганите проекти по принцип трябва да бъдат отворени за всички потребители, включително конкурентни оператори, при справедливи, разумни и подходящи условия, така че да се избегне създаването на бариери за навлизане на пазара.</w:t>
      </w:r>
    </w:p>
  </w:footnote>
  <w:footnote w:id="4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Съобщение на Комисията —</w:t>
      </w:r>
      <w:r>
        <w:rPr>
          <w:rFonts w:ascii="Times New Roman" w:hAnsi="Times New Roman"/>
          <w:i/>
        </w:rPr>
        <w:t xml:space="preserve"> Насоки за държавна помощ за оздравяване и преструктуриране на нефинансови предприятия в затруднено положение</w:t>
      </w:r>
      <w:r>
        <w:rPr>
          <w:rFonts w:ascii="Times New Roman" w:hAnsi="Times New Roman"/>
        </w:rPr>
        <w:t xml:space="preserve">, ОВ C 249, 31.7.2014 г., стр. 1, което може да бъде намерено на адрес: </w:t>
      </w:r>
      <w:hyperlink r:id="rId45">
        <w:r>
          <w:rPr>
            <w:rStyle w:val="Hyperlink"/>
            <w:rFonts w:ascii="Times New Roman" w:hAnsi="Times New Roman"/>
          </w:rPr>
          <w:t>http://eur-lex.europa.eu/legal-content/BG/TXT/PDF/?uri=CELEX:52014XC0731(01)&amp;from=EN</w:t>
        </w:r>
      </w:hyperlink>
      <w:r>
        <w:rPr>
          <w:rFonts w:ascii="Times New Roman" w:hAnsi="Times New Roman"/>
        </w:rPr>
        <w:t xml:space="preserve"> </w:t>
      </w:r>
    </w:p>
  </w:footnote>
  <w:footnote w:id="4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Дело AT. 39748 </w:t>
      </w:r>
      <w:r>
        <w:rPr>
          <w:rFonts w:ascii="Times New Roman" w:hAnsi="Times New Roman"/>
          <w:i/>
        </w:rPr>
        <w:t>Автомобилни кабелни снопове</w:t>
      </w:r>
      <w:r>
        <w:rPr>
          <w:rFonts w:ascii="Times New Roman" w:hAnsi="Times New Roman"/>
        </w:rPr>
        <w:t xml:space="preserve">, Решение на Комисията от 10 юли 2013 г., което може да бъде намерено на адрес: </w:t>
      </w:r>
      <w:hyperlink r:id="rId46">
        <w:r>
          <w:rPr>
            <w:rStyle w:val="Hyperlink"/>
            <w:rFonts w:ascii="Times New Roman" w:hAnsi="Times New Roman"/>
          </w:rPr>
          <w:t>http://ec.europa.eu/competition/elojade/isef/case_details.cfm?proc_code=1_39748</w:t>
        </w:r>
      </w:hyperlink>
      <w:r>
        <w:rPr>
          <w:rFonts w:ascii="Times New Roman" w:hAnsi="Times New Roman"/>
        </w:rPr>
        <w:t xml:space="preserve"> </w:t>
      </w:r>
    </w:p>
  </w:footnote>
  <w:footnote w:id="48">
    <w:p>
      <w:pPr>
        <w:spacing w:after="0" w:line="240" w:lineRule="auto"/>
        <w:jc w:val="both"/>
        <w:rPr>
          <w:rFonts w:ascii="Times New Roman" w:hAnsi="Times New Roman"/>
          <w:sz w:val="20"/>
          <w:szCs w:val="20"/>
        </w:rPr>
      </w:pPr>
      <w:r>
        <w:rPr>
          <w:rStyle w:val="FootnoteReference"/>
          <w:rFonts w:ascii="Times New Roman" w:hAnsi="Times New Roman"/>
          <w:sz w:val="20"/>
        </w:rPr>
        <w:footnoteRef/>
      </w:r>
      <w:r>
        <w:rPr>
          <w:rFonts w:ascii="Times New Roman" w:hAnsi="Times New Roman"/>
          <w:sz w:val="20"/>
        </w:rPr>
        <w:t xml:space="preserve"> Дело AT.39801 </w:t>
      </w:r>
      <w:r>
        <w:rPr>
          <w:rFonts w:ascii="Times New Roman" w:hAnsi="Times New Roman"/>
          <w:i/>
          <w:sz w:val="20"/>
        </w:rPr>
        <w:t>Полиуретанова пяна</w:t>
      </w:r>
      <w:r>
        <w:rPr>
          <w:rFonts w:ascii="Times New Roman" w:hAnsi="Times New Roman"/>
          <w:sz w:val="20"/>
        </w:rPr>
        <w:t xml:space="preserve">, </w:t>
      </w:r>
      <w:r>
        <w:rPr>
          <w:rFonts w:ascii="Times New Roman" w:hAnsi="Times New Roman"/>
          <w:sz w:val="20"/>
          <w:szCs w:val="20"/>
        </w:rPr>
        <w:t xml:space="preserve">Решение на Комисията от 29 януари 2014 г., което може да бъде намерено на адрес: </w:t>
      </w:r>
      <w:hyperlink r:id="rId47">
        <w:r>
          <w:rPr>
            <w:rStyle w:val="Hyperlink"/>
            <w:rFonts w:ascii="Times New Roman" w:hAnsi="Times New Roman"/>
            <w:sz w:val="20"/>
            <w:szCs w:val="20"/>
          </w:rPr>
          <w:t>http://ec.europa.eu/competition/elojade/isef/case_details.cfm?proc_code=1_39801</w:t>
        </w:r>
      </w:hyperlink>
      <w:r>
        <w:rPr>
          <w:rFonts w:ascii="Times New Roman" w:hAnsi="Times New Roman"/>
        </w:rPr>
        <w:t xml:space="preserve"> </w:t>
      </w:r>
    </w:p>
  </w:footnote>
  <w:footnote w:id="4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Дело AT. 39922 </w:t>
      </w:r>
      <w:r>
        <w:rPr>
          <w:rFonts w:ascii="Times New Roman" w:hAnsi="Times New Roman"/>
          <w:i/>
        </w:rPr>
        <w:t>Автомобилни лагери</w:t>
      </w:r>
      <w:r>
        <w:rPr>
          <w:rFonts w:ascii="Times New Roman" w:hAnsi="Times New Roman"/>
        </w:rPr>
        <w:t>, Решение на Комисията от 19 март 2014</w:t>
      </w:r>
      <w:r>
        <w:rPr>
          <w:rFonts w:ascii="Times New Roman" w:hAnsi="Times New Roman"/>
          <w:lang w:val="en-GB"/>
        </w:rPr>
        <w:t> </w:t>
      </w:r>
      <w:r>
        <w:rPr>
          <w:rFonts w:ascii="Times New Roman" w:hAnsi="Times New Roman"/>
        </w:rPr>
        <w:t xml:space="preserve">г., което може да бъде намерено на адрес: </w:t>
      </w:r>
      <w:hyperlink r:id="rId48">
        <w:r>
          <w:rPr>
            <w:rStyle w:val="Hyperlink"/>
            <w:rFonts w:ascii="Times New Roman" w:hAnsi="Times New Roman"/>
          </w:rPr>
          <w:t>http://ec.europa.eu/competition/elojade/isef/case_details.cfm?proc_code=1_39922</w:t>
        </w:r>
      </w:hyperlink>
      <w:r>
        <w:rPr>
          <w:rFonts w:ascii="Times New Roman" w:hAnsi="Times New Roman"/>
        </w:rPr>
        <w:t xml:space="preserve"> </w:t>
      </w:r>
    </w:p>
  </w:footnote>
  <w:footnote w:id="5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Дело AT.39792 </w:t>
      </w:r>
      <w:r>
        <w:rPr>
          <w:rFonts w:ascii="Times New Roman" w:hAnsi="Times New Roman"/>
          <w:i/>
        </w:rPr>
        <w:t>Стоманени абразиви</w:t>
      </w:r>
      <w:r>
        <w:rPr>
          <w:rFonts w:ascii="Times New Roman" w:hAnsi="Times New Roman"/>
        </w:rPr>
        <w:t>, Решение на Комисията от 2 април 2014</w:t>
      </w:r>
      <w:r>
        <w:rPr>
          <w:rFonts w:ascii="Times New Roman" w:hAnsi="Times New Roman"/>
          <w:lang w:val="en-GB"/>
        </w:rPr>
        <w:t> </w:t>
      </w:r>
      <w:r>
        <w:rPr>
          <w:rFonts w:ascii="Times New Roman" w:hAnsi="Times New Roman"/>
        </w:rPr>
        <w:t xml:space="preserve">г., което може да бъде намерено на адрес: </w:t>
      </w:r>
      <w:hyperlink r:id="rId49" w:history="1">
        <w:r>
          <w:rPr>
            <w:rStyle w:val="Hyperlink"/>
            <w:rFonts w:ascii="Times New Roman" w:hAnsi="Times New Roman"/>
          </w:rPr>
          <w:t>http://ec.europa.eu/competition/elojade/isef/case_details.cfm?proc_code=1_39792</w:t>
        </w:r>
      </w:hyperlink>
      <w:r>
        <w:rPr>
          <w:rFonts w:ascii="Times New Roman" w:hAnsi="Times New Roman"/>
        </w:rPr>
        <w:t xml:space="preserve"> </w:t>
      </w:r>
    </w:p>
  </w:footnote>
  <w:footnote w:id="5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Дело AT.39610 </w:t>
      </w:r>
      <w:r>
        <w:rPr>
          <w:rFonts w:ascii="Times New Roman" w:hAnsi="Times New Roman"/>
          <w:i/>
        </w:rPr>
        <w:t>Електропроводи</w:t>
      </w:r>
      <w:r>
        <w:rPr>
          <w:rFonts w:ascii="Times New Roman" w:hAnsi="Times New Roman"/>
        </w:rPr>
        <w:t xml:space="preserve">, Решение на Комисията от 2 април 2014 г., което може да бъде намерено на адрес: </w:t>
      </w:r>
      <w:hyperlink r:id="rId50" w:history="1">
        <w:r>
          <w:rPr>
            <w:rStyle w:val="Hyperlink"/>
            <w:rFonts w:ascii="Times New Roman" w:hAnsi="Times New Roman"/>
          </w:rPr>
          <w:t>http://ec.europa.eu/competition/elojade/isef/case_details.cfm?proc_code=1_39610</w:t>
        </w:r>
      </w:hyperlink>
      <w:r>
        <w:rPr>
          <w:rFonts w:ascii="Times New Roman" w:hAnsi="Times New Roman"/>
        </w:rPr>
        <w:t xml:space="preserve"> </w:t>
      </w:r>
    </w:p>
  </w:footnote>
  <w:footnote w:id="5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Дело AT.39574 </w:t>
      </w:r>
      <w:r>
        <w:rPr>
          <w:rFonts w:ascii="Times New Roman" w:hAnsi="Times New Roman"/>
          <w:i/>
        </w:rPr>
        <w:t>Чипове за смарт карти</w:t>
      </w:r>
      <w:r>
        <w:rPr>
          <w:rFonts w:ascii="Times New Roman" w:hAnsi="Times New Roman"/>
        </w:rPr>
        <w:t xml:space="preserve">, Решение на Комисията от 3 септември 2014 г., което може да бъде намерено на адрес: </w:t>
      </w:r>
      <w:hyperlink r:id="rId51" w:history="1">
        <w:r>
          <w:rPr>
            <w:rStyle w:val="Hyperlink"/>
            <w:rFonts w:ascii="Times New Roman" w:hAnsi="Times New Roman"/>
          </w:rPr>
          <w:t>http://ec.europa.eu/competition/elojade/isef/case_details.cfm?proc_code=1_39574</w:t>
        </w:r>
      </w:hyperlink>
      <w:r>
        <w:rPr>
          <w:rFonts w:ascii="Times New Roman" w:hAnsi="Times New Roman"/>
        </w:rPr>
        <w:t xml:space="preserve"> </w:t>
      </w:r>
    </w:p>
  </w:footnote>
  <w:footnote w:id="5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Дело AT.39824 </w:t>
      </w:r>
      <w:r>
        <w:rPr>
          <w:rFonts w:ascii="Times New Roman" w:hAnsi="Times New Roman"/>
          <w:i/>
        </w:rPr>
        <w:t>Камиони</w:t>
      </w:r>
      <w:r>
        <w:rPr>
          <w:rFonts w:ascii="Times New Roman" w:hAnsi="Times New Roman"/>
        </w:rPr>
        <w:t>, вж. IP/14/2002 от 20 ноември 2014</w:t>
      </w:r>
      <w:r>
        <w:rPr>
          <w:rFonts w:ascii="Times New Roman" w:hAnsi="Times New Roman"/>
          <w:lang w:val="en-GB"/>
        </w:rPr>
        <w:t> </w:t>
      </w:r>
      <w:r>
        <w:rPr>
          <w:rFonts w:ascii="Times New Roman" w:hAnsi="Times New Roman"/>
        </w:rPr>
        <w:t xml:space="preserve">г., което може да бъде намерено на адрес: </w:t>
      </w:r>
      <w:hyperlink r:id="rId52">
        <w:r>
          <w:rPr>
            <w:rStyle w:val="Hyperlink"/>
            <w:rFonts w:ascii="Times New Roman" w:hAnsi="Times New Roman"/>
          </w:rPr>
          <w:t>http://europa.eu/rapid/press-release_IP-14-2002_en.htm</w:t>
        </w:r>
      </w:hyperlink>
      <w:r>
        <w:rPr>
          <w:rFonts w:ascii="Times New Roman" w:hAnsi="Times New Roman"/>
        </w:rPr>
        <w:t xml:space="preserve"> </w:t>
      </w:r>
    </w:p>
  </w:footnote>
  <w:footnote w:id="5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Съобщение на Комисията — </w:t>
      </w:r>
      <w:r>
        <w:rPr>
          <w:rFonts w:ascii="Times New Roman" w:hAnsi="Times New Roman"/>
          <w:i/>
        </w:rPr>
        <w:t>Известие относно споразумения с незначителен ефект, които не ограничават съществено конкуренцията по смисъла на член 101, параграф 1 от Договора за функционирането на Европейския съюз (Известие „de minimis“)</w:t>
      </w:r>
      <w:r>
        <w:rPr>
          <w:rFonts w:ascii="Times New Roman" w:hAnsi="Times New Roman"/>
        </w:rPr>
        <w:t xml:space="preserve">, ОВ C 291, 30.8.2014 г., стр. 1, което може да бъде намерено на адрес: </w:t>
      </w:r>
      <w:hyperlink r:id="rId53" w:history="1">
        <w:r>
          <w:rPr>
            <w:rStyle w:val="Hyperlink"/>
            <w:rFonts w:ascii="Times New Roman" w:hAnsi="Times New Roman"/>
          </w:rPr>
          <w:t>http://eur-lex.europa.eu/legal-content/BG/TXT/HTML/?uri=CELEX:52014XC0830(01)&amp;from=BG</w:t>
        </w:r>
      </w:hyperlink>
      <w:r>
        <w:rPr>
          <w:rFonts w:ascii="Times New Roman" w:hAnsi="Times New Roman"/>
        </w:rPr>
        <w:t xml:space="preserve">. </w:t>
      </w:r>
    </w:p>
  </w:footnote>
  <w:footnote w:id="5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Дело AT.6905 </w:t>
      </w:r>
      <w:r>
        <w:rPr>
          <w:rFonts w:ascii="Times New Roman" w:hAnsi="Times New Roman"/>
          <w:i/>
        </w:rPr>
        <w:t>Ineos/Solvay/JV</w:t>
      </w:r>
      <w:r>
        <w:rPr>
          <w:rFonts w:ascii="Times New Roman" w:hAnsi="Times New Roman"/>
        </w:rPr>
        <w:t>, Решение на Комисията от 8 май 2014</w:t>
      </w:r>
      <w:r>
        <w:rPr>
          <w:rFonts w:ascii="Times New Roman" w:hAnsi="Times New Roman"/>
          <w:lang w:val="en-GB"/>
        </w:rPr>
        <w:t> </w:t>
      </w:r>
      <w:r>
        <w:rPr>
          <w:rFonts w:ascii="Times New Roman" w:hAnsi="Times New Roman"/>
        </w:rPr>
        <w:t xml:space="preserve">г., което може да бъде намерено на адрес: </w:t>
      </w:r>
      <w:hyperlink r:id="rId54" w:history="1">
        <w:r>
          <w:rPr>
            <w:rStyle w:val="Hyperlink"/>
            <w:rFonts w:ascii="Times New Roman" w:hAnsi="Times New Roman"/>
          </w:rPr>
          <w:t>http://ec.europa.eu/competition/elojade/isef/case_details.cfm?proc_code=2_39610</w:t>
        </w:r>
      </w:hyperlink>
      <w:r>
        <w:rPr>
          <w:rFonts w:ascii="Times New Roman" w:hAnsi="Times New Roman"/>
        </w:rPr>
        <w:t xml:space="preserve"> </w:t>
      </w:r>
    </w:p>
  </w:footnote>
  <w:footnote w:id="5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Източник: Евростат.</w:t>
      </w:r>
    </w:p>
  </w:footnote>
  <w:footnote w:id="5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Дело SA. 38373 </w:t>
      </w:r>
      <w:r>
        <w:rPr>
          <w:rFonts w:ascii="Times New Roman" w:hAnsi="Times New Roman"/>
          <w:i/>
        </w:rPr>
        <w:t>Предполагаема помощ за Apple</w:t>
      </w:r>
      <w:r>
        <w:rPr>
          <w:rFonts w:ascii="Times New Roman" w:hAnsi="Times New Roman"/>
        </w:rPr>
        <w:t xml:space="preserve">, Решение на Комисията за откриване на официална процедура по разследване на 11 юни 2014 г., което може да бъде намерено на адрес: </w:t>
      </w:r>
      <w:hyperlink r:id="rId55" w:history="1">
        <w:r>
          <w:rPr>
            <w:rStyle w:val="Hyperlink"/>
            <w:rFonts w:ascii="Times New Roman" w:hAnsi="Times New Roman"/>
          </w:rPr>
          <w:t>http://ec.europa.eu/competition/elojade/isef/case_details.cfm?proc_code=3_SA_38373</w:t>
        </w:r>
      </w:hyperlink>
      <w:r>
        <w:rPr>
          <w:rFonts w:ascii="Times New Roman" w:hAnsi="Times New Roman"/>
        </w:rPr>
        <w:t xml:space="preserve"> </w:t>
      </w:r>
    </w:p>
  </w:footnote>
  <w:footnote w:id="5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Дело SA. 38374 </w:t>
      </w:r>
      <w:r>
        <w:rPr>
          <w:rFonts w:ascii="Times New Roman" w:hAnsi="Times New Roman"/>
          <w:i/>
        </w:rPr>
        <w:t>Предполагаема помощ за Starbucks</w:t>
      </w:r>
      <w:r>
        <w:rPr>
          <w:rFonts w:ascii="Times New Roman" w:hAnsi="Times New Roman"/>
        </w:rPr>
        <w:t xml:space="preserve">, Решение на Комисията за откриване на официална процедура по разследване на 11 юни 2014 г., което може да бъде намерено на адрес: </w:t>
      </w:r>
      <w:hyperlink r:id="rId56">
        <w:r>
          <w:rPr>
            <w:rStyle w:val="Hyperlink"/>
            <w:rFonts w:ascii="Times New Roman" w:hAnsi="Times New Roman"/>
          </w:rPr>
          <w:t>http://ec.europa.eu/competition/elojade/isef/case_details.cfm?proc_code=3_SA_38374</w:t>
        </w:r>
      </w:hyperlink>
      <w:r>
        <w:rPr>
          <w:rFonts w:ascii="Times New Roman" w:hAnsi="Times New Roman"/>
        </w:rPr>
        <w:t xml:space="preserve"> </w:t>
      </w:r>
    </w:p>
  </w:footnote>
  <w:footnote w:id="5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Дело SA. 38375 </w:t>
      </w:r>
      <w:r>
        <w:rPr>
          <w:rFonts w:ascii="Times New Roman" w:hAnsi="Times New Roman"/>
          <w:i/>
        </w:rPr>
        <w:t>Предполагаема помощ за FFT</w:t>
      </w:r>
      <w:r>
        <w:rPr>
          <w:rFonts w:ascii="Times New Roman" w:hAnsi="Times New Roman"/>
        </w:rPr>
        <w:t xml:space="preserve">, Решение на Комисията за откриване на официална процедура по разследване на 11 юни 2014 г., което може да бъде намерено на адрес: </w:t>
      </w:r>
      <w:hyperlink r:id="rId57" w:history="1">
        <w:r>
          <w:rPr>
            <w:rStyle w:val="Hyperlink"/>
            <w:rFonts w:ascii="Times New Roman" w:hAnsi="Times New Roman"/>
          </w:rPr>
          <w:t>http://ec.europa.eu/competition/elojade/isef/case_details.cfm?proc_code=3_SA_38375</w:t>
        </w:r>
      </w:hyperlink>
      <w:r>
        <w:rPr>
          <w:rFonts w:ascii="Times New Roman" w:hAnsi="Times New Roman"/>
        </w:rPr>
        <w:t xml:space="preserve"> </w:t>
      </w:r>
    </w:p>
  </w:footnote>
  <w:footnote w:id="6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Дело SA. 38944 </w:t>
      </w:r>
      <w:r>
        <w:rPr>
          <w:rFonts w:ascii="Times New Roman" w:hAnsi="Times New Roman"/>
          <w:i/>
        </w:rPr>
        <w:t>Предполагаема помощ за Amazon – Люксембург</w:t>
      </w:r>
      <w:r>
        <w:rPr>
          <w:rFonts w:ascii="Times New Roman" w:hAnsi="Times New Roman"/>
        </w:rPr>
        <w:t xml:space="preserve">, Решение на Комисията за откриване на официална процедура по разследване на 7 октомври 2014 г., което може да бъде намерено на адрес: </w:t>
      </w:r>
      <w:hyperlink r:id="rId58" w:history="1">
        <w:r>
          <w:rPr>
            <w:rStyle w:val="Hyperlink"/>
            <w:rFonts w:ascii="Times New Roman" w:hAnsi="Times New Roman"/>
          </w:rPr>
          <w:t>http://ec.europa.eu/competition/elojade/isef/case_details.cfm?proc_code=3_SA_38944</w:t>
        </w:r>
      </w:hyperlink>
      <w:r>
        <w:rPr>
          <w:rFonts w:ascii="Times New Roman" w:hAnsi="Times New Roman"/>
        </w:rPr>
        <w:t xml:space="preserve"> </w:t>
      </w:r>
    </w:p>
  </w:footnote>
  <w:footnote w:id="6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Регламент (ЕО) № 1/2003 на Съвета от 16 декември 2002 г. относно изпълнението на правилата за конкуренция, предвидени в членове 81 и 82 от Договора, ОВ L 1, 4.1.2003 г., стр. 1, който може да бъде намерен на адрес: </w:t>
      </w:r>
      <w:hyperlink r:id="rId59" w:history="1">
        <w:r>
          <w:rPr>
            <w:rStyle w:val="Hyperlink"/>
            <w:rFonts w:ascii="Times New Roman" w:hAnsi="Times New Roman"/>
          </w:rPr>
          <w:t>http://eur-lex.europa.eu/legal-content/BG/TXT/HTML/?uri=CELEX:32003R0001&amp;from=EN</w:t>
        </w:r>
      </w:hyperlink>
      <w:r>
        <w:rPr>
          <w:rFonts w:ascii="Times New Roman" w:hAnsi="Times New Roman"/>
        </w:rPr>
        <w:t xml:space="preserve"> </w:t>
      </w:r>
    </w:p>
  </w:footnote>
  <w:footnote w:id="6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Съобщение на Комисията от 9 юли 2014 г. </w:t>
      </w:r>
      <w:r>
        <w:rPr>
          <w:rFonts w:ascii="Times New Roman" w:hAnsi="Times New Roman"/>
          <w:i/>
        </w:rPr>
        <w:t>Десет години прилагане на антитръстовото законодателство съгласно Регламент № 1/2003: постижения и бъдещи перспективи</w:t>
      </w:r>
      <w:r>
        <w:rPr>
          <w:rFonts w:ascii="Times New Roman" w:hAnsi="Times New Roman"/>
        </w:rPr>
        <w:t xml:space="preserve">, COM/2014/0453, което може да бъде намерено на адрес: </w:t>
      </w:r>
      <w:hyperlink r:id="rId60" w:history="1">
        <w:r>
          <w:rPr>
            <w:rStyle w:val="Hyperlink"/>
            <w:rFonts w:ascii="Times New Roman" w:hAnsi="Times New Roman"/>
          </w:rPr>
          <w:t>http://eur-lex.europa.eu/legal-content/BG/TXT/HTML/?uri=CELEX:52014DC0453&amp;from=EN</w:t>
        </w:r>
      </w:hyperlink>
      <w:r>
        <w:rPr>
          <w:rFonts w:ascii="Times New Roman" w:hAnsi="Times New Roman"/>
        </w:rPr>
        <w:t xml:space="preserve">. </w:t>
      </w:r>
    </w:p>
  </w:footnote>
  <w:footnote w:id="6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Регламент (EO) № 139/2004 на Съвета от 20 януари 2004 г. относно контрола върху концентрациите между предприятия (Регламент за сливанията на ЕО) , ОВ L 24, 29.1.2004 г., стр. 1, който може да бъде намерен на адрес: </w:t>
      </w:r>
      <w:hyperlink r:id="rId61">
        <w:r>
          <w:rPr>
            <w:rStyle w:val="Hyperlink"/>
            <w:rFonts w:ascii="Times New Roman" w:hAnsi="Times New Roman"/>
          </w:rPr>
          <w:t>http://eur-lex.europa.eu/legal-content/BG/TXT/HTML/?uri=CELEX:32004R0139&amp;from=en</w:t>
        </w:r>
      </w:hyperlink>
      <w:r>
        <w:rPr>
          <w:rFonts w:ascii="Times New Roman" w:hAnsi="Times New Roman"/>
        </w:rPr>
        <w:t xml:space="preserve"> </w:t>
      </w:r>
    </w:p>
  </w:footnote>
  <w:footnote w:id="6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Бяла книга — </w:t>
      </w:r>
      <w:r>
        <w:rPr>
          <w:rFonts w:ascii="Times New Roman" w:hAnsi="Times New Roman"/>
          <w:i/>
        </w:rPr>
        <w:t>Към по-ефективен контрол на ЕС върху сливанията</w:t>
      </w:r>
      <w:r>
        <w:rPr>
          <w:rFonts w:ascii="Times New Roman" w:hAnsi="Times New Roman"/>
        </w:rPr>
        <w:t xml:space="preserve">, COM(2014) 449 final, която може да бъде намерена на адрес: </w:t>
      </w:r>
      <w:hyperlink r:id="rId62" w:history="1">
        <w:r>
          <w:rPr>
            <w:rStyle w:val="Hyperlink"/>
            <w:rFonts w:ascii="Times New Roman" w:hAnsi="Times New Roman"/>
          </w:rPr>
          <w:t>http://eur-lex.europa.eu/legal-content/BG/TXT/HTML/?uri=CELEX:52014DC0449&amp;from=EN</w:t>
        </w:r>
      </w:hyperlink>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6E7"/>
    <w:multiLevelType w:val="multilevel"/>
    <w:tmpl w:val="9840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B57D63"/>
    <w:multiLevelType w:val="hybridMultilevel"/>
    <w:tmpl w:val="63B449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revisionView w:markup="0"/>
  <w:defaultTabStop w:val="720"/>
  <w:hyphenationZone w:val="425"/>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D6F18417E79476F8FF8E954FE6F235A"/>
    <w:docVar w:name="LW_CROSSREFERENCE" w:val="{SWD(2015) 113 final}"/>
    <w:docVar w:name="LW_DocType" w:val="NORMAL"/>
    <w:docVar w:name="LW_EMISSION" w:val="4.6.2015"/>
    <w:docVar w:name="LW_EMISSION_ISODATE" w:val="2015-06-04"/>
    <w:docVar w:name="LW_EMISSION_LOCATION" w:val="BRX"/>
    <w:docVar w:name="LW_EMISSION_PREFIX" w:val="Брюксел, "/>
    <w:docVar w:name="LW_EMISSION_SUFFIX" w:val=" \u1075?."/>
    <w:docVar w:name="LW_ID_DOCTYPE_NONLW" w:val="CP-008"/>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247"/>
    <w:docVar w:name="LW_REF.INTERNE" w:val="&lt;UNUSED&gt;"/>
    <w:docVar w:name="LW_SOUS.TITRE.OBJ.CP" w:val="&lt;UNUSED&gt;"/>
    <w:docVar w:name="LW_SUPERTITRE" w:val="&lt;UNUSED&gt;"/>
    <w:docVar w:name="LW_TITRE.OBJ.CP" w:val="\u1044?\u1086?\u1082?\u1083?\u1072?\u1076? \u1086?\u1090?\u1085?\u1086?\u1089?\u1085?\u1086? \u1087?\u1086?\u1083?\u1080?\u1090?\u1080?\u1082?\u1072?\u1090?\u1072? \u1074? \u1086?\u1073?\u1083?\u1072?\u1089?\u1090?\u1090?\u1072? \u1085?\u1072? \u1082?\u1086?\u1085?\u1082?\u1091?\u1088?\u1077?\u1085?\u1094?\u1080?\u1103?\u1090?\u1072? \u1079?\u1072? 2014 \u1075?\u1086?\u1076?\u1080?\u1085?\u1072?"/>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ußnot,fn,f,C,Voetnootteks"/>
    <w:basedOn w:val="Normal"/>
    <w:link w:val="FootnoteTextChar"/>
    <w:uiPriority w:val="99"/>
    <w:unhideWhenUsed/>
    <w:qFormat/>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1 Char Char Char Char Char Char1,Fußnot Char,fn Char,f Char"/>
    <w:link w:val="FootnoteText"/>
    <w:uiPriority w:val="99"/>
    <w:rPr>
      <w:lang w:eastAsia="bg-BG"/>
    </w:rPr>
  </w:style>
  <w:style w:type="character" w:styleId="FootnoteReference">
    <w:name w:val="footnote reference"/>
    <w:aliases w:val="EN Footnote Reference,-E Fußnotenzeichen, BVI fnr,Footnote,Footnote symbol,Footnote number,Footnote Reference Number,Footnote reference number,Times 10 Point,Exposant 3 Point,Footnote Reference Superscript, Exposant 3 Point,BVI fnr,Re"/>
    <w:link w:val="SUPERS"/>
    <w:unhideWhenUsed/>
    <w:rPr>
      <w:vertAlign w:val="superscript"/>
    </w:rPr>
  </w:style>
  <w:style w:type="character" w:styleId="Hyperlink">
    <w:name w:val="Hyperlink"/>
    <w:unhideWhenUsed/>
    <w:rPr>
      <w:color w:val="0000FF"/>
      <w:u w:val="single"/>
    </w:rPr>
  </w:style>
  <w:style w:type="character" w:customStyle="1" w:styleId="outputecliaff">
    <w:name w:val="outputecliaff"/>
  </w:style>
  <w:style w:type="character" w:customStyle="1" w:styleId="affairetitle">
    <w:name w:val="affaire_title"/>
  </w:style>
  <w:style w:type="paragraph" w:customStyle="1" w:styleId="astandardp5">
    <w:name w:val="a_standard_p5"/>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astandardp4">
    <w:name w:val="a_standard_p4"/>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at1">
    <w:name w:val="a__t1"/>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 Char Char Char Char Char,Footnote Text Char1 Char1 Char Char"/>
    <w:uiPriority w:val="99"/>
    <w:locked/>
    <w:rPr>
      <w:lang w:eastAsia="bg-BG"/>
    </w:rPr>
  </w:style>
  <w:style w:type="paragraph" w:customStyle="1" w:styleId="SUPERS">
    <w:name w:val="SUPERS"/>
    <w:aliases w:val="Nota, Char1,Char1,Ref,de nota al pie,(NECG) Footnote Reference,fr,Appel note de bas de p,o,Style 6,Signature Ch,note TESI,Fußnotenzeichen3,Footnote Reference_LVL6,Footnote Reference_LVL61,Footnote Reference_LVL62,Ch"/>
    <w:basedOn w:val="Normal"/>
    <w:link w:val="FootnoteReference"/>
    <w:pPr>
      <w:spacing w:after="160" w:line="240" w:lineRule="exact"/>
    </w:pPr>
    <w:rPr>
      <w:sz w:val="20"/>
      <w:szCs w:val="20"/>
      <w:vertAlign w:val="superscript"/>
    </w:rPr>
  </w:style>
  <w:style w:type="paragraph" w:customStyle="1" w:styleId="a3520normalp6">
    <w:name w:val="a__35__20_normal_p6"/>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astandard3520normal">
    <w:name w:val="a_standard__35__20_normal"/>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at3">
    <w:name w:val="a__t3"/>
  </w:style>
  <w:style w:type="character" w:customStyle="1" w:styleId="Caratteredellanota">
    <w:name w:val="Carattere della nota"/>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character" w:styleId="FollowedHyperlink">
    <w:name w:val="FollowedHyperlink"/>
    <w:uiPriority w:val="99"/>
    <w:semiHidden/>
    <w:unhideWhenUsed/>
    <w:rPr>
      <w:color w:val="800080"/>
      <w:u w:val="single"/>
    </w:rPr>
  </w:style>
  <w:style w:type="paragraph" w:customStyle="1" w:styleId="a3520normalp5">
    <w:name w:val="a__35__20_normal_p5"/>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at4">
    <w:name w:val="a__t4"/>
  </w:style>
  <w:style w:type="character" w:customStyle="1" w:styleId="at5">
    <w:name w:val="a__t5"/>
  </w:style>
  <w:style w:type="character" w:customStyle="1" w:styleId="at6">
    <w:name w:val="a__t6"/>
  </w:style>
  <w:style w:type="character" w:customStyle="1" w:styleId="at2">
    <w:name w:val="a__t2"/>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bg-BG" w:eastAsia="bg-BG"/>
    </w:rPr>
  </w:style>
  <w:style w:type="paragraph" w:customStyle="1" w:styleId="a3520normalp3">
    <w:name w:val="a__35__20_normal_p3"/>
    <w:basedOn w:val="Normal"/>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Pr>
      <w:sz w:val="22"/>
      <w:szCs w:val="22"/>
    </w:rPr>
  </w:style>
  <w:style w:type="character" w:customStyle="1" w:styleId="at7">
    <w:name w:val="a__t7"/>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aps/>
      <w:sz w:val="24"/>
    </w:rPr>
  </w:style>
  <w:style w:type="character" w:customStyle="1" w:styleId="FooterCoverPageChar">
    <w:name w:val="Footer Cover Page Char"/>
    <w:link w:val="FooterCoverPage"/>
    <w:rPr>
      <w:rFonts w:ascii="Times New Roman" w:hAnsi="Times New Roman"/>
      <w:caps/>
      <w:sz w:val="24"/>
      <w:szCs w:val="22"/>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aps/>
      <w:sz w:val="24"/>
    </w:rPr>
  </w:style>
  <w:style w:type="character" w:customStyle="1" w:styleId="HeaderCoverPageChar">
    <w:name w:val="Header Cover Page Char"/>
    <w:link w:val="HeaderCoverPage"/>
    <w:rPr>
      <w:rFonts w:ascii="Times New Roman" w:hAnsi="Times New Roman"/>
      <w:caps/>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ußnot,fn,f,C,Voetnootteks"/>
    <w:basedOn w:val="Normal"/>
    <w:link w:val="FootnoteTextChar"/>
    <w:uiPriority w:val="99"/>
    <w:unhideWhenUsed/>
    <w:qFormat/>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1 Char Char Char Char Char Char1,Fußnot Char,fn Char,f Char"/>
    <w:link w:val="FootnoteText"/>
    <w:uiPriority w:val="99"/>
    <w:rPr>
      <w:lang w:eastAsia="bg-BG"/>
    </w:rPr>
  </w:style>
  <w:style w:type="character" w:styleId="FootnoteReference">
    <w:name w:val="footnote reference"/>
    <w:aliases w:val="EN Footnote Reference,-E Fußnotenzeichen, BVI fnr,Footnote,Footnote symbol,Footnote number,Footnote Reference Number,Footnote reference number,Times 10 Point,Exposant 3 Point,Footnote Reference Superscript, Exposant 3 Point,BVI fnr,Re"/>
    <w:link w:val="SUPERS"/>
    <w:unhideWhenUsed/>
    <w:rPr>
      <w:vertAlign w:val="superscript"/>
    </w:rPr>
  </w:style>
  <w:style w:type="character" w:styleId="Hyperlink">
    <w:name w:val="Hyperlink"/>
    <w:unhideWhenUsed/>
    <w:rPr>
      <w:color w:val="0000FF"/>
      <w:u w:val="single"/>
    </w:rPr>
  </w:style>
  <w:style w:type="character" w:customStyle="1" w:styleId="outputecliaff">
    <w:name w:val="outputecliaff"/>
  </w:style>
  <w:style w:type="character" w:customStyle="1" w:styleId="affairetitle">
    <w:name w:val="affaire_title"/>
  </w:style>
  <w:style w:type="paragraph" w:customStyle="1" w:styleId="astandardp5">
    <w:name w:val="a_standard_p5"/>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astandardp4">
    <w:name w:val="a_standard_p4"/>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at1">
    <w:name w:val="a__t1"/>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 Char Char Char Char Char,Footnote Text Char1 Char1 Char Char"/>
    <w:uiPriority w:val="99"/>
    <w:locked/>
    <w:rPr>
      <w:lang w:eastAsia="bg-BG"/>
    </w:rPr>
  </w:style>
  <w:style w:type="paragraph" w:customStyle="1" w:styleId="SUPERS">
    <w:name w:val="SUPERS"/>
    <w:aliases w:val="Nota, Char1,Char1,Ref,de nota al pie,(NECG) Footnote Reference,fr,Appel note de bas de p,o,Style 6,Signature Ch,note TESI,Fußnotenzeichen3,Footnote Reference_LVL6,Footnote Reference_LVL61,Footnote Reference_LVL62,Ch"/>
    <w:basedOn w:val="Normal"/>
    <w:link w:val="FootnoteReference"/>
    <w:pPr>
      <w:spacing w:after="160" w:line="240" w:lineRule="exact"/>
    </w:pPr>
    <w:rPr>
      <w:sz w:val="20"/>
      <w:szCs w:val="20"/>
      <w:vertAlign w:val="superscript"/>
    </w:rPr>
  </w:style>
  <w:style w:type="paragraph" w:customStyle="1" w:styleId="a3520normalp6">
    <w:name w:val="a__35__20_normal_p6"/>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astandard3520normal">
    <w:name w:val="a_standard__35__20_normal"/>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at3">
    <w:name w:val="a__t3"/>
  </w:style>
  <w:style w:type="character" w:customStyle="1" w:styleId="Caratteredellanota">
    <w:name w:val="Carattere della nota"/>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character" w:styleId="FollowedHyperlink">
    <w:name w:val="FollowedHyperlink"/>
    <w:uiPriority w:val="99"/>
    <w:semiHidden/>
    <w:unhideWhenUsed/>
    <w:rPr>
      <w:color w:val="800080"/>
      <w:u w:val="single"/>
    </w:rPr>
  </w:style>
  <w:style w:type="paragraph" w:customStyle="1" w:styleId="a3520normalp5">
    <w:name w:val="a__35__20_normal_p5"/>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at4">
    <w:name w:val="a__t4"/>
  </w:style>
  <w:style w:type="character" w:customStyle="1" w:styleId="at5">
    <w:name w:val="a__t5"/>
  </w:style>
  <w:style w:type="character" w:customStyle="1" w:styleId="at6">
    <w:name w:val="a__t6"/>
  </w:style>
  <w:style w:type="character" w:customStyle="1" w:styleId="at2">
    <w:name w:val="a__t2"/>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bg-BG" w:eastAsia="bg-BG"/>
    </w:rPr>
  </w:style>
  <w:style w:type="paragraph" w:customStyle="1" w:styleId="a3520normalp3">
    <w:name w:val="a__35__20_normal_p3"/>
    <w:basedOn w:val="Normal"/>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Pr>
      <w:sz w:val="22"/>
      <w:szCs w:val="22"/>
    </w:rPr>
  </w:style>
  <w:style w:type="character" w:customStyle="1" w:styleId="at7">
    <w:name w:val="a__t7"/>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aps/>
      <w:sz w:val="24"/>
    </w:rPr>
  </w:style>
  <w:style w:type="character" w:customStyle="1" w:styleId="FooterCoverPageChar">
    <w:name w:val="Footer Cover Page Char"/>
    <w:link w:val="FooterCoverPage"/>
    <w:rPr>
      <w:rFonts w:ascii="Times New Roman" w:hAnsi="Times New Roman"/>
      <w:caps/>
      <w:sz w:val="24"/>
      <w:szCs w:val="22"/>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aps/>
      <w:sz w:val="24"/>
    </w:rPr>
  </w:style>
  <w:style w:type="character" w:customStyle="1" w:styleId="HeaderCoverPageChar">
    <w:name w:val="Header Cover Page Char"/>
    <w:link w:val="HeaderCoverPage"/>
    <w:rPr>
      <w:rFonts w:ascii="Times New Roman" w:hAnsi="Times New Roman"/>
      <w:cap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5479">
      <w:bodyDiv w:val="1"/>
      <w:marLeft w:val="0"/>
      <w:marRight w:val="0"/>
      <w:marTop w:val="0"/>
      <w:marBottom w:val="0"/>
      <w:divBdr>
        <w:top w:val="none" w:sz="0" w:space="0" w:color="auto"/>
        <w:left w:val="none" w:sz="0" w:space="0" w:color="auto"/>
        <w:bottom w:val="none" w:sz="0" w:space="0" w:color="auto"/>
        <w:right w:val="none" w:sz="0" w:space="0" w:color="auto"/>
      </w:divBdr>
    </w:div>
    <w:div w:id="50083466">
      <w:bodyDiv w:val="1"/>
      <w:marLeft w:val="0"/>
      <w:marRight w:val="0"/>
      <w:marTop w:val="0"/>
      <w:marBottom w:val="0"/>
      <w:divBdr>
        <w:top w:val="none" w:sz="0" w:space="0" w:color="auto"/>
        <w:left w:val="none" w:sz="0" w:space="0" w:color="auto"/>
        <w:bottom w:val="none" w:sz="0" w:space="0" w:color="auto"/>
        <w:right w:val="none" w:sz="0" w:space="0" w:color="auto"/>
      </w:divBdr>
    </w:div>
    <w:div w:id="166332418">
      <w:bodyDiv w:val="1"/>
      <w:marLeft w:val="0"/>
      <w:marRight w:val="0"/>
      <w:marTop w:val="0"/>
      <w:marBottom w:val="0"/>
      <w:divBdr>
        <w:top w:val="none" w:sz="0" w:space="0" w:color="auto"/>
        <w:left w:val="none" w:sz="0" w:space="0" w:color="auto"/>
        <w:bottom w:val="none" w:sz="0" w:space="0" w:color="auto"/>
        <w:right w:val="none" w:sz="0" w:space="0" w:color="auto"/>
      </w:divBdr>
    </w:div>
    <w:div w:id="884216324">
      <w:bodyDiv w:val="1"/>
      <w:marLeft w:val="0"/>
      <w:marRight w:val="0"/>
      <w:marTop w:val="0"/>
      <w:marBottom w:val="0"/>
      <w:divBdr>
        <w:top w:val="none" w:sz="0" w:space="0" w:color="auto"/>
        <w:left w:val="none" w:sz="0" w:space="0" w:color="auto"/>
        <w:bottom w:val="none" w:sz="0" w:space="0" w:color="auto"/>
        <w:right w:val="none" w:sz="0" w:space="0" w:color="auto"/>
      </w:divBdr>
    </w:div>
    <w:div w:id="898203346">
      <w:bodyDiv w:val="1"/>
      <w:marLeft w:val="0"/>
      <w:marRight w:val="0"/>
      <w:marTop w:val="0"/>
      <w:marBottom w:val="0"/>
      <w:divBdr>
        <w:top w:val="none" w:sz="0" w:space="0" w:color="auto"/>
        <w:left w:val="none" w:sz="0" w:space="0" w:color="auto"/>
        <w:bottom w:val="none" w:sz="0" w:space="0" w:color="auto"/>
        <w:right w:val="none" w:sz="0" w:space="0" w:color="auto"/>
      </w:divBdr>
    </w:div>
    <w:div w:id="946542020">
      <w:bodyDiv w:val="1"/>
      <w:marLeft w:val="0"/>
      <w:marRight w:val="0"/>
      <w:marTop w:val="0"/>
      <w:marBottom w:val="0"/>
      <w:divBdr>
        <w:top w:val="none" w:sz="0" w:space="0" w:color="auto"/>
        <w:left w:val="none" w:sz="0" w:space="0" w:color="auto"/>
        <w:bottom w:val="none" w:sz="0" w:space="0" w:color="auto"/>
        <w:right w:val="none" w:sz="0" w:space="0" w:color="auto"/>
      </w:divBdr>
    </w:div>
    <w:div w:id="1074351482">
      <w:bodyDiv w:val="1"/>
      <w:marLeft w:val="0"/>
      <w:marRight w:val="0"/>
      <w:marTop w:val="0"/>
      <w:marBottom w:val="0"/>
      <w:divBdr>
        <w:top w:val="none" w:sz="0" w:space="0" w:color="auto"/>
        <w:left w:val="none" w:sz="0" w:space="0" w:color="auto"/>
        <w:bottom w:val="none" w:sz="0" w:space="0" w:color="auto"/>
        <w:right w:val="none" w:sz="0" w:space="0" w:color="auto"/>
      </w:divBdr>
    </w:div>
    <w:div w:id="1347363183">
      <w:bodyDiv w:val="1"/>
      <w:marLeft w:val="0"/>
      <w:marRight w:val="0"/>
      <w:marTop w:val="0"/>
      <w:marBottom w:val="0"/>
      <w:divBdr>
        <w:top w:val="none" w:sz="0" w:space="0" w:color="auto"/>
        <w:left w:val="none" w:sz="0" w:space="0" w:color="auto"/>
        <w:bottom w:val="none" w:sz="0" w:space="0" w:color="auto"/>
        <w:right w:val="none" w:sz="0" w:space="0" w:color="auto"/>
      </w:divBdr>
    </w:div>
    <w:div w:id="1350524505">
      <w:bodyDiv w:val="1"/>
      <w:marLeft w:val="0"/>
      <w:marRight w:val="0"/>
      <w:marTop w:val="0"/>
      <w:marBottom w:val="0"/>
      <w:divBdr>
        <w:top w:val="none" w:sz="0" w:space="0" w:color="auto"/>
        <w:left w:val="none" w:sz="0" w:space="0" w:color="auto"/>
        <w:bottom w:val="none" w:sz="0" w:space="0" w:color="auto"/>
        <w:right w:val="none" w:sz="0" w:space="0" w:color="auto"/>
      </w:divBdr>
    </w:div>
    <w:div w:id="1847212157">
      <w:bodyDiv w:val="1"/>
      <w:marLeft w:val="0"/>
      <w:marRight w:val="0"/>
      <w:marTop w:val="0"/>
      <w:marBottom w:val="0"/>
      <w:divBdr>
        <w:top w:val="none" w:sz="0" w:space="0" w:color="auto"/>
        <w:left w:val="none" w:sz="0" w:space="0" w:color="auto"/>
        <w:bottom w:val="none" w:sz="0" w:space="0" w:color="auto"/>
        <w:right w:val="none" w:sz="0" w:space="0" w:color="auto"/>
      </w:divBdr>
    </w:div>
    <w:div w:id="1877816184">
      <w:bodyDiv w:val="1"/>
      <w:marLeft w:val="0"/>
      <w:marRight w:val="0"/>
      <w:marTop w:val="0"/>
      <w:marBottom w:val="0"/>
      <w:divBdr>
        <w:top w:val="none" w:sz="0" w:space="0" w:color="auto"/>
        <w:left w:val="none" w:sz="0" w:space="0" w:color="auto"/>
        <w:bottom w:val="none" w:sz="0" w:space="0" w:color="auto"/>
        <w:right w:val="none" w:sz="0" w:space="0" w:color="auto"/>
      </w:divBdr>
    </w:div>
    <w:div w:id="1933010032">
      <w:bodyDiv w:val="1"/>
      <w:marLeft w:val="0"/>
      <w:marRight w:val="0"/>
      <w:marTop w:val="0"/>
      <w:marBottom w:val="0"/>
      <w:divBdr>
        <w:top w:val="none" w:sz="0" w:space="0" w:color="auto"/>
        <w:left w:val="none" w:sz="0" w:space="0" w:color="auto"/>
        <w:bottom w:val="none" w:sz="0" w:space="0" w:color="auto"/>
        <w:right w:val="none" w:sz="0" w:space="0" w:color="auto"/>
      </w:divBdr>
    </w:div>
    <w:div w:id="2083747304">
      <w:bodyDiv w:val="1"/>
      <w:marLeft w:val="0"/>
      <w:marRight w:val="0"/>
      <w:marTop w:val="0"/>
      <w:marBottom w:val="0"/>
      <w:divBdr>
        <w:top w:val="none" w:sz="0" w:space="0" w:color="auto"/>
        <w:left w:val="none" w:sz="0" w:space="0" w:color="auto"/>
        <w:bottom w:val="none" w:sz="0" w:space="0" w:color="auto"/>
        <w:right w:val="none" w:sz="0" w:space="0" w:color="auto"/>
      </w:divBdr>
    </w:div>
    <w:div w:id="208452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ec.europa.eu/competition/elojade/isef/case_details.cfm?proc_code=1_39939" TargetMode="External"/><Relationship Id="rId18" Type="http://schemas.openxmlformats.org/officeDocument/2006/relationships/hyperlink" Target="http://eur-lex.europa.eu/legal-content/BG/TXT/HTML/?uri=CELEX:52014XC0628(01)&amp;from=EN" TargetMode="External"/><Relationship Id="rId26" Type="http://schemas.openxmlformats.org/officeDocument/2006/relationships/hyperlink" Target="http://europa.eu/rapid/press-release_MEMO-13-435_en.htm" TargetMode="External"/><Relationship Id="rId39" Type="http://schemas.openxmlformats.org/officeDocument/2006/relationships/hyperlink" Target="http://eur-lex.europa.eu/legal-content/BG/TXT/HTML/?uri=CELEX:52014XC0122(04)&amp;from=EN" TargetMode="External"/><Relationship Id="rId21" Type="http://schemas.openxmlformats.org/officeDocument/2006/relationships/hyperlink" Target="http://ec.europa.eu/competition/elojade/isef/case_details.cfm?proc_code=1_39952." TargetMode="External"/><Relationship Id="rId34" Type="http://schemas.openxmlformats.org/officeDocument/2006/relationships/hyperlink" Target="http://eur-lex.europa.eu/legal-content/BG/TXT/HTML/?uri=CELEX:32014L0065&amp;from=EN" TargetMode="External"/><Relationship Id="rId42" Type="http://schemas.openxmlformats.org/officeDocument/2006/relationships/hyperlink" Target="http://eur-lex.europa.eu/legal-content/BG/TXT/HTML/?uri=CELEX:52014XC0620(01)&amp;from=EN" TargetMode="External"/><Relationship Id="rId47" Type="http://schemas.openxmlformats.org/officeDocument/2006/relationships/hyperlink" Target="http://ec.europa.eu/competition/elojade/isef/case_details.cfm?proc_code=1_39801" TargetMode="External"/><Relationship Id="rId50" Type="http://schemas.openxmlformats.org/officeDocument/2006/relationships/hyperlink" Target="http://ec.europa.eu/competition/elojade/isef/case_details.cfm?proc_code=1_39610" TargetMode="External"/><Relationship Id="rId55" Type="http://schemas.openxmlformats.org/officeDocument/2006/relationships/hyperlink" Target="http://ec.europa.eu/competition/elojade/isef/case_details.cfm?proc_code=3_SA_38373" TargetMode="External"/><Relationship Id="rId7" Type="http://schemas.openxmlformats.org/officeDocument/2006/relationships/hyperlink" Target="http://ec.europa.eu/competition/elojade/isef/case_details.cfm?proc_code=1_39523" TargetMode="External"/><Relationship Id="rId2" Type="http://schemas.openxmlformats.org/officeDocument/2006/relationships/hyperlink" Target="http://ec.europa.eu/commission/sites/cwt/files/commissioner_mission_letters/vestager_en.pdf" TargetMode="External"/><Relationship Id="rId16" Type="http://schemas.openxmlformats.org/officeDocument/2006/relationships/hyperlink" Target="http://eur-lex.europa.eu/legal-content/BG/TXT/HTML/?uri=CELEX:32014R0316&amp;from=EN" TargetMode="External"/><Relationship Id="rId20" Type="http://schemas.openxmlformats.org/officeDocument/2006/relationships/hyperlink" Target="http://europa.eu/rapid/press-release_IP-14-1093_en.htm" TargetMode="External"/><Relationship Id="rId29" Type="http://schemas.openxmlformats.org/officeDocument/2006/relationships/hyperlink" Target="http://europa.eu/rapid/press-release_IP-14-865_en.htm" TargetMode="External"/><Relationship Id="rId41" Type="http://schemas.openxmlformats.org/officeDocument/2006/relationships/hyperlink" Target="http://eur-lex.europa.eu/legal-content/BG/TXT/HTML/?uri=CELEX:52014XC0627(01)&amp;from=EN." TargetMode="External"/><Relationship Id="rId54" Type="http://schemas.openxmlformats.org/officeDocument/2006/relationships/hyperlink" Target="http://ec.europa.eu/competition/elojade/isef/case_details.cfm?proc_code=2_39610" TargetMode="External"/><Relationship Id="rId62" Type="http://schemas.openxmlformats.org/officeDocument/2006/relationships/hyperlink" Target="http://eur-lex.europa.eu/legal-content/BG/TXT/HTML/?uri=CELEX:52014DC0449&amp;from=EN" TargetMode="External"/><Relationship Id="rId1" Type="http://schemas.openxmlformats.org/officeDocument/2006/relationships/hyperlink" Target="http://ec.europa.eu/priorities/docs/pg_bg.pdf" TargetMode="External"/><Relationship Id="rId6" Type="http://schemas.openxmlformats.org/officeDocument/2006/relationships/hyperlink" Target="http://eur-lex.europa.eu/legal-content/BG/TXT/HTML/?uri=CELEX:32014R0651&amp;from=EN" TargetMode="External"/><Relationship Id="rId11" Type="http://schemas.openxmlformats.org/officeDocument/2006/relationships/hyperlink" Target="http://ec.europa.eu/competition/elojade/isef/case_details.cfm?proc_code=2_M_7217" TargetMode="External"/><Relationship Id="rId24" Type="http://schemas.openxmlformats.org/officeDocument/2006/relationships/hyperlink" Target="http://europa.eu/rapid/press-release_IP-13-656_en.htm" TargetMode="External"/><Relationship Id="rId32" Type="http://schemas.openxmlformats.org/officeDocument/2006/relationships/hyperlink" Target="http://europa.eu/rapid/press-release_IP-14-1189_en.htm" TargetMode="External"/><Relationship Id="rId37" Type="http://schemas.openxmlformats.org/officeDocument/2006/relationships/hyperlink" Target="http://eur-lex.europa.eu/LexUriServ/LexUriServ.do?uri=COM:2013:0550:FIN:bg:HTML" TargetMode="External"/><Relationship Id="rId40" Type="http://schemas.openxmlformats.org/officeDocument/2006/relationships/hyperlink" Target="http://ec.europa.eu/competition/state_aid/modernisation/index_en.html" TargetMode="External"/><Relationship Id="rId45" Type="http://schemas.openxmlformats.org/officeDocument/2006/relationships/hyperlink" Target="http://eur-lex.europa.eu/legal-content/EN/TXT/?uri=uriserv:OJ.C_.2014.249.01.0001.01.ENG" TargetMode="External"/><Relationship Id="rId53" Type="http://schemas.openxmlformats.org/officeDocument/2006/relationships/hyperlink" Target="http://eur-lex.europa.eu/legal-content/BG/TXT/HTML/?uri=CELEX:52014XC0830(01)&amp;from=BG" TargetMode="External"/><Relationship Id="rId58" Type="http://schemas.openxmlformats.org/officeDocument/2006/relationships/hyperlink" Target="http://ec.europa.eu/competition/elojade/isef/case_details.cfm?proc_code=3_SA_38944" TargetMode="External"/><Relationship Id="rId5" Type="http://schemas.openxmlformats.org/officeDocument/2006/relationships/hyperlink" Target="http://eur-lex.europa.eu/LexUriServ/LexUriServ.do?uri=OJ:C:2013:025:0001:0026:bg:PDF" TargetMode="External"/><Relationship Id="rId15" Type="http://schemas.openxmlformats.org/officeDocument/2006/relationships/hyperlink" Target="http://europa.eu/rapid/press-release_IP-14-15_en.htm" TargetMode="External"/><Relationship Id="rId23" Type="http://schemas.openxmlformats.org/officeDocument/2006/relationships/hyperlink" Target="http://europa.eu/rapid/press-release_IP-14-922_en.htm" TargetMode="External"/><Relationship Id="rId28" Type="http://schemas.openxmlformats.org/officeDocument/2006/relationships/hyperlink" Target="http://ec.europa.eu/competition/elojade/isef/case_details.cfm?proc_code=2_M_7137" TargetMode="External"/><Relationship Id="rId36" Type="http://schemas.openxmlformats.org/officeDocument/2006/relationships/hyperlink" Target="http://ec.europa.eu/competition/antitrust/cases/dec_docs/39398/39398_9728_3.pdf" TargetMode="External"/><Relationship Id="rId49" Type="http://schemas.openxmlformats.org/officeDocument/2006/relationships/hyperlink" Target="http://ec.europa.eu/competition/elojade/isef/case_details.cfm?proc_code=1_39792" TargetMode="External"/><Relationship Id="rId57" Type="http://schemas.openxmlformats.org/officeDocument/2006/relationships/hyperlink" Target="http://ec.europa.eu/competition/elojade/isef/case_details.cfm?proc_code=3_SA_38375" TargetMode="External"/><Relationship Id="rId61" Type="http://schemas.openxmlformats.org/officeDocument/2006/relationships/hyperlink" Target="http://eur-lex.europa.eu/legal-content/en/TXT/?uri=CELEX:32004R0139" TargetMode="External"/><Relationship Id="rId10" Type="http://schemas.openxmlformats.org/officeDocument/2006/relationships/hyperlink" Target="http://ec.europa.eu/competition/elojade/isef/case_details.cfm?proc_code=2_M_7018" TargetMode="External"/><Relationship Id="rId19" Type="http://schemas.openxmlformats.org/officeDocument/2006/relationships/hyperlink" Target="http://eur-lex.europa.eu/legal-content/BG/TXT/HTML/?uri=CELEX:32014R0651&amp;from=EN" TargetMode="External"/><Relationship Id="rId31" Type="http://schemas.openxmlformats.org/officeDocument/2006/relationships/hyperlink" Target="http://ec.europa.eu/competition/elojade/isef/case_details.cfm?proc_code=3_SA_37824" TargetMode="External"/><Relationship Id="rId44" Type="http://schemas.openxmlformats.org/officeDocument/2006/relationships/hyperlink" Target="http://eur-lex.europa.eu/legal-content/EN/TXT/?qid=1427812320943&amp;uri=CELEX:52015PC0010" TargetMode="External"/><Relationship Id="rId52" Type="http://schemas.openxmlformats.org/officeDocument/2006/relationships/hyperlink" Target="http://europa.eu/rapid/press-release_IP-14-2002_en.htm" TargetMode="External"/><Relationship Id="rId60" Type="http://schemas.openxmlformats.org/officeDocument/2006/relationships/hyperlink" Target="http://eur-lex.europa.eu/legal-content/BG/TXT/HTML/?uri=CELEX:52014DC0453&amp;from=EN" TargetMode="External"/><Relationship Id="rId4" Type="http://schemas.openxmlformats.org/officeDocument/2006/relationships/hyperlink" Target="http://ec.europa.eu/digital-agenda/en/news/new-study-unlocking-ict-growth-potential-europe-enabling-people-and-businesses" TargetMode="External"/><Relationship Id="rId9" Type="http://schemas.openxmlformats.org/officeDocument/2006/relationships/hyperlink" Target="http://ec.europa.eu/competition/elojade/isef/case_details.cfm?proc_code=2_M_6992" TargetMode="External"/><Relationship Id="rId14" Type="http://schemas.openxmlformats.org/officeDocument/2006/relationships/hyperlink" Target="http://ec.europa.eu/competition/elojade/isef/case_details.cfm?proc_code=1_39740" TargetMode="External"/><Relationship Id="rId22" Type="http://schemas.openxmlformats.org/officeDocument/2006/relationships/hyperlink" Target="http://ec.europa.eu/competition/elojade/isef/case_details.cfm?proc_code=1_39984" TargetMode="External"/><Relationship Id="rId27" Type="http://schemas.openxmlformats.org/officeDocument/2006/relationships/hyperlink" Target="http://europa.eu/rapid/press-release_MEMO-14-581_en.htm" TargetMode="External"/><Relationship Id="rId30" Type="http://schemas.openxmlformats.org/officeDocument/2006/relationships/hyperlink" Target="http://ec.europa.eu/competition/elojade/isef/case_details.cfm?proc_code=3_SA_36061" TargetMode="External"/><Relationship Id="rId35" Type="http://schemas.openxmlformats.org/officeDocument/2006/relationships/hyperlink" Target="http://eur-lex.europa.eu/legal-content/BG/TXT/HTML/?uri=CELEX:32014R0600&amp;from=EN" TargetMode="External"/><Relationship Id="rId43" Type="http://schemas.openxmlformats.org/officeDocument/2006/relationships/hyperlink" Target="http://eur-lex.europa.eu/legal-content/EN/TXT/?qid=1427812242523&amp;uri=CELEX:52014DC0903" TargetMode="External"/><Relationship Id="rId48" Type="http://schemas.openxmlformats.org/officeDocument/2006/relationships/hyperlink" Target="http://ec.europa.eu/competition/elojade/isef/case_details.cfm?proc_code=1_39922" TargetMode="External"/><Relationship Id="rId56" Type="http://schemas.openxmlformats.org/officeDocument/2006/relationships/hyperlink" Target="http://ec.europa.eu/competition/elojade/isef/case_details.cfm?proc_code=3_SA_38374" TargetMode="External"/><Relationship Id="rId8" Type="http://schemas.openxmlformats.org/officeDocument/2006/relationships/hyperlink" Target="http://eur-lex.europa.eu/legal-content/EN/ALL/?uri=CELEX:32003D0707" TargetMode="External"/><Relationship Id="rId51" Type="http://schemas.openxmlformats.org/officeDocument/2006/relationships/hyperlink" Target="http://ec.europa.eu/competition/elojade/isef/case_details.cfm?proc_code=1_39574" TargetMode="External"/><Relationship Id="rId3" Type="http://schemas.openxmlformats.org/officeDocument/2006/relationships/hyperlink" Target="http://eur-lex.europa.eu/legal-content/BG/TXT/PDF/?uri=OJ:JOL_2014_349_R_0001&amp;from=BG" TargetMode="External"/><Relationship Id="rId12" Type="http://schemas.openxmlformats.org/officeDocument/2006/relationships/hyperlink" Target="http://ec.europa.eu/competition/elojade/isef/case_details.cfm?proc_code=1_39985" TargetMode="External"/><Relationship Id="rId17" Type="http://schemas.openxmlformats.org/officeDocument/2006/relationships/hyperlink" Target="http://eur-lex.europa.eu/legal-content/BG/TXT/HTML/?uri=CELEX:52014XC0328(01)&amp;from=EN" TargetMode="External"/><Relationship Id="rId25" Type="http://schemas.openxmlformats.org/officeDocument/2006/relationships/hyperlink" Target="http://europa.eu/rapid/press-release_IP-12-937_en.htm?locale=en" TargetMode="External"/><Relationship Id="rId33" Type="http://schemas.openxmlformats.org/officeDocument/2006/relationships/hyperlink" Target="http://europa.eu/rapid/press-release_IP-14-1190_en.htm" TargetMode="External"/><Relationship Id="rId38" Type="http://schemas.openxmlformats.org/officeDocument/2006/relationships/hyperlink" Target="http://eur-lex.europa.eu/legal-content/BG/TXT/HTML/?uri=CELEX:52013PC0547&amp;from=EN" TargetMode="External"/><Relationship Id="rId46" Type="http://schemas.openxmlformats.org/officeDocument/2006/relationships/hyperlink" Target="http://ec.europa.eu/competition/elojade/isef/case_details.cfm?proc_code=1_39748" TargetMode="External"/><Relationship Id="rId59" Type="http://schemas.openxmlformats.org/officeDocument/2006/relationships/hyperlink" Target="http://eur-lex.europa.eu/legal-content/BG/TXT/HTML/?uri=CELEX:32003R0001&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80056-80CC-4BBE-99D4-9F745151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23</Pages>
  <Words>8361</Words>
  <Characters>50758</Characters>
  <Application>Microsoft Office Word</Application>
  <DocSecurity>0</DocSecurity>
  <Lines>805</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58971</CharactersWithSpaces>
  <SharedDoc>false</SharedDoc>
  <HLinks>
    <vt:vector size="366" baseType="variant">
      <vt:variant>
        <vt:i4>131111</vt:i4>
      </vt:variant>
      <vt:variant>
        <vt:i4>183</vt:i4>
      </vt:variant>
      <vt:variant>
        <vt:i4>0</vt:i4>
      </vt:variant>
      <vt:variant>
        <vt:i4>5</vt:i4>
      </vt:variant>
      <vt:variant>
        <vt:lpwstr>http://ec.europa.eu/competition/consultations/2014_merger_control/mergers_white_paper_en.pdf</vt:lpwstr>
      </vt:variant>
      <vt:variant>
        <vt:lpwstr/>
      </vt:variant>
      <vt:variant>
        <vt:i4>2949181</vt:i4>
      </vt:variant>
      <vt:variant>
        <vt:i4>180</vt:i4>
      </vt:variant>
      <vt:variant>
        <vt:i4>0</vt:i4>
      </vt:variant>
      <vt:variant>
        <vt:i4>5</vt:i4>
      </vt:variant>
      <vt:variant>
        <vt:lpwstr>http://eur-lex.europa.eu/legal-content/en/TXT/?uri=CELEX:32004R0139</vt:lpwstr>
      </vt:variant>
      <vt:variant>
        <vt:lpwstr/>
      </vt:variant>
      <vt:variant>
        <vt:i4>6291568</vt:i4>
      </vt:variant>
      <vt:variant>
        <vt:i4>177</vt:i4>
      </vt:variant>
      <vt:variant>
        <vt:i4>0</vt:i4>
      </vt:variant>
      <vt:variant>
        <vt:i4>5</vt:i4>
      </vt:variant>
      <vt:variant>
        <vt:lpwstr>http://ec.europa.eu/competition/antitrust/legislation/antitrust_enforcement_10_years_en.pdf</vt:lpwstr>
      </vt:variant>
      <vt:variant>
        <vt:lpwstr/>
      </vt:variant>
      <vt:variant>
        <vt:i4>3997745</vt:i4>
      </vt:variant>
      <vt:variant>
        <vt:i4>174</vt:i4>
      </vt:variant>
      <vt:variant>
        <vt:i4>0</vt:i4>
      </vt:variant>
      <vt:variant>
        <vt:i4>5</vt:i4>
      </vt:variant>
      <vt:variant>
        <vt:lpwstr>http://eur-lex.europa.eu/legal-content/EN/ALL/?uri=celex:32003R0001</vt:lpwstr>
      </vt:variant>
      <vt:variant>
        <vt:lpwstr/>
      </vt:variant>
      <vt:variant>
        <vt:i4>5374055</vt:i4>
      </vt:variant>
      <vt:variant>
        <vt:i4>171</vt:i4>
      </vt:variant>
      <vt:variant>
        <vt:i4>0</vt:i4>
      </vt:variant>
      <vt:variant>
        <vt:i4>5</vt:i4>
      </vt:variant>
      <vt:variant>
        <vt:lpwstr>http://ec.europa.eu/competition/elojade/isef/case_details.cfm?proc_code=3__x000b_SA_38944</vt:lpwstr>
      </vt:variant>
      <vt:variant>
        <vt:lpwstr/>
      </vt:variant>
      <vt:variant>
        <vt:i4>2490404</vt:i4>
      </vt:variant>
      <vt:variant>
        <vt:i4>168</vt:i4>
      </vt:variant>
      <vt:variant>
        <vt:i4>0</vt:i4>
      </vt:variant>
      <vt:variant>
        <vt:i4>5</vt:i4>
      </vt:variant>
      <vt:variant>
        <vt:lpwstr>http://ec.europa.eu/competition/elojade/isef/case_details.cfm?proc_code=3_SA_38375</vt:lpwstr>
      </vt:variant>
      <vt:variant>
        <vt:lpwstr/>
      </vt:variant>
      <vt:variant>
        <vt:i4>2555940</vt:i4>
      </vt:variant>
      <vt:variant>
        <vt:i4>165</vt:i4>
      </vt:variant>
      <vt:variant>
        <vt:i4>0</vt:i4>
      </vt:variant>
      <vt:variant>
        <vt:i4>5</vt:i4>
      </vt:variant>
      <vt:variant>
        <vt:lpwstr>http://ec.europa.eu/competition/elojade/isef/case_details.cfm?proc_code=3_SA_38374</vt:lpwstr>
      </vt:variant>
      <vt:variant>
        <vt:lpwstr/>
      </vt:variant>
      <vt:variant>
        <vt:i4>2097188</vt:i4>
      </vt:variant>
      <vt:variant>
        <vt:i4>162</vt:i4>
      </vt:variant>
      <vt:variant>
        <vt:i4>0</vt:i4>
      </vt:variant>
      <vt:variant>
        <vt:i4>5</vt:i4>
      </vt:variant>
      <vt:variant>
        <vt:lpwstr>http://ec.europa.eu/competition/elojade/isef/case_details.cfm?proc_code=3_SA_38373</vt:lpwstr>
      </vt:variant>
      <vt:variant>
        <vt:lpwstr/>
      </vt:variant>
      <vt:variant>
        <vt:i4>6946840</vt:i4>
      </vt:variant>
      <vt:variant>
        <vt:i4>159</vt:i4>
      </vt:variant>
      <vt:variant>
        <vt:i4>0</vt:i4>
      </vt:variant>
      <vt:variant>
        <vt:i4>5</vt:i4>
      </vt:variant>
      <vt:variant>
        <vt:lpwstr>http://ec.europa.eu/_x000b_competition/elojade/isef/case_details.cfm?proc_code=2_M_6905</vt:lpwstr>
      </vt:variant>
      <vt:variant>
        <vt:lpwstr/>
      </vt:variant>
      <vt:variant>
        <vt:i4>5111855</vt:i4>
      </vt:variant>
      <vt:variant>
        <vt:i4>156</vt:i4>
      </vt:variant>
      <vt:variant>
        <vt:i4>0</vt:i4>
      </vt:variant>
      <vt:variant>
        <vt:i4>5</vt:i4>
      </vt:variant>
      <vt:variant>
        <vt:lpwstr>http://eur-lex.europa.eu/legalcontent/EN/TXT/?uri=CELEX:_x000b_52014XC0830(01)</vt:lpwstr>
      </vt:variant>
      <vt:variant>
        <vt:lpwstr/>
      </vt:variant>
      <vt:variant>
        <vt:i4>4915278</vt:i4>
      </vt:variant>
      <vt:variant>
        <vt:i4>153</vt:i4>
      </vt:variant>
      <vt:variant>
        <vt:i4>0</vt:i4>
      </vt:variant>
      <vt:variant>
        <vt:i4>5</vt:i4>
      </vt:variant>
      <vt:variant>
        <vt:lpwstr>http://europa.eu/rapid/press-release_IP-14-2002_en.htm</vt:lpwstr>
      </vt:variant>
      <vt:variant>
        <vt:lpwstr/>
      </vt:variant>
      <vt:variant>
        <vt:i4>3145840</vt:i4>
      </vt:variant>
      <vt:variant>
        <vt:i4>150</vt:i4>
      </vt:variant>
      <vt:variant>
        <vt:i4>0</vt:i4>
      </vt:variant>
      <vt:variant>
        <vt:i4>5</vt:i4>
      </vt:variant>
      <vt:variant>
        <vt:lpwstr>http://ec.europa.eu/_x000b_competition/elojade/isef/case_details.cfm?proc_code=1_39574</vt:lpwstr>
      </vt:variant>
      <vt:variant>
        <vt:lpwstr/>
      </vt:variant>
      <vt:variant>
        <vt:i4>3604598</vt:i4>
      </vt:variant>
      <vt:variant>
        <vt:i4>147</vt:i4>
      </vt:variant>
      <vt:variant>
        <vt:i4>0</vt:i4>
      </vt:variant>
      <vt:variant>
        <vt:i4>5</vt:i4>
      </vt:variant>
      <vt:variant>
        <vt:lpwstr>http://ec.europa.eu/_x000b_competition/elojade/isef/case_details.cfm?proc_code=1_39610</vt:lpwstr>
      </vt:variant>
      <vt:variant>
        <vt:lpwstr/>
      </vt:variant>
      <vt:variant>
        <vt:i4>3407998</vt:i4>
      </vt:variant>
      <vt:variant>
        <vt:i4>144</vt:i4>
      </vt:variant>
      <vt:variant>
        <vt:i4>0</vt:i4>
      </vt:variant>
      <vt:variant>
        <vt:i4>5</vt:i4>
      </vt:variant>
      <vt:variant>
        <vt:lpwstr>http://ec.europa.eu/_x000b_competition/elojade/isef/case_details.cfm?proc_code=1_39792</vt:lpwstr>
      </vt:variant>
      <vt:variant>
        <vt:lpwstr/>
      </vt:variant>
      <vt:variant>
        <vt:i4>7929871</vt:i4>
      </vt:variant>
      <vt:variant>
        <vt:i4>141</vt:i4>
      </vt:variant>
      <vt:variant>
        <vt:i4>0</vt:i4>
      </vt:variant>
      <vt:variant>
        <vt:i4>5</vt:i4>
      </vt:variant>
      <vt:variant>
        <vt:lpwstr>http://ec.europa.eu/competition/elojade/isef/case_details.cfm?proc_code=1_39922</vt:lpwstr>
      </vt:variant>
      <vt:variant>
        <vt:lpwstr/>
      </vt:variant>
      <vt:variant>
        <vt:i4>8060942</vt:i4>
      </vt:variant>
      <vt:variant>
        <vt:i4>138</vt:i4>
      </vt:variant>
      <vt:variant>
        <vt:i4>0</vt:i4>
      </vt:variant>
      <vt:variant>
        <vt:i4>5</vt:i4>
      </vt:variant>
      <vt:variant>
        <vt:lpwstr>http://ec.europa.eu/competition/elojade/isef/case_details.cfm?proc_code=1_39801</vt:lpwstr>
      </vt:variant>
      <vt:variant>
        <vt:lpwstr/>
      </vt:variant>
      <vt:variant>
        <vt:i4>8323073</vt:i4>
      </vt:variant>
      <vt:variant>
        <vt:i4>135</vt:i4>
      </vt:variant>
      <vt:variant>
        <vt:i4>0</vt:i4>
      </vt:variant>
      <vt:variant>
        <vt:i4>5</vt:i4>
      </vt:variant>
      <vt:variant>
        <vt:lpwstr>http://ec.europa.eu/competition/elojade/isef/case_details.cfm?proc_code=1_39748</vt:lpwstr>
      </vt:variant>
      <vt:variant>
        <vt:lpwstr/>
      </vt:variant>
      <vt:variant>
        <vt:i4>6553672</vt:i4>
      </vt:variant>
      <vt:variant>
        <vt:i4>132</vt:i4>
      </vt:variant>
      <vt:variant>
        <vt:i4>0</vt:i4>
      </vt:variant>
      <vt:variant>
        <vt:i4>5</vt:i4>
      </vt:variant>
      <vt:variant>
        <vt:lpwstr>http://eur-lex.europa.eu/legal-content/EN/TXT/?uri=uriserv:OJ.C_.2014.249.01.0001.01.ENG</vt:lpwstr>
      </vt:variant>
      <vt:variant>
        <vt:lpwstr/>
      </vt:variant>
      <vt:variant>
        <vt:i4>4456552</vt:i4>
      </vt:variant>
      <vt:variant>
        <vt:i4>129</vt:i4>
      </vt:variant>
      <vt:variant>
        <vt:i4>0</vt:i4>
      </vt:variant>
      <vt:variant>
        <vt:i4>5</vt:i4>
      </vt:variant>
      <vt:variant>
        <vt:lpwstr>http://eur-lex.europa.eu/legal-content/EN/TXT/?qid=1427812320943&amp;uri=CELEX:_x000b_52015PC0010</vt:lpwstr>
      </vt:variant>
      <vt:variant>
        <vt:lpwstr/>
      </vt:variant>
      <vt:variant>
        <vt:i4>7274601</vt:i4>
      </vt:variant>
      <vt:variant>
        <vt:i4>126</vt:i4>
      </vt:variant>
      <vt:variant>
        <vt:i4>0</vt:i4>
      </vt:variant>
      <vt:variant>
        <vt:i4>5</vt:i4>
      </vt:variant>
      <vt:variant>
        <vt:lpwstr>http://eur-lex.europa.eu/legal-content/EN/TXT/?qid=1427812242523&amp;uri=CELEX:52014DC0903</vt:lpwstr>
      </vt:variant>
      <vt:variant>
        <vt:lpwstr/>
      </vt:variant>
      <vt:variant>
        <vt:i4>6815823</vt:i4>
      </vt:variant>
      <vt:variant>
        <vt:i4>123</vt:i4>
      </vt:variant>
      <vt:variant>
        <vt:i4>0</vt:i4>
      </vt:variant>
      <vt:variant>
        <vt:i4>5</vt:i4>
      </vt:variant>
      <vt:variant>
        <vt:lpwstr>http://eur-lex.europa.eu/legal-content/EN/TXT/?uri=uriserv:OJ.C_.2014.188.01.0004.01.ENG</vt:lpwstr>
      </vt:variant>
      <vt:variant>
        <vt:lpwstr/>
      </vt:variant>
      <vt:variant>
        <vt:i4>6881354</vt:i4>
      </vt:variant>
      <vt:variant>
        <vt:i4>120</vt:i4>
      </vt:variant>
      <vt:variant>
        <vt:i4>0</vt:i4>
      </vt:variant>
      <vt:variant>
        <vt:i4>5</vt:i4>
      </vt:variant>
      <vt:variant>
        <vt:lpwstr>http://eur-lex.europa.eu/legal-content/EN/TXT/?uri=uriserv:OJ.C_.2014.198.01.0001.01.ENG</vt:lpwstr>
      </vt:variant>
      <vt:variant>
        <vt:lpwstr/>
      </vt:variant>
      <vt:variant>
        <vt:i4>720927</vt:i4>
      </vt:variant>
      <vt:variant>
        <vt:i4>117</vt:i4>
      </vt:variant>
      <vt:variant>
        <vt:i4>0</vt:i4>
      </vt:variant>
      <vt:variant>
        <vt:i4>5</vt:i4>
      </vt:variant>
      <vt:variant>
        <vt:lpwstr>http://ec.europa.eu/competition/state_aid/modernisation/index_en.html</vt:lpwstr>
      </vt:variant>
      <vt:variant>
        <vt:lpwstr/>
      </vt:variant>
      <vt:variant>
        <vt:i4>5308441</vt:i4>
      </vt:variant>
      <vt:variant>
        <vt:i4>114</vt:i4>
      </vt:variant>
      <vt:variant>
        <vt:i4>0</vt:i4>
      </vt:variant>
      <vt:variant>
        <vt:i4>5</vt:i4>
      </vt:variant>
      <vt:variant>
        <vt:lpwstr>http://eur-lex.europa.eu/legal-content/EN/TXT/?uri=CELEX:52014XC0122(04)</vt:lpwstr>
      </vt:variant>
      <vt:variant>
        <vt:lpwstr/>
      </vt:variant>
      <vt:variant>
        <vt:i4>4259948</vt:i4>
      </vt:variant>
      <vt:variant>
        <vt:i4>111</vt:i4>
      </vt:variant>
      <vt:variant>
        <vt:i4>0</vt:i4>
      </vt:variant>
      <vt:variant>
        <vt:i4>5</vt:i4>
      </vt:variant>
      <vt:variant>
        <vt:lpwstr>http://eur-lex.europa.eu/legal-content/EN/TXT/?qid=1427290049713&amp;uri=CELEX:_x000b_52013PC0547</vt:lpwstr>
      </vt:variant>
      <vt:variant>
        <vt:lpwstr/>
      </vt:variant>
      <vt:variant>
        <vt:i4>7536746</vt:i4>
      </vt:variant>
      <vt:variant>
        <vt:i4>108</vt:i4>
      </vt:variant>
      <vt:variant>
        <vt:i4>0</vt:i4>
      </vt:variant>
      <vt:variant>
        <vt:i4>5</vt:i4>
      </vt:variant>
      <vt:variant>
        <vt:lpwstr>http://eur-lex.europa.eu/LexUriServ/LexUriServ.do?uri=COM:2013:0550:FIN:EN:HTML</vt:lpwstr>
      </vt:variant>
      <vt:variant>
        <vt:lpwstr/>
      </vt:variant>
      <vt:variant>
        <vt:i4>3407939</vt:i4>
      </vt:variant>
      <vt:variant>
        <vt:i4>105</vt:i4>
      </vt:variant>
      <vt:variant>
        <vt:i4>0</vt:i4>
      </vt:variant>
      <vt:variant>
        <vt:i4>5</vt:i4>
      </vt:variant>
      <vt:variant>
        <vt:lpwstr>http://ec.europa.eu/competition/antitrust/cases/dec_docs/39398/39398_9728_3.pdf</vt:lpwstr>
      </vt:variant>
      <vt:variant>
        <vt:lpwstr/>
      </vt:variant>
      <vt:variant>
        <vt:i4>3014715</vt:i4>
      </vt:variant>
      <vt:variant>
        <vt:i4>102</vt:i4>
      </vt:variant>
      <vt:variant>
        <vt:i4>0</vt:i4>
      </vt:variant>
      <vt:variant>
        <vt:i4>5</vt:i4>
      </vt:variant>
      <vt:variant>
        <vt:lpwstr>http://eur-lex.europa.eu/legal-content/EN/TXT/?uri=CELEX:32014R0600</vt:lpwstr>
      </vt:variant>
      <vt:variant>
        <vt:lpwstr/>
      </vt:variant>
      <vt:variant>
        <vt:i4>6488133</vt:i4>
      </vt:variant>
      <vt:variant>
        <vt:i4>99</vt:i4>
      </vt:variant>
      <vt:variant>
        <vt:i4>0</vt:i4>
      </vt:variant>
      <vt:variant>
        <vt:i4>5</vt:i4>
      </vt:variant>
      <vt:variant>
        <vt:lpwstr>http://eur-lex.europa.eu/legal-content/EN/TXT/?uri=uriserv:OJ.L_.2014.173.01.0349.01.ENG</vt:lpwstr>
      </vt:variant>
      <vt:variant>
        <vt:lpwstr/>
      </vt:variant>
      <vt:variant>
        <vt:i4>4259917</vt:i4>
      </vt:variant>
      <vt:variant>
        <vt:i4>96</vt:i4>
      </vt:variant>
      <vt:variant>
        <vt:i4>0</vt:i4>
      </vt:variant>
      <vt:variant>
        <vt:i4>5</vt:i4>
      </vt:variant>
      <vt:variant>
        <vt:lpwstr>http://europa.eu/rapid/press-release_IP-14-1190_en.htm</vt:lpwstr>
      </vt:variant>
      <vt:variant>
        <vt:lpwstr/>
      </vt:variant>
      <vt:variant>
        <vt:i4>4194372</vt:i4>
      </vt:variant>
      <vt:variant>
        <vt:i4>93</vt:i4>
      </vt:variant>
      <vt:variant>
        <vt:i4>0</vt:i4>
      </vt:variant>
      <vt:variant>
        <vt:i4>5</vt:i4>
      </vt:variant>
      <vt:variant>
        <vt:lpwstr>http://europa.eu/rapid/press-release_IP-14-1189_en.htm</vt:lpwstr>
      </vt:variant>
      <vt:variant>
        <vt:lpwstr/>
      </vt:variant>
      <vt:variant>
        <vt:i4>2883630</vt:i4>
      </vt:variant>
      <vt:variant>
        <vt:i4>90</vt:i4>
      </vt:variant>
      <vt:variant>
        <vt:i4>0</vt:i4>
      </vt:variant>
      <vt:variant>
        <vt:i4>5</vt:i4>
      </vt:variant>
      <vt:variant>
        <vt:lpwstr>http://ec.europa.eu/competition/elojade/isef/case_details.cfm?proc_code=3_SA_37824</vt:lpwstr>
      </vt:variant>
      <vt:variant>
        <vt:lpwstr/>
      </vt:variant>
      <vt:variant>
        <vt:i4>2162731</vt:i4>
      </vt:variant>
      <vt:variant>
        <vt:i4>87</vt:i4>
      </vt:variant>
      <vt:variant>
        <vt:i4>0</vt:i4>
      </vt:variant>
      <vt:variant>
        <vt:i4>5</vt:i4>
      </vt:variant>
      <vt:variant>
        <vt:lpwstr>http://ec.europa.eu/competition/elojade/isef/case_details.cfm?proc_code=3_SA_36061</vt:lpwstr>
      </vt:variant>
      <vt:variant>
        <vt:lpwstr/>
      </vt:variant>
      <vt:variant>
        <vt:i4>5570656</vt:i4>
      </vt:variant>
      <vt:variant>
        <vt:i4>84</vt:i4>
      </vt:variant>
      <vt:variant>
        <vt:i4>0</vt:i4>
      </vt:variant>
      <vt:variant>
        <vt:i4>5</vt:i4>
      </vt:variant>
      <vt:variant>
        <vt:lpwstr>http://europa.eu/_x000b_rapid/press-release_IP-14-865_en.htm</vt:lpwstr>
      </vt:variant>
      <vt:variant>
        <vt:lpwstr/>
      </vt:variant>
      <vt:variant>
        <vt:i4>6815760</vt:i4>
      </vt:variant>
      <vt:variant>
        <vt:i4>81</vt:i4>
      </vt:variant>
      <vt:variant>
        <vt:i4>0</vt:i4>
      </vt:variant>
      <vt:variant>
        <vt:i4>5</vt:i4>
      </vt:variant>
      <vt:variant>
        <vt:lpwstr>http://ec.europa.eu/_x000b_competition/elojade/isef/case_details.cfm?proc_code=2_M_7137</vt:lpwstr>
      </vt:variant>
      <vt:variant>
        <vt:lpwstr/>
      </vt:variant>
      <vt:variant>
        <vt:i4>3080296</vt:i4>
      </vt:variant>
      <vt:variant>
        <vt:i4>78</vt:i4>
      </vt:variant>
      <vt:variant>
        <vt:i4>0</vt:i4>
      </vt:variant>
      <vt:variant>
        <vt:i4>5</vt:i4>
      </vt:variant>
      <vt:variant>
        <vt:lpwstr>http://europa.eu/rapid/press-release_MEMO-14-581_en.htm</vt:lpwstr>
      </vt:variant>
      <vt:variant>
        <vt:lpwstr/>
      </vt:variant>
      <vt:variant>
        <vt:i4>2949219</vt:i4>
      </vt:variant>
      <vt:variant>
        <vt:i4>75</vt:i4>
      </vt:variant>
      <vt:variant>
        <vt:i4>0</vt:i4>
      </vt:variant>
      <vt:variant>
        <vt:i4>5</vt:i4>
      </vt:variant>
      <vt:variant>
        <vt:lpwstr>http://europa.eu/rapid/press-release_MEMO-13-435_en.htm</vt:lpwstr>
      </vt:variant>
      <vt:variant>
        <vt:lpwstr/>
      </vt:variant>
      <vt:variant>
        <vt:i4>8060970</vt:i4>
      </vt:variant>
      <vt:variant>
        <vt:i4>72</vt:i4>
      </vt:variant>
      <vt:variant>
        <vt:i4>0</vt:i4>
      </vt:variant>
      <vt:variant>
        <vt:i4>5</vt:i4>
      </vt:variant>
      <vt:variant>
        <vt:lpwstr>http://europa.eu/rapid/press-release_IP-12-937_en.htm?locale=en</vt:lpwstr>
      </vt:variant>
      <vt:variant>
        <vt:lpwstr/>
      </vt:variant>
      <vt:variant>
        <vt:i4>4522015</vt:i4>
      </vt:variant>
      <vt:variant>
        <vt:i4>69</vt:i4>
      </vt:variant>
      <vt:variant>
        <vt:i4>0</vt:i4>
      </vt:variant>
      <vt:variant>
        <vt:i4>5</vt:i4>
      </vt:variant>
      <vt:variant>
        <vt:lpwstr>http://europa.eu/rapid/press-release_IP-13-656_en.htm</vt:lpwstr>
      </vt:variant>
      <vt:variant>
        <vt:lpwstr/>
      </vt:variant>
      <vt:variant>
        <vt:i4>4784152</vt:i4>
      </vt:variant>
      <vt:variant>
        <vt:i4>66</vt:i4>
      </vt:variant>
      <vt:variant>
        <vt:i4>0</vt:i4>
      </vt:variant>
      <vt:variant>
        <vt:i4>5</vt:i4>
      </vt:variant>
      <vt:variant>
        <vt:lpwstr>http://europa.eu/rapid/press-release_IP-14-922_en.htm</vt:lpwstr>
      </vt:variant>
      <vt:variant>
        <vt:lpwstr/>
      </vt:variant>
      <vt:variant>
        <vt:i4>7536655</vt:i4>
      </vt:variant>
      <vt:variant>
        <vt:i4>63</vt:i4>
      </vt:variant>
      <vt:variant>
        <vt:i4>0</vt:i4>
      </vt:variant>
      <vt:variant>
        <vt:i4>5</vt:i4>
      </vt:variant>
      <vt:variant>
        <vt:lpwstr>http://ec.europa.eu/competition/elojade/isef/case_details.cfm?proc_code=1_39984</vt:lpwstr>
      </vt:variant>
      <vt:variant>
        <vt:lpwstr/>
      </vt:variant>
      <vt:variant>
        <vt:i4>3801202</vt:i4>
      </vt:variant>
      <vt:variant>
        <vt:i4>60</vt:i4>
      </vt:variant>
      <vt:variant>
        <vt:i4>0</vt:i4>
      </vt:variant>
      <vt:variant>
        <vt:i4>5</vt:i4>
      </vt:variant>
      <vt:variant>
        <vt:lpwstr>http://ec.europa.eu/_x000b_competition/elojade/isef/case_details.cfm?proc_code=1_39952</vt:lpwstr>
      </vt:variant>
      <vt:variant>
        <vt:lpwstr/>
      </vt:variant>
      <vt:variant>
        <vt:i4>4259919</vt:i4>
      </vt:variant>
      <vt:variant>
        <vt:i4>57</vt:i4>
      </vt:variant>
      <vt:variant>
        <vt:i4>0</vt:i4>
      </vt:variant>
      <vt:variant>
        <vt:i4>5</vt:i4>
      </vt:variant>
      <vt:variant>
        <vt:lpwstr>http://europa.eu/rapid/press-release_IP-14-1093_en.htm</vt:lpwstr>
      </vt:variant>
      <vt:variant>
        <vt:lpwstr/>
      </vt:variant>
      <vt:variant>
        <vt:i4>6815818</vt:i4>
      </vt:variant>
      <vt:variant>
        <vt:i4>54</vt:i4>
      </vt:variant>
      <vt:variant>
        <vt:i4>0</vt:i4>
      </vt:variant>
      <vt:variant>
        <vt:i4>5</vt:i4>
      </vt:variant>
      <vt:variant>
        <vt:lpwstr>http://eur-lex.europa.eu/legal-content/EN/TXT/?uri=uriserv:OJ.L_.2014.187.01.0001.01.ENG</vt:lpwstr>
      </vt:variant>
      <vt:variant>
        <vt:lpwstr/>
      </vt:variant>
      <vt:variant>
        <vt:i4>7471120</vt:i4>
      </vt:variant>
      <vt:variant>
        <vt:i4>51</vt:i4>
      </vt:variant>
      <vt:variant>
        <vt:i4>0</vt:i4>
      </vt:variant>
      <vt:variant>
        <vt:i4>5</vt:i4>
      </vt:variant>
      <vt:variant>
        <vt:lpwstr>http://eur-lex.europa.eu/legal-content/EN/TXT/?uri=CELEX:_x000b_52014XC0628(01)</vt:lpwstr>
      </vt:variant>
      <vt:variant>
        <vt:lpwstr/>
      </vt:variant>
      <vt:variant>
        <vt:i4>6815816</vt:i4>
      </vt:variant>
      <vt:variant>
        <vt:i4>48</vt:i4>
      </vt:variant>
      <vt:variant>
        <vt:i4>0</vt:i4>
      </vt:variant>
      <vt:variant>
        <vt:i4>5</vt:i4>
      </vt:variant>
      <vt:variant>
        <vt:lpwstr>http://eur-lex.europa.eu/legal-content/EN/TXT/?uri=uriserv:OJ.C_.2014.089.01.0003.01.ENG</vt:lpwstr>
      </vt:variant>
      <vt:variant>
        <vt:lpwstr/>
      </vt:variant>
      <vt:variant>
        <vt:i4>3670133</vt:i4>
      </vt:variant>
      <vt:variant>
        <vt:i4>45</vt:i4>
      </vt:variant>
      <vt:variant>
        <vt:i4>0</vt:i4>
      </vt:variant>
      <vt:variant>
        <vt:i4>5</vt:i4>
      </vt:variant>
      <vt:variant>
        <vt:lpwstr>http://eur-lex.europa.eu/legal-content/EN/TXT/?uri=uriserv:OJ.L_.2014._x000b_093.01.0017.01.ENG</vt:lpwstr>
      </vt:variant>
      <vt:variant>
        <vt:lpwstr/>
      </vt:variant>
      <vt:variant>
        <vt:i4>7864441</vt:i4>
      </vt:variant>
      <vt:variant>
        <vt:i4>42</vt:i4>
      </vt:variant>
      <vt:variant>
        <vt:i4>0</vt:i4>
      </vt:variant>
      <vt:variant>
        <vt:i4>5</vt:i4>
      </vt:variant>
      <vt:variant>
        <vt:lpwstr>http://europa.eu/rapid/press-release_IP-14-15_en.htm</vt:lpwstr>
      </vt:variant>
      <vt:variant>
        <vt:lpwstr/>
      </vt:variant>
      <vt:variant>
        <vt:i4>7864335</vt:i4>
      </vt:variant>
      <vt:variant>
        <vt:i4>36</vt:i4>
      </vt:variant>
      <vt:variant>
        <vt:i4>0</vt:i4>
      </vt:variant>
      <vt:variant>
        <vt:i4>5</vt:i4>
      </vt:variant>
      <vt:variant>
        <vt:lpwstr>http://ec.europa.eu/competition/elojade/isef/case_details.cfm?proc_code=1_39939</vt:lpwstr>
      </vt:variant>
      <vt:variant>
        <vt:lpwstr/>
      </vt:variant>
      <vt:variant>
        <vt:i4>7536655</vt:i4>
      </vt:variant>
      <vt:variant>
        <vt:i4>33</vt:i4>
      </vt:variant>
      <vt:variant>
        <vt:i4>0</vt:i4>
      </vt:variant>
      <vt:variant>
        <vt:i4>5</vt:i4>
      </vt:variant>
      <vt:variant>
        <vt:lpwstr>http://ec.europa.eu/competition/elojade/isef/case_details.cfm?proc_code=1_39985</vt:lpwstr>
      </vt:variant>
      <vt:variant>
        <vt:lpwstr/>
      </vt:variant>
      <vt:variant>
        <vt:i4>2621549</vt:i4>
      </vt:variant>
      <vt:variant>
        <vt:i4>30</vt:i4>
      </vt:variant>
      <vt:variant>
        <vt:i4>0</vt:i4>
      </vt:variant>
      <vt:variant>
        <vt:i4>5</vt:i4>
      </vt:variant>
      <vt:variant>
        <vt:lpwstr>http://ec.europa.eu/competition/elojade/isef/case_details.cfm?proc_code=2_M_7217</vt:lpwstr>
      </vt:variant>
      <vt:variant>
        <vt:lpwstr/>
      </vt:variant>
      <vt:variant>
        <vt:i4>2424941</vt:i4>
      </vt:variant>
      <vt:variant>
        <vt:i4>27</vt:i4>
      </vt:variant>
      <vt:variant>
        <vt:i4>0</vt:i4>
      </vt:variant>
      <vt:variant>
        <vt:i4>5</vt:i4>
      </vt:variant>
      <vt:variant>
        <vt:lpwstr>http://ec.europa.eu/competition/elojade/isef/case_details.cfm?proc_code=2_M_7018</vt:lpwstr>
      </vt:variant>
      <vt:variant>
        <vt:lpwstr/>
      </vt:variant>
      <vt:variant>
        <vt:i4>2490468</vt:i4>
      </vt:variant>
      <vt:variant>
        <vt:i4>24</vt:i4>
      </vt:variant>
      <vt:variant>
        <vt:i4>0</vt:i4>
      </vt:variant>
      <vt:variant>
        <vt:i4>5</vt:i4>
      </vt:variant>
      <vt:variant>
        <vt:lpwstr>http://ec.europa.eu/competition/elojade/isef/case_details.cfm?proc_code=2_M_6992</vt:lpwstr>
      </vt:variant>
      <vt:variant>
        <vt:lpwstr/>
      </vt:variant>
      <vt:variant>
        <vt:i4>3997728</vt:i4>
      </vt:variant>
      <vt:variant>
        <vt:i4>21</vt:i4>
      </vt:variant>
      <vt:variant>
        <vt:i4>0</vt:i4>
      </vt:variant>
      <vt:variant>
        <vt:i4>5</vt:i4>
      </vt:variant>
      <vt:variant>
        <vt:lpwstr>http://eur-lex.europa.eu/legal-content/EN/ALL/?uri=CELEX:32003D0707</vt:lpwstr>
      </vt:variant>
      <vt:variant>
        <vt:lpwstr/>
      </vt:variant>
      <vt:variant>
        <vt:i4>7929859</vt:i4>
      </vt:variant>
      <vt:variant>
        <vt:i4>18</vt:i4>
      </vt:variant>
      <vt:variant>
        <vt:i4>0</vt:i4>
      </vt:variant>
      <vt:variant>
        <vt:i4>5</vt:i4>
      </vt:variant>
      <vt:variant>
        <vt:lpwstr>http://ec.europa.eu/competition/elojade/isef/case_details.cfm?proc_code=1_39523</vt:lpwstr>
      </vt:variant>
      <vt:variant>
        <vt:lpwstr/>
      </vt:variant>
      <vt:variant>
        <vt:i4>6815818</vt:i4>
      </vt:variant>
      <vt:variant>
        <vt:i4>15</vt:i4>
      </vt:variant>
      <vt:variant>
        <vt:i4>0</vt:i4>
      </vt:variant>
      <vt:variant>
        <vt:i4>5</vt:i4>
      </vt:variant>
      <vt:variant>
        <vt:lpwstr>http://eur-lex.europa.eu/legal-content/EN/TXT/?uri=uriserv:OJ.L_.2014.187.01.0001.01.ENG</vt:lpwstr>
      </vt:variant>
      <vt:variant>
        <vt:lpwstr/>
      </vt:variant>
      <vt:variant>
        <vt:i4>5963797</vt:i4>
      </vt:variant>
      <vt:variant>
        <vt:i4>12</vt:i4>
      </vt:variant>
      <vt:variant>
        <vt:i4>0</vt:i4>
      </vt:variant>
      <vt:variant>
        <vt:i4>5</vt:i4>
      </vt:variant>
      <vt:variant>
        <vt:lpwstr>http://eur-lex.europa.eu/LexUriServ/LexUriServ.do?uri=OJ:C:2013:025:0001:0026:en:PDF</vt:lpwstr>
      </vt:variant>
      <vt:variant>
        <vt:lpwstr/>
      </vt:variant>
      <vt:variant>
        <vt:i4>851989</vt:i4>
      </vt:variant>
      <vt:variant>
        <vt:i4>9</vt:i4>
      </vt:variant>
      <vt:variant>
        <vt:i4>0</vt:i4>
      </vt:variant>
      <vt:variant>
        <vt:i4>5</vt:i4>
      </vt:variant>
      <vt:variant>
        <vt:lpwstr>http://ec.europa.eu/digital-agenda/en/news/new-study-unlocking-ict-growth-potential-europe-enabling-people-and-businesses</vt:lpwstr>
      </vt:variant>
      <vt:variant>
        <vt:lpwstr/>
      </vt:variant>
      <vt:variant>
        <vt:i4>6291553</vt:i4>
      </vt:variant>
      <vt:variant>
        <vt:i4>6</vt:i4>
      </vt:variant>
      <vt:variant>
        <vt:i4>0</vt:i4>
      </vt:variant>
      <vt:variant>
        <vt:i4>5</vt:i4>
      </vt:variant>
      <vt:variant>
        <vt:lpwstr>http://eur-lex.europa.eu/legal-content/EN/TXT/PDF/?uri=OJ:JOL_2014_349_R_0001&amp;from=EN</vt:lpwstr>
      </vt:variant>
      <vt:variant>
        <vt:lpwstr/>
      </vt:variant>
      <vt:variant>
        <vt:i4>3211273</vt:i4>
      </vt:variant>
      <vt:variant>
        <vt:i4>3</vt:i4>
      </vt:variant>
      <vt:variant>
        <vt:i4>0</vt:i4>
      </vt:variant>
      <vt:variant>
        <vt:i4>5</vt:i4>
      </vt:variant>
      <vt:variant>
        <vt:lpwstr>http://ec.europa.eu/commission/sites/cwt/files/commissioner_mission_letters/vestager_en.pdf</vt:lpwstr>
      </vt:variant>
      <vt:variant>
        <vt:lpwstr/>
      </vt:variant>
      <vt:variant>
        <vt:i4>2162760</vt:i4>
      </vt:variant>
      <vt:variant>
        <vt:i4>0</vt:i4>
      </vt:variant>
      <vt:variant>
        <vt:i4>0</vt:i4>
      </vt:variant>
      <vt:variant>
        <vt:i4>5</vt:i4>
      </vt:variant>
      <vt:variant>
        <vt:lpwstr>http://ec.europa.eu/about/juncker-commission/docs/pg_en.pdf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41</cp:revision>
  <dcterms:created xsi:type="dcterms:W3CDTF">2015-05-08T09:08:00Z</dcterms:created>
  <dcterms:modified xsi:type="dcterms:W3CDTF">2015-06-04T07:01:00Z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