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22E" w:rsidRDefault="00CC16C9" w:rsidP="00CC16C9">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8F4A3FB8EC64D9EA4FEB71827BD96C6" style="width:450.6pt;height:364.95pt">
            <v:imagedata r:id="rId7" o:title=""/>
          </v:shape>
        </w:pict>
      </w:r>
    </w:p>
    <w:bookmarkEnd w:id="0"/>
    <w:p w:rsidR="00CF422E" w:rsidRDefault="00CF422E">
      <w:pPr>
        <w:rPr>
          <w:noProof/>
        </w:rPr>
        <w:sectPr w:rsidR="00CF422E" w:rsidSect="00CC16C9">
          <w:footerReference w:type="default" r:id="rId8"/>
          <w:pgSz w:w="11906" w:h="16838"/>
          <w:pgMar w:top="1134" w:right="1417" w:bottom="1134" w:left="1417" w:header="709" w:footer="709" w:gutter="0"/>
          <w:pgNumType w:start="0"/>
          <w:cols w:space="720"/>
          <w:docGrid w:linePitch="360"/>
        </w:sectPr>
      </w:pPr>
    </w:p>
    <w:p w:rsidR="00CF422E" w:rsidRDefault="00CF422E">
      <w:pPr>
        <w:rPr>
          <w:noProof/>
        </w:rPr>
      </w:pPr>
    </w:p>
    <w:p w:rsidR="00CF422E" w:rsidRDefault="00584664">
      <w:pPr>
        <w:jc w:val="center"/>
        <w:rPr>
          <w:b/>
          <w:noProof/>
          <w:szCs w:val="24"/>
          <w:u w:val="single"/>
        </w:rPr>
      </w:pPr>
      <w:r>
        <w:rPr>
          <w:b/>
          <w:noProof/>
          <w:u w:val="single"/>
        </w:rPr>
        <w:t>ANNEXE 1</w:t>
      </w:r>
    </w:p>
    <w:p w:rsidR="00CF422E" w:rsidRDefault="00584664">
      <w:pPr>
        <w:jc w:val="center"/>
        <w:rPr>
          <w:b/>
          <w:noProof/>
          <w:szCs w:val="24"/>
        </w:rPr>
      </w:pPr>
      <w:r>
        <w:rPr>
          <w:b/>
          <w:noProof/>
        </w:rPr>
        <w:t>ASPECTS PROCÉDURAUX DE L'INITIATIVE CITOYENNE INTITULÉE «STOP VIVISECTION»</w:t>
      </w:r>
    </w:p>
    <w:p w:rsidR="00CF422E" w:rsidRDefault="00584664">
      <w:pPr>
        <w:autoSpaceDE w:val="0"/>
        <w:autoSpaceDN w:val="0"/>
        <w:adjustRightInd w:val="0"/>
        <w:spacing w:after="0"/>
        <w:rPr>
          <w:noProof/>
          <w:szCs w:val="24"/>
        </w:rPr>
      </w:pPr>
      <w:r>
        <w:rPr>
          <w:noProof/>
        </w:rPr>
        <w:t>Conformément à l'article 4, paragraphe 2, du règlement (UE) n° 211/2011, l'initiative a été enregistrée le 22 juin 2012 et publiée dans le registre en ligne de la Commission.</w:t>
      </w:r>
    </w:p>
    <w:p w:rsidR="00CF422E" w:rsidRDefault="00CF422E">
      <w:pPr>
        <w:autoSpaceDE w:val="0"/>
        <w:autoSpaceDN w:val="0"/>
        <w:adjustRightInd w:val="0"/>
        <w:spacing w:after="0"/>
        <w:rPr>
          <w:noProof/>
          <w:szCs w:val="24"/>
        </w:rPr>
      </w:pPr>
    </w:p>
    <w:p w:rsidR="00CF422E" w:rsidRDefault="00584664">
      <w:pPr>
        <w:autoSpaceDE w:val="0"/>
        <w:autoSpaceDN w:val="0"/>
        <w:adjustRightInd w:val="0"/>
        <w:spacing w:after="0"/>
        <w:rPr>
          <w:noProof/>
          <w:szCs w:val="24"/>
        </w:rPr>
      </w:pPr>
      <w:r>
        <w:rPr>
          <w:noProof/>
        </w:rPr>
        <w:t>Les membres du comité des citoyens enregistrés auprès de la Commission résident dans les États membres suivants: le Royaume-Uni, l'Italie, la Belgique, la France, les Pays-Bas, l'Espagne et la Suède.</w:t>
      </w:r>
    </w:p>
    <w:p w:rsidR="00CF422E" w:rsidRDefault="00CF422E">
      <w:pPr>
        <w:autoSpaceDE w:val="0"/>
        <w:autoSpaceDN w:val="0"/>
        <w:adjustRightInd w:val="0"/>
        <w:spacing w:after="0"/>
        <w:rPr>
          <w:noProof/>
          <w:szCs w:val="24"/>
        </w:rPr>
      </w:pPr>
    </w:p>
    <w:p w:rsidR="00CF422E" w:rsidRDefault="00584664">
      <w:pPr>
        <w:autoSpaceDE w:val="0"/>
        <w:autoSpaceDN w:val="0"/>
        <w:adjustRightInd w:val="0"/>
        <w:spacing w:after="0"/>
        <w:rPr>
          <w:noProof/>
          <w:szCs w:val="24"/>
        </w:rPr>
      </w:pPr>
      <w:r>
        <w:rPr>
          <w:noProof/>
        </w:rPr>
        <w:t>L’initiative a été enregistrée en anglais. Les organisateurs ont ensuite fourni la traduction du titre, de l'objet et des objectifs de l'initiative dans toutes les langues officielles de l'Union.</w:t>
      </w:r>
    </w:p>
    <w:p w:rsidR="00CF422E" w:rsidRDefault="00CF422E">
      <w:pPr>
        <w:autoSpaceDE w:val="0"/>
        <w:autoSpaceDN w:val="0"/>
        <w:adjustRightInd w:val="0"/>
        <w:spacing w:after="0"/>
        <w:rPr>
          <w:noProof/>
          <w:szCs w:val="24"/>
        </w:rPr>
      </w:pPr>
    </w:p>
    <w:p w:rsidR="00CF422E" w:rsidRDefault="00584664">
      <w:pPr>
        <w:autoSpaceDE w:val="0"/>
        <w:autoSpaceDN w:val="0"/>
        <w:adjustRightInd w:val="0"/>
        <w:spacing w:after="0"/>
        <w:rPr>
          <w:noProof/>
          <w:szCs w:val="24"/>
        </w:rPr>
      </w:pPr>
      <w:r>
        <w:rPr>
          <w:noProof/>
        </w:rPr>
        <w:t>Conformément au règlement relatif à l'initiative citoyenne, les formulaires de déclaration de soutien à l'initiative utilisés par les citoyens contenaient le titre, l'objet et les objectifs de celle-ci. Y figurait également le lien vers le registre en ligne de la Commission (voir ci-dessus), permettant aux citoyens qui le souhaitaient de consulter les informations complémentaires sur l’initiative, fournies par les organisateurs dans une annexe à la demande d’enregistrement. Les organisateurs ont fourni la traduction en langue italienne de la présente annexe. Il se peut que les citoyens qui ont apporté leur soutien à l'initiative n'aient pas tous consulté ladite annexe.</w:t>
      </w:r>
    </w:p>
    <w:p w:rsidR="00CF422E" w:rsidRDefault="00CF422E">
      <w:pPr>
        <w:autoSpaceDE w:val="0"/>
        <w:autoSpaceDN w:val="0"/>
        <w:adjustRightInd w:val="0"/>
        <w:spacing w:after="0"/>
        <w:rPr>
          <w:noProof/>
          <w:szCs w:val="24"/>
        </w:rPr>
      </w:pPr>
    </w:p>
    <w:p w:rsidR="00CF422E" w:rsidRDefault="00584664">
      <w:pPr>
        <w:autoSpaceDE w:val="0"/>
        <w:autoSpaceDN w:val="0"/>
        <w:adjustRightInd w:val="0"/>
        <w:spacing w:after="0"/>
        <w:rPr>
          <w:noProof/>
          <w:szCs w:val="24"/>
        </w:rPr>
      </w:pPr>
      <w:r>
        <w:rPr>
          <w:noProof/>
        </w:rPr>
        <w:t>Le délai officiel de douze mois fixé pour recueillir les déclarations de soutien à l’initiative a pris fin le 22 juin 2013. Cependant, la Commission a accepté des déclarations jusqu'au 1</w:t>
      </w:r>
      <w:r>
        <w:rPr>
          <w:noProof/>
          <w:vertAlign w:val="superscript"/>
        </w:rPr>
        <w:t>er </w:t>
      </w:r>
      <w:r>
        <w:rPr>
          <w:noProof/>
        </w:rPr>
        <w:t>novembre 2013 en raison des difficultés rencontrées par la plupart des organisateurs lors de la mise en place de leurs systèmes de collecte en ligne au cours de la phase de lancement de l'initiative citoyenne européenne</w:t>
      </w:r>
      <w:r>
        <w:rPr>
          <w:rStyle w:val="FootnoteReference"/>
          <w:noProof/>
        </w:rPr>
        <w:footnoteReference w:id="1"/>
      </w:r>
      <w:r>
        <w:rPr>
          <w:noProof/>
        </w:rPr>
        <w:t>. Après vérification, par les autorités compétentes des États membres concernés, des déclarations de soutien recueillies, les organisateurs ont présenté leur initiative à la Commission le 3 mars 2015, en même temps que les certificats délivrés par les autorités compétentes des 26 États membres et des informations sur leurs sources de financement et les soutiens obtenus, conformément à l'article 9 du règlement.</w:t>
      </w:r>
    </w:p>
    <w:p w:rsidR="00CF422E" w:rsidRDefault="00CF422E">
      <w:pPr>
        <w:autoSpaceDE w:val="0"/>
        <w:autoSpaceDN w:val="0"/>
        <w:adjustRightInd w:val="0"/>
        <w:spacing w:after="0"/>
        <w:rPr>
          <w:noProof/>
          <w:szCs w:val="24"/>
        </w:rPr>
      </w:pPr>
    </w:p>
    <w:p w:rsidR="00CF422E" w:rsidRDefault="00584664">
      <w:pPr>
        <w:autoSpaceDE w:val="0"/>
        <w:autoSpaceDN w:val="0"/>
        <w:adjustRightInd w:val="0"/>
        <w:spacing w:after="0"/>
        <w:rPr>
          <w:noProof/>
          <w:szCs w:val="24"/>
        </w:rPr>
      </w:pPr>
      <w:r>
        <w:rPr>
          <w:noProof/>
        </w:rPr>
        <w:t>Le nombre de déclarations de soutien valables indiqué sur les certificats et les informations fournies par les autorités compétentes des États membres figurent dans le tableau ci</w:t>
      </w:r>
      <w:r>
        <w:rPr>
          <w:noProof/>
        </w:rPr>
        <w:noBreakHyphen/>
        <w:t>dessous. Ces chiffres tiennent compte de la période de collecte supplémentaire qui s'est étendue jusqu'au 1</w:t>
      </w:r>
      <w:r>
        <w:rPr>
          <w:noProof/>
          <w:vertAlign w:val="superscript"/>
        </w:rPr>
        <w:t xml:space="preserve">er </w:t>
      </w:r>
      <w:r>
        <w:rPr>
          <w:noProof/>
        </w:rPr>
        <w:t>novembre 2013.</w:t>
      </w:r>
    </w:p>
    <w:p w:rsidR="00CF422E" w:rsidRDefault="00CF422E">
      <w:pPr>
        <w:autoSpaceDE w:val="0"/>
        <w:autoSpaceDN w:val="0"/>
        <w:adjustRightInd w:val="0"/>
        <w:spacing w:after="0"/>
        <w:rPr>
          <w:noProof/>
          <w:szCs w:val="24"/>
        </w:rPr>
      </w:pPr>
    </w:p>
    <w:tbl>
      <w:tblPr>
        <w:tblStyle w:val="TableGrid"/>
        <w:tblW w:w="0" w:type="auto"/>
        <w:tblInd w:w="108" w:type="dxa"/>
        <w:tblLook w:val="04A0" w:firstRow="1" w:lastRow="0" w:firstColumn="1" w:lastColumn="0" w:noHBand="0" w:noVBand="1"/>
      </w:tblPr>
      <w:tblGrid>
        <w:gridCol w:w="1985"/>
        <w:gridCol w:w="2551"/>
        <w:gridCol w:w="4536"/>
      </w:tblGrid>
      <w:tr w:rsidR="00CF422E">
        <w:tc>
          <w:tcPr>
            <w:tcW w:w="1985" w:type="dxa"/>
            <w:vAlign w:val="center"/>
          </w:tcPr>
          <w:p w:rsidR="00CF422E" w:rsidRDefault="00584664">
            <w:pPr>
              <w:autoSpaceDE w:val="0"/>
              <w:autoSpaceDN w:val="0"/>
              <w:adjustRightInd w:val="0"/>
              <w:spacing w:before="120" w:after="120"/>
              <w:rPr>
                <w:noProof/>
                <w:szCs w:val="24"/>
              </w:rPr>
            </w:pPr>
            <w:r>
              <w:rPr>
                <w:noProof/>
              </w:rPr>
              <w:t>État membre</w:t>
            </w:r>
          </w:p>
        </w:tc>
        <w:tc>
          <w:tcPr>
            <w:tcW w:w="2551" w:type="dxa"/>
            <w:vAlign w:val="center"/>
          </w:tcPr>
          <w:p w:rsidR="00CF422E" w:rsidRDefault="00584664">
            <w:pPr>
              <w:autoSpaceDE w:val="0"/>
              <w:autoSpaceDN w:val="0"/>
              <w:adjustRightInd w:val="0"/>
              <w:spacing w:before="120" w:after="120"/>
              <w:rPr>
                <w:noProof/>
                <w:szCs w:val="24"/>
              </w:rPr>
            </w:pPr>
            <w:r>
              <w:rPr>
                <w:noProof/>
              </w:rPr>
              <w:t>Nombre de signataires</w:t>
            </w:r>
          </w:p>
        </w:tc>
        <w:tc>
          <w:tcPr>
            <w:tcW w:w="4536" w:type="dxa"/>
            <w:vAlign w:val="center"/>
          </w:tcPr>
          <w:p w:rsidR="00CF422E" w:rsidRDefault="00584664">
            <w:pPr>
              <w:autoSpaceDE w:val="0"/>
              <w:autoSpaceDN w:val="0"/>
              <w:adjustRightInd w:val="0"/>
              <w:spacing w:before="120" w:after="120"/>
              <w:rPr>
                <w:noProof/>
                <w:szCs w:val="24"/>
              </w:rPr>
            </w:pPr>
            <w:r>
              <w:rPr>
                <w:noProof/>
              </w:rPr>
              <w:t>Seuil à inclure dans le nombre minimal requis de sept États membres</w:t>
            </w:r>
          </w:p>
        </w:tc>
      </w:tr>
      <w:tr w:rsidR="00CF422E">
        <w:tc>
          <w:tcPr>
            <w:tcW w:w="1985" w:type="dxa"/>
          </w:tcPr>
          <w:p w:rsidR="00CF422E" w:rsidRDefault="00584664">
            <w:pPr>
              <w:autoSpaceDE w:val="0"/>
              <w:autoSpaceDN w:val="0"/>
              <w:adjustRightInd w:val="0"/>
              <w:spacing w:before="120" w:after="120"/>
              <w:rPr>
                <w:noProof/>
                <w:szCs w:val="24"/>
              </w:rPr>
            </w:pPr>
            <w:r>
              <w:rPr>
                <w:noProof/>
              </w:rPr>
              <w:lastRenderedPageBreak/>
              <w:t>Autriche</w:t>
            </w:r>
          </w:p>
        </w:tc>
        <w:tc>
          <w:tcPr>
            <w:tcW w:w="2551" w:type="dxa"/>
          </w:tcPr>
          <w:p w:rsidR="00CF422E" w:rsidRDefault="00584664">
            <w:pPr>
              <w:autoSpaceDE w:val="0"/>
              <w:autoSpaceDN w:val="0"/>
              <w:adjustRightInd w:val="0"/>
              <w:spacing w:before="120" w:after="120"/>
              <w:rPr>
                <w:noProof/>
                <w:szCs w:val="24"/>
              </w:rPr>
            </w:pPr>
            <w:r>
              <w:rPr>
                <w:noProof/>
              </w:rPr>
              <w:t>9 208</w:t>
            </w:r>
          </w:p>
        </w:tc>
        <w:tc>
          <w:tcPr>
            <w:tcW w:w="4536" w:type="dxa"/>
          </w:tcPr>
          <w:p w:rsidR="00CF422E" w:rsidRDefault="00584664">
            <w:pPr>
              <w:autoSpaceDE w:val="0"/>
              <w:autoSpaceDN w:val="0"/>
              <w:adjustRightInd w:val="0"/>
              <w:spacing w:before="120" w:after="120"/>
              <w:rPr>
                <w:noProof/>
                <w:szCs w:val="24"/>
              </w:rPr>
            </w:pPr>
            <w:r>
              <w:rPr>
                <w:noProof/>
              </w:rPr>
              <w:t>14 250</w:t>
            </w:r>
          </w:p>
        </w:tc>
      </w:tr>
      <w:tr w:rsidR="00CF422E">
        <w:tc>
          <w:tcPr>
            <w:tcW w:w="1985"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Bulgarie</w:t>
            </w:r>
          </w:p>
        </w:tc>
        <w:tc>
          <w:tcPr>
            <w:tcW w:w="2551"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12 598</w:t>
            </w:r>
          </w:p>
        </w:tc>
        <w:tc>
          <w:tcPr>
            <w:tcW w:w="4536"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13 500</w:t>
            </w:r>
          </w:p>
        </w:tc>
      </w:tr>
      <w:tr w:rsidR="00CF422E">
        <w:tc>
          <w:tcPr>
            <w:tcW w:w="1985"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Chypre</w:t>
            </w:r>
          </w:p>
        </w:tc>
        <w:tc>
          <w:tcPr>
            <w:tcW w:w="2551"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533</w:t>
            </w:r>
          </w:p>
        </w:tc>
        <w:tc>
          <w:tcPr>
            <w:tcW w:w="4536"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4 500</w:t>
            </w:r>
          </w:p>
        </w:tc>
      </w:tr>
      <w:tr w:rsidR="00CF422E">
        <w:tc>
          <w:tcPr>
            <w:tcW w:w="1985"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République tchèque</w:t>
            </w:r>
          </w:p>
        </w:tc>
        <w:tc>
          <w:tcPr>
            <w:tcW w:w="2551"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4 075</w:t>
            </w:r>
          </w:p>
        </w:tc>
        <w:tc>
          <w:tcPr>
            <w:tcW w:w="4536"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16 500</w:t>
            </w:r>
          </w:p>
        </w:tc>
      </w:tr>
      <w:tr w:rsidR="00CF422E">
        <w:tc>
          <w:tcPr>
            <w:tcW w:w="1985"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Danemark</w:t>
            </w:r>
          </w:p>
        </w:tc>
        <w:tc>
          <w:tcPr>
            <w:tcW w:w="2551"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4 610</w:t>
            </w:r>
          </w:p>
        </w:tc>
        <w:tc>
          <w:tcPr>
            <w:tcW w:w="4536"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9 750</w:t>
            </w:r>
          </w:p>
        </w:tc>
      </w:tr>
      <w:tr w:rsidR="00CF422E">
        <w:tc>
          <w:tcPr>
            <w:tcW w:w="1985"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Estonie</w:t>
            </w:r>
          </w:p>
        </w:tc>
        <w:tc>
          <w:tcPr>
            <w:tcW w:w="2551"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2 502</w:t>
            </w:r>
          </w:p>
        </w:tc>
        <w:tc>
          <w:tcPr>
            <w:tcW w:w="4536"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4 500</w:t>
            </w:r>
          </w:p>
        </w:tc>
      </w:tr>
      <w:tr w:rsidR="00CF422E">
        <w:tc>
          <w:tcPr>
            <w:tcW w:w="1985"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Finlande</w:t>
            </w:r>
          </w:p>
        </w:tc>
        <w:tc>
          <w:tcPr>
            <w:tcW w:w="2551"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12 495</w:t>
            </w:r>
          </w:p>
        </w:tc>
        <w:tc>
          <w:tcPr>
            <w:tcW w:w="4536"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9 750</w:t>
            </w:r>
          </w:p>
        </w:tc>
      </w:tr>
      <w:tr w:rsidR="00CF422E">
        <w:tc>
          <w:tcPr>
            <w:tcW w:w="1985"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France</w:t>
            </w:r>
          </w:p>
        </w:tc>
        <w:tc>
          <w:tcPr>
            <w:tcW w:w="2551"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61 818</w:t>
            </w:r>
          </w:p>
        </w:tc>
        <w:tc>
          <w:tcPr>
            <w:tcW w:w="4536"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55 500</w:t>
            </w:r>
          </w:p>
        </w:tc>
      </w:tr>
      <w:tr w:rsidR="00CF422E">
        <w:tc>
          <w:tcPr>
            <w:tcW w:w="1985"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Allemagne</w:t>
            </w:r>
          </w:p>
        </w:tc>
        <w:tc>
          <w:tcPr>
            <w:tcW w:w="2551"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164 304</w:t>
            </w:r>
          </w:p>
        </w:tc>
        <w:tc>
          <w:tcPr>
            <w:tcW w:w="4536"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74 250</w:t>
            </w:r>
          </w:p>
        </w:tc>
      </w:tr>
      <w:tr w:rsidR="00CF422E">
        <w:tc>
          <w:tcPr>
            <w:tcW w:w="1985"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Grèce</w:t>
            </w:r>
          </w:p>
        </w:tc>
        <w:tc>
          <w:tcPr>
            <w:tcW w:w="2551"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1 952</w:t>
            </w:r>
          </w:p>
        </w:tc>
        <w:tc>
          <w:tcPr>
            <w:tcW w:w="4536"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16 500</w:t>
            </w:r>
          </w:p>
        </w:tc>
      </w:tr>
      <w:tr w:rsidR="00CF422E">
        <w:tc>
          <w:tcPr>
            <w:tcW w:w="1985"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Hongrie</w:t>
            </w:r>
          </w:p>
        </w:tc>
        <w:tc>
          <w:tcPr>
            <w:tcW w:w="2551"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26 948</w:t>
            </w:r>
          </w:p>
        </w:tc>
        <w:tc>
          <w:tcPr>
            <w:tcW w:w="4536"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16 500</w:t>
            </w:r>
          </w:p>
        </w:tc>
      </w:tr>
      <w:tr w:rsidR="00CF422E">
        <w:tc>
          <w:tcPr>
            <w:tcW w:w="1985"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Irlande</w:t>
            </w:r>
          </w:p>
        </w:tc>
        <w:tc>
          <w:tcPr>
            <w:tcW w:w="2551"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3 333</w:t>
            </w:r>
          </w:p>
        </w:tc>
        <w:tc>
          <w:tcPr>
            <w:tcW w:w="4536"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9 000</w:t>
            </w:r>
          </w:p>
        </w:tc>
      </w:tr>
      <w:tr w:rsidR="00CF422E">
        <w:tc>
          <w:tcPr>
            <w:tcW w:w="1985"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Italie</w:t>
            </w:r>
          </w:p>
        </w:tc>
        <w:tc>
          <w:tcPr>
            <w:tcW w:w="2551"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690 325</w:t>
            </w:r>
          </w:p>
        </w:tc>
        <w:tc>
          <w:tcPr>
            <w:tcW w:w="4536"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54 750</w:t>
            </w:r>
          </w:p>
        </w:tc>
      </w:tr>
      <w:tr w:rsidR="00CF422E">
        <w:tc>
          <w:tcPr>
            <w:tcW w:w="1985"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Lettonie</w:t>
            </w:r>
          </w:p>
        </w:tc>
        <w:tc>
          <w:tcPr>
            <w:tcW w:w="2551"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3 167</w:t>
            </w:r>
          </w:p>
        </w:tc>
        <w:tc>
          <w:tcPr>
            <w:tcW w:w="4536"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6 750</w:t>
            </w:r>
          </w:p>
        </w:tc>
      </w:tr>
      <w:tr w:rsidR="00CF422E">
        <w:tc>
          <w:tcPr>
            <w:tcW w:w="1985"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Lituanie</w:t>
            </w:r>
          </w:p>
        </w:tc>
        <w:tc>
          <w:tcPr>
            <w:tcW w:w="2551"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4 737</w:t>
            </w:r>
          </w:p>
        </w:tc>
        <w:tc>
          <w:tcPr>
            <w:tcW w:w="4536"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9 000</w:t>
            </w:r>
          </w:p>
        </w:tc>
      </w:tr>
      <w:tr w:rsidR="00CF422E">
        <w:tc>
          <w:tcPr>
            <w:tcW w:w="1985"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Luxembourg</w:t>
            </w:r>
          </w:p>
        </w:tc>
        <w:tc>
          <w:tcPr>
            <w:tcW w:w="2551"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1 291</w:t>
            </w:r>
          </w:p>
        </w:tc>
        <w:tc>
          <w:tcPr>
            <w:tcW w:w="4536"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4 500</w:t>
            </w:r>
          </w:p>
        </w:tc>
      </w:tr>
      <w:tr w:rsidR="00CF422E">
        <w:tc>
          <w:tcPr>
            <w:tcW w:w="1985"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Malte</w:t>
            </w:r>
          </w:p>
        </w:tc>
        <w:tc>
          <w:tcPr>
            <w:tcW w:w="2551"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1 662</w:t>
            </w:r>
          </w:p>
        </w:tc>
        <w:tc>
          <w:tcPr>
            <w:tcW w:w="4536"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4 500</w:t>
            </w:r>
          </w:p>
        </w:tc>
      </w:tr>
      <w:tr w:rsidR="00CF422E">
        <w:tc>
          <w:tcPr>
            <w:tcW w:w="1985"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Pays-Bas</w:t>
            </w:r>
          </w:p>
        </w:tc>
        <w:tc>
          <w:tcPr>
            <w:tcW w:w="2551"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9 909</w:t>
            </w:r>
          </w:p>
        </w:tc>
        <w:tc>
          <w:tcPr>
            <w:tcW w:w="4536"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19 500</w:t>
            </w:r>
          </w:p>
        </w:tc>
      </w:tr>
      <w:tr w:rsidR="00CF422E">
        <w:tc>
          <w:tcPr>
            <w:tcW w:w="1985"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Pologne</w:t>
            </w:r>
          </w:p>
        </w:tc>
        <w:tc>
          <w:tcPr>
            <w:tcW w:w="2551"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38 824</w:t>
            </w:r>
          </w:p>
        </w:tc>
        <w:tc>
          <w:tcPr>
            <w:tcW w:w="4536"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38 250</w:t>
            </w:r>
          </w:p>
        </w:tc>
      </w:tr>
      <w:tr w:rsidR="00CF422E">
        <w:tc>
          <w:tcPr>
            <w:tcW w:w="1985"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Portugal</w:t>
            </w:r>
          </w:p>
        </w:tc>
        <w:tc>
          <w:tcPr>
            <w:tcW w:w="2551"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11 305</w:t>
            </w:r>
          </w:p>
        </w:tc>
        <w:tc>
          <w:tcPr>
            <w:tcW w:w="4536"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16 500</w:t>
            </w:r>
          </w:p>
        </w:tc>
      </w:tr>
      <w:tr w:rsidR="00CF422E">
        <w:tc>
          <w:tcPr>
            <w:tcW w:w="1985"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Roumanie</w:t>
            </w:r>
          </w:p>
        </w:tc>
        <w:tc>
          <w:tcPr>
            <w:tcW w:w="2551"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1 645</w:t>
            </w:r>
          </w:p>
        </w:tc>
        <w:tc>
          <w:tcPr>
            <w:tcW w:w="4536"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 xml:space="preserve">24 750 </w:t>
            </w:r>
          </w:p>
        </w:tc>
      </w:tr>
      <w:tr w:rsidR="00CF422E">
        <w:tc>
          <w:tcPr>
            <w:tcW w:w="1985"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Slovaquie</w:t>
            </w:r>
          </w:p>
        </w:tc>
        <w:tc>
          <w:tcPr>
            <w:tcW w:w="2551"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12 055</w:t>
            </w:r>
          </w:p>
        </w:tc>
        <w:tc>
          <w:tcPr>
            <w:tcW w:w="4536"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9 750</w:t>
            </w:r>
          </w:p>
        </w:tc>
      </w:tr>
      <w:tr w:rsidR="00CF422E">
        <w:tc>
          <w:tcPr>
            <w:tcW w:w="1985"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Slovénie</w:t>
            </w:r>
          </w:p>
        </w:tc>
        <w:tc>
          <w:tcPr>
            <w:tcW w:w="2551"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19 507</w:t>
            </w:r>
          </w:p>
        </w:tc>
        <w:tc>
          <w:tcPr>
            <w:tcW w:w="4536"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6 000</w:t>
            </w:r>
          </w:p>
        </w:tc>
      </w:tr>
      <w:tr w:rsidR="00CF422E">
        <w:tc>
          <w:tcPr>
            <w:tcW w:w="1985"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Espagne</w:t>
            </w:r>
          </w:p>
        </w:tc>
        <w:tc>
          <w:tcPr>
            <w:tcW w:w="2551"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47 194</w:t>
            </w:r>
          </w:p>
        </w:tc>
        <w:tc>
          <w:tcPr>
            <w:tcW w:w="4536"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40 500</w:t>
            </w:r>
          </w:p>
        </w:tc>
      </w:tr>
      <w:tr w:rsidR="00CF422E">
        <w:tc>
          <w:tcPr>
            <w:tcW w:w="1985"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Suède</w:t>
            </w:r>
          </w:p>
        </w:tc>
        <w:tc>
          <w:tcPr>
            <w:tcW w:w="2551"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7 661</w:t>
            </w:r>
          </w:p>
        </w:tc>
        <w:tc>
          <w:tcPr>
            <w:tcW w:w="4536"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15 000</w:t>
            </w:r>
          </w:p>
        </w:tc>
      </w:tr>
      <w:tr w:rsidR="00CF422E">
        <w:tc>
          <w:tcPr>
            <w:tcW w:w="1985"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lastRenderedPageBreak/>
              <w:t>Royaume-Uni</w:t>
            </w:r>
          </w:p>
        </w:tc>
        <w:tc>
          <w:tcPr>
            <w:tcW w:w="2551"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19 472</w:t>
            </w:r>
          </w:p>
        </w:tc>
        <w:tc>
          <w:tcPr>
            <w:tcW w:w="4536" w:type="dxa"/>
          </w:tcPr>
          <w:p w:rsidR="00CF422E" w:rsidRPr="00CC16C9" w:rsidRDefault="00584664">
            <w:pPr>
              <w:autoSpaceDE w:val="0"/>
              <w:autoSpaceDN w:val="0"/>
              <w:adjustRightInd w:val="0"/>
              <w:spacing w:before="120" w:after="120"/>
              <w:rPr>
                <w:noProof/>
                <w:sz w:val="22"/>
                <w:szCs w:val="22"/>
              </w:rPr>
            </w:pPr>
            <w:r w:rsidRPr="00CC16C9">
              <w:rPr>
                <w:noProof/>
                <w:sz w:val="22"/>
                <w:szCs w:val="22"/>
              </w:rPr>
              <w:t>54 750</w:t>
            </w:r>
          </w:p>
        </w:tc>
      </w:tr>
      <w:tr w:rsidR="00CF422E">
        <w:tc>
          <w:tcPr>
            <w:tcW w:w="1985" w:type="dxa"/>
          </w:tcPr>
          <w:p w:rsidR="00CF422E" w:rsidRPr="00CC16C9" w:rsidRDefault="00584664">
            <w:pPr>
              <w:autoSpaceDE w:val="0"/>
              <w:autoSpaceDN w:val="0"/>
              <w:adjustRightInd w:val="0"/>
              <w:spacing w:before="120" w:after="120"/>
              <w:rPr>
                <w:b/>
                <w:noProof/>
                <w:sz w:val="22"/>
                <w:szCs w:val="22"/>
              </w:rPr>
            </w:pPr>
            <w:r w:rsidRPr="00CC16C9">
              <w:rPr>
                <w:b/>
                <w:noProof/>
                <w:sz w:val="22"/>
                <w:szCs w:val="22"/>
              </w:rPr>
              <w:t>Total</w:t>
            </w:r>
          </w:p>
        </w:tc>
        <w:tc>
          <w:tcPr>
            <w:tcW w:w="2551" w:type="dxa"/>
          </w:tcPr>
          <w:p w:rsidR="00CF422E" w:rsidRPr="00CC16C9" w:rsidRDefault="00584664">
            <w:pPr>
              <w:autoSpaceDE w:val="0"/>
              <w:autoSpaceDN w:val="0"/>
              <w:adjustRightInd w:val="0"/>
              <w:spacing w:before="120" w:after="120"/>
              <w:rPr>
                <w:b/>
                <w:noProof/>
                <w:sz w:val="22"/>
                <w:szCs w:val="22"/>
              </w:rPr>
            </w:pPr>
            <w:r w:rsidRPr="00CC16C9">
              <w:rPr>
                <w:b/>
                <w:noProof/>
                <w:sz w:val="22"/>
                <w:szCs w:val="22"/>
              </w:rPr>
              <w:t>1 173 130</w:t>
            </w:r>
          </w:p>
        </w:tc>
        <w:tc>
          <w:tcPr>
            <w:tcW w:w="4536" w:type="dxa"/>
          </w:tcPr>
          <w:p w:rsidR="00CF422E" w:rsidRPr="00CC16C9" w:rsidRDefault="00584664">
            <w:pPr>
              <w:autoSpaceDE w:val="0"/>
              <w:autoSpaceDN w:val="0"/>
              <w:adjustRightInd w:val="0"/>
              <w:spacing w:before="120" w:after="120"/>
              <w:rPr>
                <w:b/>
                <w:noProof/>
                <w:sz w:val="22"/>
                <w:szCs w:val="22"/>
              </w:rPr>
            </w:pPr>
            <w:r w:rsidRPr="00CC16C9">
              <w:rPr>
                <w:b/>
                <w:noProof/>
                <w:sz w:val="22"/>
                <w:szCs w:val="22"/>
              </w:rPr>
              <w:t>Seuil atteint dans 9 États membres</w:t>
            </w:r>
          </w:p>
        </w:tc>
      </w:tr>
    </w:tbl>
    <w:p w:rsidR="00CF422E" w:rsidRDefault="00CF422E">
      <w:pPr>
        <w:autoSpaceDE w:val="0"/>
        <w:autoSpaceDN w:val="0"/>
        <w:adjustRightInd w:val="0"/>
        <w:spacing w:after="0"/>
        <w:rPr>
          <w:noProof/>
          <w:szCs w:val="24"/>
        </w:rPr>
      </w:pPr>
    </w:p>
    <w:p w:rsidR="00CC16C9" w:rsidRDefault="00CC16C9">
      <w:pPr>
        <w:autoSpaceDE w:val="0"/>
        <w:autoSpaceDN w:val="0"/>
        <w:adjustRightInd w:val="0"/>
        <w:spacing w:after="0"/>
        <w:rPr>
          <w:noProof/>
        </w:rPr>
      </w:pPr>
    </w:p>
    <w:p w:rsidR="00CC16C9" w:rsidRDefault="00CC16C9">
      <w:pPr>
        <w:autoSpaceDE w:val="0"/>
        <w:autoSpaceDN w:val="0"/>
        <w:adjustRightInd w:val="0"/>
        <w:spacing w:after="0"/>
        <w:rPr>
          <w:noProof/>
        </w:rPr>
      </w:pPr>
    </w:p>
    <w:p w:rsidR="00CF422E" w:rsidRDefault="00584664">
      <w:pPr>
        <w:autoSpaceDE w:val="0"/>
        <w:autoSpaceDN w:val="0"/>
        <w:adjustRightInd w:val="0"/>
        <w:spacing w:after="0"/>
        <w:rPr>
          <w:noProof/>
          <w:szCs w:val="24"/>
        </w:rPr>
      </w:pPr>
      <w:bookmarkStart w:id="1" w:name="_GoBack"/>
      <w:bookmarkEnd w:id="1"/>
      <w:r>
        <w:rPr>
          <w:noProof/>
        </w:rPr>
        <w:t>Conformément à l'article 10 du règlement, la Commission:</w:t>
      </w:r>
    </w:p>
    <w:p w:rsidR="00CF422E" w:rsidRDefault="00CF422E">
      <w:pPr>
        <w:autoSpaceDE w:val="0"/>
        <w:autoSpaceDN w:val="0"/>
        <w:adjustRightInd w:val="0"/>
        <w:spacing w:after="0"/>
        <w:rPr>
          <w:noProof/>
          <w:szCs w:val="24"/>
        </w:rPr>
      </w:pPr>
    </w:p>
    <w:p w:rsidR="00CF422E" w:rsidRDefault="00584664">
      <w:pPr>
        <w:autoSpaceDE w:val="0"/>
        <w:autoSpaceDN w:val="0"/>
        <w:adjustRightInd w:val="0"/>
        <w:spacing w:after="0"/>
        <w:rPr>
          <w:noProof/>
          <w:szCs w:val="24"/>
        </w:rPr>
      </w:pPr>
      <w:r>
        <w:rPr>
          <w:noProof/>
        </w:rPr>
        <w:t xml:space="preserve">- a publié les informations correspondantes le 3 mars 2015, dans le registre à l’adresse suivante: </w:t>
      </w:r>
    </w:p>
    <w:p w:rsidR="00CF422E" w:rsidRDefault="00E47BDC">
      <w:pPr>
        <w:autoSpaceDE w:val="0"/>
        <w:autoSpaceDN w:val="0"/>
        <w:adjustRightInd w:val="0"/>
        <w:spacing w:after="0"/>
        <w:rPr>
          <w:noProof/>
          <w:szCs w:val="24"/>
          <w:u w:val="single"/>
        </w:rPr>
      </w:pPr>
      <w:hyperlink r:id="rId9">
        <w:r w:rsidR="00584664">
          <w:rPr>
            <w:rStyle w:val="Hyperlink"/>
            <w:noProof/>
            <w:color w:val="auto"/>
          </w:rPr>
          <w:t>http://ec.europa.eu/citizens-initiative/public/initiatives/finalised/details/2012/000007</w:t>
        </w:r>
      </w:hyperlink>
      <w:r w:rsidR="00584664">
        <w:rPr>
          <w:noProof/>
          <w:u w:val="single"/>
        </w:rPr>
        <w:t xml:space="preserve"> </w:t>
      </w:r>
    </w:p>
    <w:p w:rsidR="00CF422E" w:rsidRDefault="00CF422E">
      <w:pPr>
        <w:autoSpaceDE w:val="0"/>
        <w:autoSpaceDN w:val="0"/>
        <w:adjustRightInd w:val="0"/>
        <w:spacing w:after="0"/>
        <w:rPr>
          <w:noProof/>
          <w:szCs w:val="24"/>
          <w:u w:val="single"/>
        </w:rPr>
      </w:pPr>
    </w:p>
    <w:p w:rsidR="00CF422E" w:rsidRDefault="00584664">
      <w:pPr>
        <w:autoSpaceDE w:val="0"/>
        <w:autoSpaceDN w:val="0"/>
        <w:adjustRightInd w:val="0"/>
        <w:spacing w:after="0"/>
        <w:rPr>
          <w:noProof/>
          <w:szCs w:val="24"/>
        </w:rPr>
      </w:pPr>
      <w:r>
        <w:rPr>
          <w:noProof/>
        </w:rPr>
        <w:t>- a reçu les organisateurs le 11 mai 2015.</w:t>
      </w:r>
    </w:p>
    <w:p w:rsidR="00CF422E" w:rsidRDefault="00CF422E">
      <w:pPr>
        <w:autoSpaceDE w:val="0"/>
        <w:autoSpaceDN w:val="0"/>
        <w:adjustRightInd w:val="0"/>
        <w:spacing w:after="0"/>
        <w:rPr>
          <w:noProof/>
          <w:szCs w:val="24"/>
        </w:rPr>
      </w:pPr>
    </w:p>
    <w:p w:rsidR="00CF422E" w:rsidRDefault="00584664">
      <w:pPr>
        <w:autoSpaceDE w:val="0"/>
        <w:autoSpaceDN w:val="0"/>
        <w:adjustRightInd w:val="0"/>
        <w:spacing w:after="0"/>
        <w:rPr>
          <w:noProof/>
          <w:szCs w:val="24"/>
        </w:rPr>
      </w:pPr>
      <w:r>
        <w:rPr>
          <w:noProof/>
        </w:rPr>
        <w:t>Lors de la rencontre à la Commission, celle-ci était représentée par son vice-président, M. Katainen, et par des hauts fonctionnaires des différents services concernés.</w:t>
      </w:r>
    </w:p>
    <w:p w:rsidR="00CF422E" w:rsidRDefault="00CF422E">
      <w:pPr>
        <w:autoSpaceDE w:val="0"/>
        <w:autoSpaceDN w:val="0"/>
        <w:adjustRightInd w:val="0"/>
        <w:spacing w:after="0"/>
        <w:rPr>
          <w:noProof/>
          <w:szCs w:val="24"/>
        </w:rPr>
      </w:pPr>
    </w:p>
    <w:p w:rsidR="00CF422E" w:rsidRDefault="00584664">
      <w:pPr>
        <w:autoSpaceDE w:val="0"/>
        <w:autoSpaceDN w:val="0"/>
        <w:adjustRightInd w:val="0"/>
        <w:spacing w:after="0"/>
        <w:rPr>
          <w:noProof/>
          <w:szCs w:val="24"/>
        </w:rPr>
      </w:pPr>
      <w:r>
        <w:rPr>
          <w:noProof/>
        </w:rPr>
        <w:t xml:space="preserve">Conformément à l’article 11 du règlement, les organisateurs se sont vu accorder la possibilité de présenter leur initiative lors d'une audition publique au Parlement européen le même jour, dans l’après-midi. À cette occasion, et pour la première fois, des experts externes ont également été invités à prendre la parole. La Commission était représentée par son vice-président, M. Katainen.  </w:t>
      </w:r>
    </w:p>
    <w:p w:rsidR="00CF422E" w:rsidRDefault="00CF422E">
      <w:pPr>
        <w:rPr>
          <w:noProof/>
        </w:rPr>
      </w:pPr>
    </w:p>
    <w:sectPr w:rsidR="00CF422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22E" w:rsidRDefault="00584664">
      <w:pPr>
        <w:spacing w:after="0"/>
      </w:pPr>
      <w:r>
        <w:separator/>
      </w:r>
    </w:p>
  </w:endnote>
  <w:endnote w:type="continuationSeparator" w:id="0">
    <w:p w:rsidR="00CF422E" w:rsidRDefault="005846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6C9" w:rsidRPr="00CC16C9" w:rsidRDefault="00CC16C9" w:rsidP="00CC16C9">
    <w:pPr>
      <w:pStyle w:val="FooterCoverPage"/>
      <w:rPr>
        <w:rFonts w:ascii="Arial" w:hAnsi="Arial" w:cs="Arial"/>
        <w:b/>
        <w:sz w:val="48"/>
      </w:rPr>
    </w:pPr>
    <w:r w:rsidRPr="00CC16C9">
      <w:rPr>
        <w:rFonts w:ascii="Arial" w:hAnsi="Arial" w:cs="Arial"/>
        <w:b/>
        <w:sz w:val="48"/>
      </w:rPr>
      <w:t>FR</w:t>
    </w:r>
    <w:r w:rsidRPr="00CC16C9">
      <w:rPr>
        <w:rFonts w:ascii="Arial" w:hAnsi="Arial" w:cs="Arial"/>
        <w:b/>
        <w:sz w:val="48"/>
      </w:rPr>
      <w:tab/>
    </w:r>
    <w:r w:rsidRPr="00CC16C9">
      <w:rPr>
        <w:rFonts w:ascii="Arial" w:hAnsi="Arial" w:cs="Arial"/>
        <w:b/>
        <w:sz w:val="48"/>
      </w:rPr>
      <w:tab/>
    </w:r>
    <w:fldSimple w:instr=" DOCVARIABLE &quot;LW_Confidence&quot; \* MERGEFORMAT ">
      <w:r>
        <w:t xml:space="preserve"> </w:t>
      </w:r>
    </w:fldSimple>
    <w:r w:rsidRPr="00CC16C9">
      <w:tab/>
    </w:r>
    <w:r w:rsidRPr="00CC16C9">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22E" w:rsidRDefault="00CF42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926822"/>
      <w:docPartObj>
        <w:docPartGallery w:val="Page Numbers (Bottom of Page)"/>
        <w:docPartUnique/>
      </w:docPartObj>
    </w:sdtPr>
    <w:sdtEndPr>
      <w:rPr>
        <w:noProof/>
      </w:rPr>
    </w:sdtEndPr>
    <w:sdtContent>
      <w:p w:rsidR="00CF422E" w:rsidRDefault="00584664">
        <w:pPr>
          <w:pStyle w:val="Footer"/>
          <w:jc w:val="center"/>
        </w:pPr>
        <w:r>
          <w:fldChar w:fldCharType="begin"/>
        </w:r>
        <w:r>
          <w:instrText xml:space="preserve"> PAGE   \* MERGEFORMAT </w:instrText>
        </w:r>
        <w:r>
          <w:fldChar w:fldCharType="separate"/>
        </w:r>
        <w:r w:rsidR="00E47BDC">
          <w:rPr>
            <w:noProof/>
          </w:rPr>
          <w:t>3</w:t>
        </w:r>
        <w:r>
          <w:rPr>
            <w:noProof/>
          </w:rPr>
          <w:fldChar w:fldCharType="end"/>
        </w:r>
      </w:p>
    </w:sdtContent>
  </w:sdt>
  <w:p w:rsidR="00CF422E" w:rsidRDefault="00CF422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22E" w:rsidRDefault="00CF42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22E" w:rsidRDefault="00584664">
      <w:pPr>
        <w:spacing w:after="0"/>
      </w:pPr>
      <w:r>
        <w:separator/>
      </w:r>
    </w:p>
  </w:footnote>
  <w:footnote w:type="continuationSeparator" w:id="0">
    <w:p w:rsidR="00CF422E" w:rsidRDefault="00584664">
      <w:pPr>
        <w:spacing w:after="0"/>
      </w:pPr>
      <w:r>
        <w:continuationSeparator/>
      </w:r>
    </w:p>
  </w:footnote>
  <w:footnote w:id="1">
    <w:p w:rsidR="00CF422E" w:rsidRDefault="00584664">
      <w:pPr>
        <w:pStyle w:val="FootnoteText"/>
      </w:pPr>
      <w:r>
        <w:rPr>
          <w:rStyle w:val="FootnoteReference"/>
        </w:rPr>
        <w:footnoteRef/>
      </w:r>
      <w:r>
        <w:t xml:space="preserve"> Communiqué de presse du 18.7.2012 (en anglais): </w:t>
      </w:r>
      <w:hyperlink r:id="rId1">
        <w:r>
          <w:rPr>
            <w:rStyle w:val="Hyperlink"/>
          </w:rPr>
          <w:t>http://ec.europa.eu/archives/commission_2010-2014/sefcovic/headlines/press-releases/2012/07/2012_07_18_eci_en.htm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22E" w:rsidRDefault="00CF42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22E" w:rsidRDefault="00CF42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22E" w:rsidRDefault="00CF42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1"/>
    <w:docVar w:name="LW_ANNEX_NBR_LAST" w:val="1"/>
    <w:docVar w:name="LW_CONFIDENCE" w:val=" "/>
    <w:docVar w:name="LW_CONST_RESTREINT_UE" w:val="RESTREINT UE/EU RESTRICTED"/>
    <w:docVar w:name="LW_CORRIGENDUM" w:val="&lt;UNUSED&gt;"/>
    <w:docVar w:name="LW_COVERPAGE_GUID" w:val="F8F4A3FB8EC64D9EA4FEB71827BD96C6"/>
    <w:docVar w:name="LW_CROSSREFERENCE" w:val="&lt;UNUSED&gt;"/>
    <w:docVar w:name="LW_DocType" w:val="NORMAL"/>
    <w:docVar w:name="LW_EMISSION" w:val="3.6.2015"/>
    <w:docVar w:name="LW_EMISSION_ISODATE" w:val="2015-06-03"/>
    <w:docVar w:name="LW_EMISSION_LOCATION" w:val="BRX"/>
    <w:docVar w:name="LW_EMISSION_PREFIX" w:val="Bruxelles, le "/>
    <w:docVar w:name="LW_EMISSION_SUFFIX" w:val=" "/>
    <w:docVar w:name="LW_ID_DOCTYPE_NONLW" w:val="CP-038"/>
    <w:docVar w:name="LW_LANGUE" w:val="FR"/>
    <w:docVar w:name="LW_MARKING" w:val="&lt;UNUSED&gt;"/>
    <w:docVar w:name="LW_NOM.INST" w:val="COMMISSION EUROPÉENNE"/>
    <w:docVar w:name="LW_NOM.INST_JOINTDOC" w:val="&lt;EMPTY&gt;"/>
    <w:docVar w:name="LW_OBJETACTEPRINCIPAL.CP" w:val="sur l'initiative citoyenne européenne «Stop vivisection»"/>
    <w:docVar w:name="LW_PART_NBR" w:val="1"/>
    <w:docVar w:name="LW_PART_NBR_TOTAL" w:val="1"/>
    <w:docVar w:name="LW_REF.INST.NEW" w:val="C"/>
    <w:docVar w:name="LW_REF.INST.NEW_ADOPTED" w:val="&lt;EMPTY&gt;"/>
    <w:docVar w:name="LW_REF.INST.NEW_TEXT" w:val="(2015) 3773 final"/>
    <w:docVar w:name="LW_REF.INTERNE" w:val="&lt;UNUSED&gt;"/>
    <w:docVar w:name="LW_SUPERTITRE" w:val="&lt;UNUSED&gt;"/>
    <w:docVar w:name="LW_TITRE.OBJ.CP" w:val="&lt;UNUSED&gt;"/>
    <w:docVar w:name="LW_TYPE.DOC.CP" w:val="ANNEXE_x000b_"/>
    <w:docVar w:name="LW_TYPEACTEPRINCIPAL.CP" w:val="COMMUNICATION DE LA COMMISSION"/>
  </w:docVars>
  <w:rsids>
    <w:rsidRoot w:val="00CF422E"/>
    <w:rsid w:val="00584664"/>
    <w:rsid w:val="00CC16C9"/>
    <w:rsid w:val="00CF422E"/>
    <w:rsid w:val="00D0219B"/>
    <w:rsid w:val="00E47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rFonts w:ascii="Times New Roman" w:hAnsi="Times New Roman" w:cs="Times New Roman" w:hint="default"/>
      <w:color w:val="0000FF"/>
      <w:u w:val="single"/>
    </w:rPr>
  </w:style>
  <w:style w:type="paragraph" w:styleId="FootnoteText">
    <w:name w:val="footnote text"/>
    <w:basedOn w:val="Normal"/>
    <w:link w:val="FootnoteTextChar"/>
    <w:uiPriority w:val="99"/>
    <w:unhideWhenUsed/>
    <w:pPr>
      <w:ind w:left="357" w:hanging="357"/>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uiPriority w:val="99"/>
    <w:unhideWhenUsed/>
    <w:rPr>
      <w:vertAlign w:val="superscript"/>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rFonts w:ascii="Times New Roman" w:hAnsi="Times New Roman" w:cs="Times New Roman" w:hint="default"/>
      <w:color w:val="0000FF"/>
      <w:u w:val="single"/>
    </w:rPr>
  </w:style>
  <w:style w:type="paragraph" w:styleId="FootnoteText">
    <w:name w:val="footnote text"/>
    <w:basedOn w:val="Normal"/>
    <w:link w:val="FootnoteTextChar"/>
    <w:uiPriority w:val="99"/>
    <w:unhideWhenUsed/>
    <w:pPr>
      <w:ind w:left="357" w:hanging="357"/>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uiPriority w:val="99"/>
    <w:unhideWhenUsed/>
    <w:rPr>
      <w:vertAlign w:val="superscript"/>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c.europa.eu/citizens-initiative/public/initiatives/finalised/details/2012/000007"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archives/commission_2010-2014/sefcovic/headlines/press-releases/2012/07/2012_07_18_eci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669</Words>
  <Characters>3519</Characters>
  <Application>Microsoft Office Word</Application>
  <DocSecurity>0</DocSecurity>
  <Lines>153</Lines>
  <Paragraphs>119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SCHUTTE Katrin (ENV)</dc:creator>
  <cp:lastModifiedBy>Stefanie Heilemann</cp:lastModifiedBy>
  <cp:revision>2</cp:revision>
  <cp:lastPrinted>2015-06-02T12:02:00Z</cp:lastPrinted>
  <dcterms:created xsi:type="dcterms:W3CDTF">2015-06-02T12:31:00Z</dcterms:created>
  <dcterms:modified xsi:type="dcterms:W3CDTF">2015-06-02T12:31:00Z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