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368" w:rsidRDefault="006B55A0" w:rsidP="006B55A0">
      <w:pPr>
        <w:pStyle w:val="Pagedecouverture"/>
        <w:rPr>
          <w:noProof/>
          <w:lang w:eastAsia="en-GB"/>
        </w:rPr>
      </w:pPr>
      <w:bookmarkStart w:id="0" w:name="LW_BM_COVERPAGE"/>
      <w:bookmarkStart w:id="1" w:name="_GoBack"/>
      <w:bookmarkEnd w:id="1"/>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0C855F6B80E54987972F2A431FCC47E5" style="width:450.7pt;height:293.6pt">
            <v:imagedata r:id="rId9" o:title=""/>
          </v:shape>
        </w:pict>
      </w:r>
    </w:p>
    <w:bookmarkEnd w:id="0"/>
    <w:p w:rsidR="00450368" w:rsidRDefault="00450368">
      <w:pPr>
        <w:rPr>
          <w:noProof/>
          <w:lang w:eastAsia="en-GB"/>
        </w:rPr>
        <w:sectPr w:rsidR="00450368" w:rsidSect="006B55A0">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450368" w:rsidRDefault="006B55A0">
      <w:pPr>
        <w:pStyle w:val="Heading1"/>
        <w:rPr>
          <w:rFonts w:ascii="Times New Roman" w:hAnsi="Times New Roman" w:cs="Times New Roman"/>
          <w:smallCaps/>
          <w:noProof/>
          <w:color w:val="auto"/>
          <w:sz w:val="22"/>
          <w:szCs w:val="22"/>
        </w:rPr>
      </w:pPr>
      <w:r>
        <w:rPr>
          <w:rFonts w:ascii="Times New Roman" w:hAnsi="Times New Roman"/>
          <w:smallCaps/>
          <w:noProof/>
          <w:color w:val="auto"/>
          <w:sz w:val="22"/>
        </w:rPr>
        <w:lastRenderedPageBreak/>
        <w:t>1. ВЪВЕДЕНИЕ</w:t>
      </w:r>
    </w:p>
    <w:p w:rsidR="00450368" w:rsidRDefault="00450368">
      <w:pPr>
        <w:autoSpaceDE w:val="0"/>
        <w:autoSpaceDN w:val="0"/>
        <w:adjustRightInd w:val="0"/>
        <w:spacing w:after="0"/>
        <w:jc w:val="left"/>
        <w:rPr>
          <w:b/>
          <w:bCs/>
          <w:noProof/>
          <w:sz w:val="22"/>
          <w:szCs w:val="22"/>
        </w:rPr>
      </w:pPr>
    </w:p>
    <w:p w:rsidR="00450368" w:rsidRPr="006B55A0" w:rsidRDefault="006B55A0">
      <w:pPr>
        <w:pStyle w:val="Default"/>
        <w:jc w:val="both"/>
        <w:rPr>
          <w:rFonts w:ascii="Times New Roman" w:hAnsi="Times New Roman" w:cs="Times New Roman"/>
          <w:noProof/>
          <w:color w:val="auto"/>
          <w:sz w:val="22"/>
          <w:szCs w:val="22"/>
          <w:lang w:val="ru-RU"/>
        </w:rPr>
      </w:pPr>
      <w:r>
        <w:rPr>
          <w:rFonts w:ascii="Times New Roman" w:hAnsi="Times New Roman"/>
          <w:b/>
          <w:noProof/>
          <w:sz w:val="22"/>
          <w:lang w:val="ru-RU"/>
        </w:rPr>
        <w:t>„Спрете вивисекцията“</w:t>
      </w:r>
      <w:r>
        <w:rPr>
          <w:rFonts w:ascii="Times New Roman" w:hAnsi="Times New Roman"/>
          <w:noProof/>
          <w:sz w:val="22"/>
          <w:lang w:val="ru-RU"/>
        </w:rPr>
        <w:t xml:space="preserve"> е третата по ред европейска гражданска инициатива; тя е подадена в Европейската комисия на 3</w:t>
      </w:r>
      <w:r>
        <w:rPr>
          <w:rFonts w:ascii="Times New Roman" w:hAnsi="Times New Roman"/>
          <w:noProof/>
          <w:sz w:val="22"/>
        </w:rPr>
        <w:t> </w:t>
      </w:r>
      <w:r>
        <w:rPr>
          <w:rFonts w:ascii="Times New Roman" w:hAnsi="Times New Roman"/>
          <w:noProof/>
          <w:sz w:val="22"/>
          <w:lang w:val="ru-RU"/>
        </w:rPr>
        <w:t>март 2015</w:t>
      </w:r>
      <w:r>
        <w:rPr>
          <w:rFonts w:ascii="Times New Roman" w:hAnsi="Times New Roman"/>
          <w:noProof/>
          <w:sz w:val="22"/>
        </w:rPr>
        <w:t> </w:t>
      </w:r>
      <w:r>
        <w:rPr>
          <w:rFonts w:ascii="Times New Roman" w:hAnsi="Times New Roman"/>
          <w:noProof/>
          <w:sz w:val="22"/>
          <w:lang w:val="ru-RU"/>
        </w:rPr>
        <w:t>г. Подписана е от 1,17 милиона граждани.</w:t>
      </w:r>
      <w:r>
        <w:rPr>
          <w:rFonts w:ascii="Times New Roman" w:hAnsi="Times New Roman"/>
          <w:noProof/>
          <w:color w:val="auto"/>
          <w:sz w:val="22"/>
          <w:lang w:val="ru-RU"/>
        </w:rPr>
        <w:t xml:space="preserve"> </w:t>
      </w:r>
      <w:r w:rsidRPr="006B55A0">
        <w:rPr>
          <w:rFonts w:ascii="Times New Roman" w:hAnsi="Times New Roman"/>
          <w:noProof/>
          <w:color w:val="auto"/>
          <w:sz w:val="22"/>
          <w:lang w:val="ru-RU"/>
        </w:rPr>
        <w:t>С инициативата се отправя искане към Европейската комисия</w:t>
      </w:r>
    </w:p>
    <w:p w:rsidR="00450368" w:rsidRPr="006B55A0" w:rsidRDefault="00450368">
      <w:pPr>
        <w:pStyle w:val="Default"/>
        <w:jc w:val="both"/>
        <w:rPr>
          <w:rFonts w:ascii="Times New Roman" w:hAnsi="Times New Roman" w:cs="Times New Roman"/>
          <w:noProof/>
          <w:color w:val="auto"/>
          <w:sz w:val="22"/>
          <w:szCs w:val="22"/>
          <w:lang w:val="ru-RU"/>
        </w:rPr>
      </w:pPr>
    </w:p>
    <w:p w:rsidR="00450368" w:rsidRDefault="006B55A0">
      <w:pPr>
        <w:pStyle w:val="Default"/>
        <w:ind w:left="284" w:right="425"/>
        <w:jc w:val="both"/>
        <w:rPr>
          <w:rFonts w:ascii="Times New Roman" w:hAnsi="Times New Roman" w:cs="Times New Roman"/>
          <w:noProof/>
          <w:color w:val="auto"/>
          <w:sz w:val="22"/>
          <w:szCs w:val="22"/>
          <w:lang w:val="ru-RU"/>
        </w:rPr>
      </w:pPr>
      <w:r>
        <w:rPr>
          <w:rFonts w:ascii="Times New Roman" w:hAnsi="Times New Roman" w:cs="Times New Roman"/>
          <w:i/>
          <w:noProof/>
          <w:sz w:val="22"/>
          <w:szCs w:val="22"/>
          <w:lang w:val="ru-RU"/>
        </w:rPr>
        <w:t>да отмени Директива</w:t>
      </w:r>
      <w:r>
        <w:rPr>
          <w:rFonts w:ascii="Times New Roman" w:hAnsi="Times New Roman" w:cs="Times New Roman"/>
          <w:i/>
          <w:noProof/>
          <w:sz w:val="22"/>
          <w:szCs w:val="22"/>
        </w:rPr>
        <w:t> </w:t>
      </w:r>
      <w:r>
        <w:rPr>
          <w:rFonts w:ascii="Times New Roman" w:hAnsi="Times New Roman" w:cs="Times New Roman"/>
          <w:i/>
          <w:noProof/>
          <w:sz w:val="22"/>
          <w:szCs w:val="22"/>
          <w:lang w:val="ru-RU"/>
        </w:rPr>
        <w:t>2010/63/ЕС</w:t>
      </w:r>
      <w:r>
        <w:rPr>
          <w:rStyle w:val="FootnoteReference"/>
          <w:rFonts w:ascii="Times New Roman" w:hAnsi="Times New Roman" w:cs="Times New Roman"/>
          <w:i/>
          <w:noProof/>
          <w:color w:val="auto"/>
          <w:sz w:val="22"/>
          <w:szCs w:val="22"/>
        </w:rPr>
        <w:footnoteReference w:id="2"/>
      </w:r>
      <w:r>
        <w:rPr>
          <w:rFonts w:ascii="Times New Roman" w:hAnsi="Times New Roman" w:cs="Times New Roman"/>
          <w:i/>
          <w:noProof/>
          <w:sz w:val="22"/>
          <w:szCs w:val="22"/>
          <w:lang w:val="ru-RU"/>
        </w:rPr>
        <w:t xml:space="preserve"> относно защитата на животните, използвани за научни цели, както и да представи ново предложение, насочено към постепенно прекратяване на практиката на провеждане на опити с животни, като направи задължително — в рамките на биомедицинските и токсикологични</w:t>
      </w:r>
      <w:r>
        <w:rPr>
          <w:rFonts w:ascii="Times New Roman" w:hAnsi="Times New Roman" w:cs="Times New Roman"/>
          <w:i/>
          <w:noProof/>
          <w:sz w:val="22"/>
          <w:szCs w:val="22"/>
          <w:lang w:val="ru-RU"/>
        </w:rPr>
        <w:t>те изследвания — използването на данни, отнасящи се пряко за човешкия биологичен вид</w:t>
      </w:r>
      <w:r>
        <w:rPr>
          <w:rStyle w:val="FootnoteReference"/>
          <w:rFonts w:ascii="Times New Roman" w:hAnsi="Times New Roman" w:cs="Times New Roman"/>
          <w:noProof/>
          <w:color w:val="auto"/>
          <w:sz w:val="22"/>
          <w:szCs w:val="22"/>
        </w:rPr>
        <w:footnoteReference w:id="3"/>
      </w:r>
      <w:r>
        <w:rPr>
          <w:rFonts w:ascii="Times New Roman" w:hAnsi="Times New Roman" w:cs="Times New Roman"/>
          <w:i/>
          <w:noProof/>
          <w:sz w:val="22"/>
          <w:szCs w:val="22"/>
          <w:lang w:val="ru-RU"/>
        </w:rPr>
        <w:t>.</w:t>
      </w:r>
    </w:p>
    <w:p w:rsidR="00450368" w:rsidRDefault="00450368">
      <w:pPr>
        <w:pStyle w:val="Default"/>
        <w:ind w:left="284" w:right="425"/>
        <w:jc w:val="both"/>
        <w:rPr>
          <w:rFonts w:ascii="Times New Roman" w:hAnsi="Times New Roman" w:cs="Times New Roman"/>
          <w:noProof/>
          <w:color w:val="auto"/>
          <w:sz w:val="22"/>
          <w:szCs w:val="22"/>
          <w:lang w:val="ru-RU"/>
        </w:rPr>
      </w:pPr>
    </w:p>
    <w:p w:rsidR="00450368" w:rsidRDefault="006B55A0">
      <w:pPr>
        <w:autoSpaceDE w:val="0"/>
        <w:autoSpaceDN w:val="0"/>
        <w:adjustRightInd w:val="0"/>
        <w:spacing w:after="0"/>
        <w:rPr>
          <w:noProof/>
          <w:sz w:val="22"/>
          <w:szCs w:val="22"/>
          <w:lang w:val="ru-RU"/>
        </w:rPr>
      </w:pPr>
      <w:r>
        <w:rPr>
          <w:noProof/>
          <w:sz w:val="22"/>
          <w:lang w:val="ru-RU"/>
        </w:rPr>
        <w:t>Европейската комисия прие организаторите на 11</w:t>
      </w:r>
      <w:r>
        <w:rPr>
          <w:noProof/>
          <w:sz w:val="22"/>
        </w:rPr>
        <w:t> </w:t>
      </w:r>
      <w:r>
        <w:rPr>
          <w:noProof/>
          <w:sz w:val="22"/>
          <w:lang w:val="ru-RU"/>
        </w:rPr>
        <w:t>май 2015</w:t>
      </w:r>
      <w:r>
        <w:rPr>
          <w:noProof/>
          <w:sz w:val="22"/>
        </w:rPr>
        <w:t> </w:t>
      </w:r>
      <w:r>
        <w:rPr>
          <w:noProof/>
          <w:sz w:val="22"/>
          <w:lang w:val="ru-RU"/>
        </w:rPr>
        <w:t>г. и в същия ден организаторите представиха своята инициатива на публично изслушване в Европейския парламент, ка</w:t>
      </w:r>
      <w:r>
        <w:rPr>
          <w:noProof/>
          <w:sz w:val="22"/>
          <w:lang w:val="ru-RU"/>
        </w:rPr>
        <w:t>то и в двата случая представиха на Европейската комисия разяснения по своето искане</w:t>
      </w:r>
      <w:r>
        <w:rPr>
          <w:rStyle w:val="FootnoteReference"/>
          <w:noProof/>
          <w:sz w:val="22"/>
        </w:rPr>
        <w:footnoteReference w:id="4"/>
      </w:r>
      <w:r>
        <w:rPr>
          <w:noProof/>
          <w:sz w:val="22"/>
          <w:lang w:val="ru-RU"/>
        </w:rPr>
        <w:t>.</w:t>
      </w:r>
    </w:p>
    <w:p w:rsidR="00450368" w:rsidRDefault="00450368">
      <w:pPr>
        <w:autoSpaceDE w:val="0"/>
        <w:autoSpaceDN w:val="0"/>
        <w:adjustRightInd w:val="0"/>
        <w:spacing w:after="0"/>
        <w:rPr>
          <w:noProof/>
          <w:sz w:val="22"/>
          <w:szCs w:val="22"/>
          <w:lang w:val="ru-RU"/>
        </w:rPr>
      </w:pPr>
    </w:p>
    <w:p w:rsidR="00450368" w:rsidRDefault="006B55A0">
      <w:pPr>
        <w:pStyle w:val="Default"/>
        <w:jc w:val="both"/>
        <w:rPr>
          <w:rFonts w:ascii="Times New Roman" w:hAnsi="Times New Roman" w:cs="Times New Roman"/>
          <w:noProof/>
          <w:color w:val="auto"/>
          <w:sz w:val="22"/>
          <w:szCs w:val="22"/>
          <w:lang w:val="ru-RU"/>
        </w:rPr>
      </w:pPr>
      <w:r>
        <w:rPr>
          <w:rFonts w:ascii="Times New Roman" w:hAnsi="Times New Roman"/>
          <w:noProof/>
          <w:sz w:val="22"/>
          <w:lang w:val="ru-RU"/>
        </w:rPr>
        <w:t xml:space="preserve">В настоящото съобщение са посочени правните и политическите заключения на Европейската комисия, действията, които тя смята да предприеме и съответните причини за тях, в </w:t>
      </w:r>
      <w:r>
        <w:rPr>
          <w:rFonts w:ascii="Times New Roman" w:hAnsi="Times New Roman"/>
          <w:noProof/>
          <w:sz w:val="22"/>
          <w:lang w:val="ru-RU"/>
        </w:rPr>
        <w:t>съответствие с изискването в член</w:t>
      </w:r>
      <w:r>
        <w:rPr>
          <w:rFonts w:ascii="Times New Roman" w:hAnsi="Times New Roman"/>
          <w:noProof/>
          <w:sz w:val="22"/>
        </w:rPr>
        <w:t> </w:t>
      </w:r>
      <w:r>
        <w:rPr>
          <w:rFonts w:ascii="Times New Roman" w:hAnsi="Times New Roman"/>
          <w:noProof/>
          <w:sz w:val="22"/>
          <w:lang w:val="ru-RU"/>
        </w:rPr>
        <w:t>10, параграф</w:t>
      </w:r>
      <w:r>
        <w:rPr>
          <w:rFonts w:ascii="Times New Roman" w:hAnsi="Times New Roman"/>
          <w:noProof/>
          <w:sz w:val="22"/>
        </w:rPr>
        <w:t> </w:t>
      </w:r>
      <w:r>
        <w:rPr>
          <w:rFonts w:ascii="Times New Roman" w:hAnsi="Times New Roman"/>
          <w:noProof/>
          <w:sz w:val="22"/>
          <w:lang w:val="ru-RU"/>
        </w:rPr>
        <w:t>1, буква</w:t>
      </w:r>
      <w:r>
        <w:rPr>
          <w:rFonts w:ascii="Times New Roman" w:hAnsi="Times New Roman"/>
          <w:noProof/>
          <w:sz w:val="22"/>
        </w:rPr>
        <w:t> </w:t>
      </w:r>
      <w:r>
        <w:rPr>
          <w:rFonts w:ascii="Times New Roman" w:hAnsi="Times New Roman"/>
          <w:noProof/>
          <w:sz w:val="22"/>
          <w:lang w:val="ru-RU"/>
        </w:rPr>
        <w:t>в) от Регламент</w:t>
      </w:r>
      <w:r>
        <w:rPr>
          <w:rFonts w:ascii="Times New Roman" w:hAnsi="Times New Roman"/>
          <w:noProof/>
          <w:sz w:val="22"/>
        </w:rPr>
        <w:t> </w:t>
      </w:r>
      <w:r>
        <w:rPr>
          <w:rFonts w:ascii="Times New Roman" w:hAnsi="Times New Roman"/>
          <w:noProof/>
          <w:sz w:val="22"/>
          <w:lang w:val="ru-RU"/>
        </w:rPr>
        <w:t>(ЕС)</w:t>
      </w:r>
      <w:r>
        <w:rPr>
          <w:rFonts w:ascii="Times New Roman" w:hAnsi="Times New Roman"/>
          <w:noProof/>
          <w:sz w:val="22"/>
        </w:rPr>
        <w:t> </w:t>
      </w:r>
      <w:r>
        <w:rPr>
          <w:rFonts w:ascii="Times New Roman" w:hAnsi="Times New Roman"/>
          <w:noProof/>
          <w:sz w:val="22"/>
          <w:lang w:val="ru-RU"/>
        </w:rPr>
        <w:t>№</w:t>
      </w:r>
      <w:r>
        <w:rPr>
          <w:rFonts w:ascii="Times New Roman" w:hAnsi="Times New Roman"/>
          <w:noProof/>
          <w:sz w:val="22"/>
        </w:rPr>
        <w:t> </w:t>
      </w:r>
      <w:r>
        <w:rPr>
          <w:rFonts w:ascii="Times New Roman" w:hAnsi="Times New Roman"/>
          <w:noProof/>
          <w:sz w:val="22"/>
          <w:lang w:val="ru-RU"/>
        </w:rPr>
        <w:t>211/2011 относно гражданската инициатива („Регламента“)</w:t>
      </w:r>
      <w:r>
        <w:rPr>
          <w:rStyle w:val="FootnoteReference"/>
          <w:rFonts w:ascii="Times New Roman" w:hAnsi="Times New Roman"/>
          <w:noProof/>
          <w:sz w:val="22"/>
        </w:rPr>
        <w:footnoteReference w:id="5"/>
      </w:r>
      <w:r>
        <w:rPr>
          <w:rFonts w:ascii="Times New Roman" w:hAnsi="Times New Roman"/>
          <w:noProof/>
          <w:color w:val="auto"/>
          <w:sz w:val="22"/>
          <w:lang w:val="ru-RU"/>
        </w:rPr>
        <w:t>.</w:t>
      </w:r>
    </w:p>
    <w:p w:rsidR="00450368" w:rsidRDefault="00450368">
      <w:pPr>
        <w:pStyle w:val="Default"/>
        <w:jc w:val="both"/>
        <w:rPr>
          <w:rFonts w:ascii="Times New Roman" w:hAnsi="Times New Roman" w:cs="Times New Roman"/>
          <w:noProof/>
          <w:color w:val="auto"/>
          <w:sz w:val="22"/>
          <w:szCs w:val="22"/>
          <w:lang w:val="ru-RU"/>
        </w:rPr>
      </w:pPr>
    </w:p>
    <w:p w:rsidR="00450368" w:rsidRDefault="00450368">
      <w:pPr>
        <w:pStyle w:val="Default"/>
        <w:jc w:val="both"/>
        <w:rPr>
          <w:rFonts w:ascii="Times New Roman" w:hAnsi="Times New Roman" w:cs="Times New Roman"/>
          <w:noProof/>
          <w:color w:val="auto"/>
          <w:sz w:val="22"/>
          <w:szCs w:val="22"/>
          <w:lang w:val="ru-RU"/>
        </w:rPr>
      </w:pPr>
    </w:p>
    <w:p w:rsidR="00450368" w:rsidRDefault="006B55A0">
      <w:pPr>
        <w:pStyle w:val="Default"/>
        <w:jc w:val="both"/>
        <w:rPr>
          <w:rFonts w:ascii="Times New Roman" w:hAnsi="Times New Roman"/>
          <w:smallCaps/>
          <w:noProof/>
          <w:color w:val="auto"/>
          <w:sz w:val="22"/>
          <w:lang w:val="ru-RU"/>
        </w:rPr>
      </w:pPr>
      <w:r>
        <w:rPr>
          <w:rFonts w:ascii="Times New Roman" w:eastAsiaTheme="majorEastAsia" w:hAnsi="Times New Roman"/>
          <w:b/>
          <w:smallCaps/>
          <w:noProof/>
          <w:color w:val="auto"/>
          <w:sz w:val="22"/>
          <w:lang w:val="ru-RU"/>
        </w:rPr>
        <w:t>2. Хуманно отношение към животните и опазване на здравето и околната среда</w:t>
      </w:r>
    </w:p>
    <w:p w:rsidR="00450368" w:rsidRDefault="00450368">
      <w:pPr>
        <w:spacing w:after="0"/>
        <w:rPr>
          <w:noProof/>
          <w:sz w:val="22"/>
          <w:szCs w:val="22"/>
          <w:lang w:val="ru-RU"/>
        </w:rPr>
      </w:pPr>
    </w:p>
    <w:p w:rsidR="00450368" w:rsidRDefault="006B55A0">
      <w:pPr>
        <w:autoSpaceDE w:val="0"/>
        <w:autoSpaceDN w:val="0"/>
        <w:adjustRightInd w:val="0"/>
        <w:spacing w:after="0"/>
        <w:rPr>
          <w:noProof/>
          <w:sz w:val="22"/>
          <w:szCs w:val="22"/>
          <w:lang w:val="ru-RU"/>
        </w:rPr>
      </w:pPr>
      <w:r>
        <w:rPr>
          <w:noProof/>
          <w:sz w:val="22"/>
          <w:lang w:val="ru-RU"/>
        </w:rPr>
        <w:t>ЕС е поел ангажимент за хуманно отношение</w:t>
      </w:r>
      <w:r>
        <w:rPr>
          <w:noProof/>
          <w:sz w:val="22"/>
          <w:lang w:val="ru-RU"/>
        </w:rPr>
        <w:t xml:space="preserve"> към животните (</w:t>
      </w:r>
      <w:r>
        <w:rPr>
          <w:noProof/>
          <w:sz w:val="22"/>
        </w:rPr>
        <w:t>animal</w:t>
      </w:r>
      <w:r>
        <w:rPr>
          <w:noProof/>
          <w:sz w:val="22"/>
          <w:lang w:val="ru-RU"/>
        </w:rPr>
        <w:t xml:space="preserve"> </w:t>
      </w:r>
      <w:r>
        <w:rPr>
          <w:noProof/>
          <w:sz w:val="22"/>
        </w:rPr>
        <w:t>welfare</w:t>
      </w:r>
      <w:r>
        <w:rPr>
          <w:noProof/>
          <w:sz w:val="22"/>
          <w:lang w:val="ru-RU"/>
        </w:rPr>
        <w:t>) и се стреми да постигне тази цел, като в същото време се стреми и към опазване на човешкото здраве и околната среда.  ЕС споделя убеждението на Гражданската инициатива, че опитите с животни трябва да бъдат постепенно преуста</w:t>
      </w:r>
      <w:r>
        <w:rPr>
          <w:noProof/>
          <w:sz w:val="22"/>
          <w:lang w:val="ru-RU"/>
        </w:rPr>
        <w:t>новени. Това е крайната цел на съответното законодателство на ЕС.</w:t>
      </w:r>
    </w:p>
    <w:p w:rsidR="00450368" w:rsidRDefault="00450368">
      <w:pPr>
        <w:spacing w:after="0"/>
        <w:rPr>
          <w:noProof/>
          <w:sz w:val="22"/>
          <w:szCs w:val="22"/>
          <w:lang w:val="ru-RU"/>
        </w:rPr>
      </w:pPr>
    </w:p>
    <w:p w:rsidR="00450368" w:rsidRDefault="006B55A0">
      <w:pPr>
        <w:pStyle w:val="Default"/>
        <w:jc w:val="both"/>
        <w:rPr>
          <w:noProof/>
          <w:sz w:val="22"/>
          <w:szCs w:val="22"/>
          <w:lang w:val="ru-RU"/>
        </w:rPr>
      </w:pPr>
      <w:r>
        <w:rPr>
          <w:rFonts w:ascii="Times New Roman" w:hAnsi="Times New Roman"/>
          <w:noProof/>
          <w:sz w:val="22"/>
          <w:lang w:val="ru-RU"/>
        </w:rPr>
        <w:t>Хуманното отношение към животните е застъпено в Договора за функционирането на Европейския съюз („Договора“) и е обект на законодателството на ЕС. В член</w:t>
      </w:r>
      <w:r>
        <w:rPr>
          <w:rFonts w:ascii="Times New Roman" w:hAnsi="Times New Roman"/>
          <w:noProof/>
          <w:sz w:val="22"/>
        </w:rPr>
        <w:t> </w:t>
      </w:r>
      <w:r>
        <w:rPr>
          <w:rFonts w:ascii="Times New Roman" w:hAnsi="Times New Roman"/>
          <w:noProof/>
          <w:sz w:val="22"/>
          <w:lang w:val="ru-RU"/>
        </w:rPr>
        <w:t>13 от Договора</w:t>
      </w:r>
      <w:r>
        <w:rPr>
          <w:rStyle w:val="FootnoteReference"/>
          <w:rFonts w:ascii="Times New Roman" w:hAnsi="Times New Roman"/>
          <w:noProof/>
          <w:sz w:val="22"/>
        </w:rPr>
        <w:footnoteReference w:id="6"/>
      </w:r>
      <w:r>
        <w:rPr>
          <w:rFonts w:ascii="Times New Roman" w:hAnsi="Times New Roman"/>
          <w:noProof/>
          <w:sz w:val="22"/>
          <w:lang w:val="ru-RU"/>
        </w:rPr>
        <w:t xml:space="preserve"> се изисква хуманнот</w:t>
      </w:r>
      <w:r>
        <w:rPr>
          <w:rFonts w:ascii="Times New Roman" w:hAnsi="Times New Roman"/>
          <w:noProof/>
          <w:sz w:val="22"/>
          <w:lang w:val="ru-RU"/>
        </w:rPr>
        <w:t>о отношение към животните да се взема предвид в политиката на ЕС в редица области, включително в областта на вътрешния пазар, научните изследвания и селското стопанство. Директива</w:t>
      </w:r>
      <w:r>
        <w:rPr>
          <w:rFonts w:ascii="Times New Roman" w:hAnsi="Times New Roman"/>
          <w:noProof/>
          <w:sz w:val="22"/>
        </w:rPr>
        <w:t> </w:t>
      </w:r>
      <w:r>
        <w:rPr>
          <w:rFonts w:ascii="Times New Roman" w:hAnsi="Times New Roman"/>
          <w:noProof/>
          <w:sz w:val="22"/>
          <w:lang w:val="ru-RU"/>
        </w:rPr>
        <w:t>2010/63/ЕС и Регламентът относно козметичните продукти (Регламент</w:t>
      </w:r>
      <w:r>
        <w:rPr>
          <w:rFonts w:ascii="Times New Roman" w:hAnsi="Times New Roman"/>
          <w:noProof/>
          <w:sz w:val="22"/>
        </w:rPr>
        <w:t> </w:t>
      </w:r>
      <w:r>
        <w:rPr>
          <w:rFonts w:ascii="Times New Roman" w:hAnsi="Times New Roman"/>
          <w:noProof/>
          <w:sz w:val="22"/>
          <w:lang w:val="ru-RU"/>
        </w:rPr>
        <w:t>(ЕО)</w:t>
      </w:r>
      <w:r>
        <w:rPr>
          <w:rFonts w:ascii="Times New Roman" w:hAnsi="Times New Roman"/>
          <w:noProof/>
          <w:sz w:val="22"/>
        </w:rPr>
        <w:t> </w:t>
      </w:r>
      <w:r>
        <w:rPr>
          <w:rFonts w:ascii="Times New Roman" w:hAnsi="Times New Roman"/>
          <w:noProof/>
          <w:sz w:val="22"/>
          <w:lang w:val="ru-RU"/>
        </w:rPr>
        <w:t>№</w:t>
      </w:r>
      <w:r>
        <w:rPr>
          <w:rFonts w:ascii="Times New Roman" w:hAnsi="Times New Roman"/>
          <w:noProof/>
          <w:sz w:val="22"/>
        </w:rPr>
        <w:t> </w:t>
      </w:r>
      <w:r>
        <w:rPr>
          <w:rFonts w:ascii="Times New Roman" w:hAnsi="Times New Roman"/>
          <w:noProof/>
          <w:sz w:val="22"/>
          <w:lang w:val="ru-RU"/>
        </w:rPr>
        <w:t>122</w:t>
      </w:r>
      <w:r>
        <w:rPr>
          <w:rFonts w:ascii="Times New Roman" w:hAnsi="Times New Roman"/>
          <w:noProof/>
          <w:sz w:val="22"/>
          <w:lang w:val="ru-RU"/>
        </w:rPr>
        <w:t>3/2009</w:t>
      </w:r>
      <w:r>
        <w:rPr>
          <w:rStyle w:val="FootnoteReference"/>
          <w:rFonts w:ascii="Times New Roman" w:hAnsi="Times New Roman"/>
          <w:noProof/>
          <w:color w:val="auto"/>
          <w:sz w:val="22"/>
        </w:rPr>
        <w:footnoteReference w:id="7"/>
      </w:r>
      <w:r>
        <w:rPr>
          <w:rFonts w:ascii="Times New Roman" w:hAnsi="Times New Roman"/>
          <w:noProof/>
          <w:sz w:val="22"/>
          <w:lang w:val="ru-RU"/>
        </w:rPr>
        <w:t>) са сред най-напредничавите в света нормативни документи по отношение на хуманното отношение към животните. С Директива</w:t>
      </w:r>
      <w:r>
        <w:rPr>
          <w:rFonts w:ascii="Times New Roman" w:hAnsi="Times New Roman"/>
          <w:noProof/>
          <w:sz w:val="22"/>
        </w:rPr>
        <w:t> </w:t>
      </w:r>
      <w:r>
        <w:rPr>
          <w:rFonts w:ascii="Times New Roman" w:hAnsi="Times New Roman"/>
          <w:noProof/>
          <w:sz w:val="22"/>
          <w:lang w:val="ru-RU"/>
        </w:rPr>
        <w:t xml:space="preserve">2010/63/ЕС е въведено изискване да се прилагат научно издържани алтернативни подходи и са определени механизми за ускоряване на </w:t>
      </w:r>
      <w:r>
        <w:rPr>
          <w:rFonts w:ascii="Times New Roman" w:hAnsi="Times New Roman"/>
          <w:noProof/>
          <w:sz w:val="22"/>
          <w:lang w:val="ru-RU"/>
        </w:rPr>
        <w:t xml:space="preserve">тяхното разработване, валидиране и навлизане в практиката. </w:t>
      </w:r>
      <w:r>
        <w:rPr>
          <w:rFonts w:ascii="Times New Roman" w:hAnsi="Times New Roman"/>
          <w:noProof/>
          <w:color w:val="auto"/>
          <w:sz w:val="22"/>
          <w:lang w:val="ru-RU"/>
        </w:rPr>
        <w:t>В областта на козметиката ЕС наложи пълна забрана за пазарно разпространение на козметични продукти и съставки, изпробвани върху животни. Регламентът относно козметичните продукти има ускоряващо въ</w:t>
      </w:r>
      <w:r>
        <w:rPr>
          <w:rFonts w:ascii="Times New Roman" w:hAnsi="Times New Roman"/>
          <w:noProof/>
          <w:color w:val="auto"/>
          <w:sz w:val="22"/>
          <w:lang w:val="ru-RU"/>
        </w:rPr>
        <w:t xml:space="preserve">здействие за разработването на алтернативи, чиито въздействия излизат и извън рамките на козметичния отрасъл. </w:t>
      </w:r>
      <w:r>
        <w:rPr>
          <w:rFonts w:ascii="Times New Roman" w:hAnsi="Times New Roman"/>
          <w:noProof/>
          <w:sz w:val="22"/>
          <w:lang w:val="ru-RU"/>
        </w:rPr>
        <w:t xml:space="preserve">Също така, Европейската комисия подпомага научни изследвания относно алтернативни методи и насърчава използването на такива подходи за изпълнение </w:t>
      </w:r>
      <w:r>
        <w:rPr>
          <w:rFonts w:ascii="Times New Roman" w:hAnsi="Times New Roman"/>
          <w:noProof/>
          <w:sz w:val="22"/>
          <w:lang w:val="ru-RU"/>
        </w:rPr>
        <w:t>на регулаторните изисквания.</w:t>
      </w:r>
    </w:p>
    <w:p w:rsidR="00450368" w:rsidRDefault="00450368">
      <w:pPr>
        <w:autoSpaceDE w:val="0"/>
        <w:autoSpaceDN w:val="0"/>
        <w:adjustRightInd w:val="0"/>
        <w:spacing w:after="0"/>
        <w:rPr>
          <w:bCs/>
          <w:noProof/>
          <w:sz w:val="22"/>
          <w:szCs w:val="22"/>
          <w:lang w:val="ru-RU"/>
        </w:rPr>
      </w:pPr>
    </w:p>
    <w:p w:rsidR="00450368" w:rsidRDefault="006B55A0">
      <w:pPr>
        <w:autoSpaceDE w:val="0"/>
        <w:autoSpaceDN w:val="0"/>
        <w:adjustRightInd w:val="0"/>
        <w:spacing w:after="0"/>
        <w:rPr>
          <w:bCs/>
          <w:noProof/>
          <w:sz w:val="22"/>
          <w:szCs w:val="22"/>
          <w:lang w:val="ru-RU"/>
        </w:rPr>
      </w:pPr>
      <w:r>
        <w:rPr>
          <w:noProof/>
          <w:sz w:val="22"/>
          <w:lang w:val="ru-RU"/>
        </w:rPr>
        <w:t>Въпреки постигнатия значителен напредък в разработването на алтернативни подходи, продължават да съществуват големи научни предизвикателства във връзка с по-сложните крайни резултати при фундаменталните и приложните научни изследвания, при разработването н</w:t>
      </w:r>
      <w:r>
        <w:rPr>
          <w:noProof/>
          <w:sz w:val="22"/>
          <w:lang w:val="ru-RU"/>
        </w:rPr>
        <w:t>а фармацевтични продукти и изпитването за безопасност на химични вещества. В случаите, при които токсикологичните или физиологичните процеси и механизми са недостатъчно разбрани или са много сложни, често алтернативни решения липсват. Поради това понастоящ</w:t>
      </w:r>
      <w:r>
        <w:rPr>
          <w:noProof/>
          <w:sz w:val="22"/>
          <w:lang w:val="ru-RU"/>
        </w:rPr>
        <w:t xml:space="preserve">ем не е възможно цялостно заместване на проучванията върху животни, като се има предвид необходимостта от висока степен на защита на здравето на хората и животните и на околната среда. </w:t>
      </w:r>
    </w:p>
    <w:p w:rsidR="00450368" w:rsidRDefault="00450368">
      <w:pPr>
        <w:autoSpaceDE w:val="0"/>
        <w:autoSpaceDN w:val="0"/>
        <w:adjustRightInd w:val="0"/>
        <w:spacing w:after="0"/>
        <w:rPr>
          <w:noProof/>
          <w:sz w:val="22"/>
          <w:szCs w:val="22"/>
          <w:lang w:val="ru-RU"/>
        </w:rPr>
      </w:pPr>
    </w:p>
    <w:p w:rsidR="00450368" w:rsidRDefault="006B55A0">
      <w:pPr>
        <w:rPr>
          <w:noProof/>
          <w:sz w:val="22"/>
          <w:szCs w:val="22"/>
          <w:lang w:val="ru-RU"/>
        </w:rPr>
      </w:pPr>
      <w:r>
        <w:rPr>
          <w:noProof/>
          <w:sz w:val="22"/>
          <w:lang w:val="ru-RU"/>
        </w:rPr>
        <w:t>Гражданската инициатива „Спрете вивисекцията“ идва в преходен период.</w:t>
      </w:r>
      <w:r>
        <w:rPr>
          <w:noProof/>
          <w:sz w:val="22"/>
          <w:lang w:val="ru-RU"/>
        </w:rPr>
        <w:t xml:space="preserve"> Напредъкът на технологиите дава възможност за обработване на все по-сложна информация, идваща от научни изследвания с или без използване на животни, което ще даде възможност постепенно да бъдат запълнени празнотите в знанията, които засега препятстват пъл</w:t>
      </w:r>
      <w:r>
        <w:rPr>
          <w:noProof/>
          <w:sz w:val="22"/>
          <w:lang w:val="ru-RU"/>
        </w:rPr>
        <w:t>ното заместване на опитите с животни. От друга страна, една прибързана забрана на използването на животни в научните изследвания в ЕС би довела до изнасяне на биомедицинските изследвания и опити извън ЕС, в страни където е възможно стандартите за хуманно о</w:t>
      </w:r>
      <w:r>
        <w:rPr>
          <w:noProof/>
          <w:sz w:val="22"/>
          <w:lang w:val="ru-RU"/>
        </w:rPr>
        <w:t>тношение към животните да са по-ниски и съответно да се използват по-голям брой животни за постигане на същия научен резултат.</w:t>
      </w:r>
    </w:p>
    <w:p w:rsidR="00450368" w:rsidRDefault="00450368">
      <w:pPr>
        <w:pStyle w:val="Default"/>
        <w:jc w:val="both"/>
        <w:rPr>
          <w:rFonts w:ascii="Times New Roman" w:hAnsi="Times New Roman" w:cs="Times New Roman"/>
          <w:noProof/>
          <w:color w:val="auto"/>
          <w:sz w:val="22"/>
          <w:szCs w:val="22"/>
          <w:lang w:val="ru-RU"/>
        </w:rPr>
      </w:pPr>
    </w:p>
    <w:p w:rsidR="00450368" w:rsidRDefault="006B55A0">
      <w:pPr>
        <w:autoSpaceDE w:val="0"/>
        <w:autoSpaceDN w:val="0"/>
        <w:adjustRightInd w:val="0"/>
        <w:spacing w:after="0"/>
        <w:jc w:val="left"/>
        <w:rPr>
          <w:b/>
          <w:bCs/>
          <w:noProof/>
          <w:sz w:val="22"/>
          <w:szCs w:val="22"/>
          <w:lang w:val="ru-RU"/>
        </w:rPr>
      </w:pPr>
      <w:r>
        <w:rPr>
          <w:b/>
          <w:noProof/>
          <w:sz w:val="22"/>
          <w:lang w:val="ru-RU"/>
        </w:rPr>
        <w:t>Опазване на човешкото здраве и на околната среда</w:t>
      </w:r>
    </w:p>
    <w:p w:rsidR="00450368" w:rsidRDefault="00450368">
      <w:pPr>
        <w:autoSpaceDE w:val="0"/>
        <w:autoSpaceDN w:val="0"/>
        <w:adjustRightInd w:val="0"/>
        <w:spacing w:after="0"/>
        <w:rPr>
          <w:rFonts w:cs="EUAlbertina"/>
          <w:noProof/>
          <w:color w:val="000000"/>
          <w:sz w:val="22"/>
          <w:szCs w:val="22"/>
          <w:lang w:val="ru-RU"/>
        </w:rPr>
      </w:pPr>
    </w:p>
    <w:p w:rsidR="00450368" w:rsidRDefault="006B55A0">
      <w:pPr>
        <w:autoSpaceDE w:val="0"/>
        <w:autoSpaceDN w:val="0"/>
        <w:adjustRightInd w:val="0"/>
        <w:rPr>
          <w:noProof/>
          <w:color w:val="000000"/>
          <w:sz w:val="22"/>
          <w:lang w:val="ru-RU"/>
        </w:rPr>
      </w:pPr>
      <w:r>
        <w:rPr>
          <w:noProof/>
          <w:color w:val="000000"/>
          <w:sz w:val="22"/>
          <w:lang w:val="ru-RU"/>
        </w:rPr>
        <w:t>Опазването на човешкото здраве и на околната среда е важна цел на ЕС, заложена</w:t>
      </w:r>
      <w:r>
        <w:rPr>
          <w:noProof/>
          <w:color w:val="000000"/>
          <w:sz w:val="22"/>
          <w:lang w:val="ru-RU"/>
        </w:rPr>
        <w:t xml:space="preserve"> в Договора</w:t>
      </w:r>
      <w:r>
        <w:rPr>
          <w:rStyle w:val="FootnoteReference"/>
          <w:noProof/>
          <w:color w:val="000000"/>
          <w:sz w:val="22"/>
        </w:rPr>
        <w:footnoteReference w:id="8"/>
      </w:r>
      <w:r>
        <w:rPr>
          <w:noProof/>
          <w:color w:val="000000"/>
          <w:sz w:val="22"/>
          <w:lang w:val="ru-RU"/>
        </w:rPr>
        <w:t>. Европейският съюз се стреми да подобрява здравеопазването и превенцията на заболяванията, включително като насърчава научните изследвания за причините и диагнозите на болестите, както и за превантивните мерки, като например ваксини и терапии.</w:t>
      </w:r>
      <w:r>
        <w:rPr>
          <w:noProof/>
          <w:color w:val="000000"/>
          <w:sz w:val="22"/>
          <w:lang w:val="ru-RU"/>
        </w:rPr>
        <w:t xml:space="preserve"> </w:t>
      </w:r>
      <w:r>
        <w:rPr>
          <w:noProof/>
          <w:lang w:val="ru-RU"/>
        </w:rPr>
        <w:t>В регулаторната рамка за</w:t>
      </w:r>
      <w:r>
        <w:rPr>
          <w:noProof/>
          <w:sz w:val="22"/>
          <w:lang w:val="ru-RU"/>
        </w:rPr>
        <w:t xml:space="preserve">, </w:t>
      </w:r>
      <w:r>
        <w:rPr>
          <w:i/>
          <w:noProof/>
          <w:sz w:val="22"/>
        </w:rPr>
        <w:t>inter</w:t>
      </w:r>
      <w:r>
        <w:rPr>
          <w:i/>
          <w:noProof/>
          <w:sz w:val="22"/>
          <w:lang w:val="ru-RU"/>
        </w:rPr>
        <w:t xml:space="preserve"> </w:t>
      </w:r>
      <w:r>
        <w:rPr>
          <w:i/>
          <w:noProof/>
          <w:sz w:val="22"/>
        </w:rPr>
        <w:t>alia</w:t>
      </w:r>
      <w:r>
        <w:rPr>
          <w:noProof/>
          <w:sz w:val="22"/>
          <w:lang w:val="ru-RU"/>
        </w:rPr>
        <w:t>, продуктите в областта на здравеопазването (</w:t>
      </w:r>
      <w:hyperlink r:id="rId16">
        <w:r>
          <w:rPr>
            <w:rStyle w:val="Hyperlink"/>
            <w:noProof/>
            <w:color w:val="auto"/>
            <w:sz w:val="22"/>
            <w:u w:val="none"/>
            <w:lang w:val="ru-RU"/>
          </w:rPr>
          <w:t>фармацевтичните продукти</w:t>
        </w:r>
      </w:hyperlink>
      <w:r>
        <w:rPr>
          <w:noProof/>
          <w:sz w:val="22"/>
          <w:lang w:val="ru-RU"/>
        </w:rPr>
        <w:t>)</w:t>
      </w:r>
      <w:r>
        <w:rPr>
          <w:noProof/>
          <w:sz w:val="22"/>
          <w:lang w:val="ru-RU"/>
        </w:rPr>
        <w:t xml:space="preserve">, </w:t>
      </w:r>
      <w:hyperlink r:id="rId17">
        <w:r>
          <w:rPr>
            <w:rStyle w:val="Hyperlink"/>
            <w:noProof/>
            <w:color w:val="auto"/>
            <w:sz w:val="22"/>
            <w:u w:val="none"/>
            <w:lang w:val="ru-RU"/>
          </w:rPr>
          <w:t>химикалите</w:t>
        </w:r>
      </w:hyperlink>
      <w:r>
        <w:rPr>
          <w:noProof/>
          <w:sz w:val="22"/>
          <w:lang w:val="ru-RU"/>
        </w:rPr>
        <w:t xml:space="preserve"> (включително пестицидите и биоцидите), и </w:t>
      </w:r>
      <w:hyperlink r:id="rId18">
        <w:r>
          <w:rPr>
            <w:rStyle w:val="Hyperlink"/>
            <w:noProof/>
            <w:color w:val="auto"/>
            <w:sz w:val="22"/>
            <w:u w:val="none"/>
            <w:lang w:val="ru-RU"/>
          </w:rPr>
          <w:t>храните и фуражите</w:t>
        </w:r>
      </w:hyperlink>
      <w:r>
        <w:rPr>
          <w:noProof/>
          <w:sz w:val="22"/>
          <w:lang w:val="ru-RU"/>
        </w:rPr>
        <w:t xml:space="preserve"> има изискване продуктите да бъдат изпитвани преди тяхното пазарно разпространение, за да се докаже, че те са безопасни за хората, животните и околната среда</w:t>
      </w:r>
      <w:r>
        <w:rPr>
          <w:noProof/>
          <w:sz w:val="22"/>
          <w:lang w:val="ru-RU"/>
        </w:rPr>
        <w:t xml:space="preserve">. </w:t>
      </w:r>
    </w:p>
    <w:p w:rsidR="00450368" w:rsidRDefault="006B55A0">
      <w:pPr>
        <w:autoSpaceDE w:val="0"/>
        <w:autoSpaceDN w:val="0"/>
        <w:adjustRightInd w:val="0"/>
        <w:spacing w:after="0"/>
        <w:rPr>
          <w:noProof/>
          <w:sz w:val="22"/>
          <w:szCs w:val="22"/>
          <w:lang w:val="ru-RU"/>
        </w:rPr>
      </w:pPr>
      <w:r>
        <w:rPr>
          <w:noProof/>
          <w:sz w:val="22"/>
          <w:lang w:val="ru-RU"/>
        </w:rPr>
        <w:t>В Здравната стратегия на ЕС 2020</w:t>
      </w:r>
      <w:r>
        <w:rPr>
          <w:rStyle w:val="FootnoteReference"/>
          <w:noProof/>
          <w:sz w:val="22"/>
        </w:rPr>
        <w:footnoteReference w:id="9"/>
      </w:r>
      <w:r>
        <w:rPr>
          <w:noProof/>
          <w:sz w:val="22"/>
          <w:lang w:val="ru-RU"/>
        </w:rPr>
        <w:t xml:space="preserve"> и Седмата програма за действие за околната среда (7</w:t>
      </w:r>
      <w:r>
        <w:rPr>
          <w:noProof/>
          <w:sz w:val="22"/>
          <w:vertAlign w:val="superscript"/>
        </w:rPr>
        <w:t>th</w:t>
      </w:r>
      <w:r>
        <w:rPr>
          <w:noProof/>
          <w:sz w:val="22"/>
        </w:rPr>
        <w:t> EAP</w:t>
      </w:r>
      <w:r>
        <w:rPr>
          <w:noProof/>
          <w:sz w:val="22"/>
          <w:lang w:val="ru-RU"/>
        </w:rPr>
        <w:t>)</w:t>
      </w:r>
      <w:r>
        <w:rPr>
          <w:rStyle w:val="FootnoteReference"/>
          <w:noProof/>
          <w:sz w:val="22"/>
        </w:rPr>
        <w:footnoteReference w:id="10"/>
      </w:r>
      <w:r>
        <w:rPr>
          <w:noProof/>
          <w:sz w:val="22"/>
          <w:lang w:val="ru-RU"/>
        </w:rPr>
        <w:t xml:space="preserve"> са посочени дейности, необходими за постигане на целите на ЕС в областта на здравето и околната среда. При все че тези дейности предполагат и използването на ж</w:t>
      </w:r>
      <w:r>
        <w:rPr>
          <w:noProof/>
          <w:sz w:val="22"/>
          <w:lang w:val="ru-RU"/>
        </w:rPr>
        <w:t>ивотни, в Седмата програма за действие за околната среда също така се насърчава разработването на методи за оценка на токсичността без използване на животни, или с намалено и облекчено използване на животни. В случаите, при които се провеждат опити с живот</w:t>
      </w:r>
      <w:r>
        <w:rPr>
          <w:noProof/>
          <w:sz w:val="22"/>
          <w:lang w:val="ru-RU"/>
        </w:rPr>
        <w:t>ни, те трябва да са в съответствие със строгите и високи стандарти в ЕС</w:t>
      </w:r>
      <w:r>
        <w:rPr>
          <w:rStyle w:val="FootnoteReference"/>
          <w:noProof/>
          <w:sz w:val="22"/>
        </w:rPr>
        <w:footnoteReference w:id="11"/>
      </w:r>
      <w:r>
        <w:rPr>
          <w:noProof/>
          <w:sz w:val="22"/>
          <w:lang w:val="ru-RU"/>
        </w:rPr>
        <w:t>.</w:t>
      </w:r>
    </w:p>
    <w:p w:rsidR="00450368" w:rsidRDefault="00450368">
      <w:pPr>
        <w:autoSpaceDE w:val="0"/>
        <w:autoSpaceDN w:val="0"/>
        <w:adjustRightInd w:val="0"/>
        <w:rPr>
          <w:noProof/>
          <w:sz w:val="22"/>
          <w:szCs w:val="22"/>
          <w:lang w:val="ru-RU"/>
        </w:rPr>
      </w:pPr>
    </w:p>
    <w:p w:rsidR="00450368" w:rsidRDefault="006B55A0">
      <w:pPr>
        <w:autoSpaceDE w:val="0"/>
        <w:autoSpaceDN w:val="0"/>
        <w:adjustRightInd w:val="0"/>
        <w:spacing w:after="0"/>
        <w:jc w:val="left"/>
        <w:rPr>
          <w:b/>
          <w:bCs/>
          <w:noProof/>
          <w:sz w:val="22"/>
          <w:szCs w:val="22"/>
          <w:lang w:val="ru-RU"/>
        </w:rPr>
      </w:pPr>
      <w:r>
        <w:rPr>
          <w:b/>
          <w:noProof/>
          <w:sz w:val="22"/>
          <w:lang w:val="ru-RU"/>
        </w:rPr>
        <w:t>Ролята на проучванията с използване на животни</w:t>
      </w:r>
    </w:p>
    <w:p w:rsidR="00450368" w:rsidRDefault="00450368">
      <w:pPr>
        <w:pStyle w:val="Default"/>
        <w:jc w:val="both"/>
        <w:rPr>
          <w:rFonts w:ascii="Times New Roman" w:hAnsi="Times New Roman" w:cs="Times New Roman"/>
          <w:noProof/>
          <w:sz w:val="22"/>
          <w:szCs w:val="22"/>
          <w:lang w:val="ru-RU"/>
        </w:rPr>
      </w:pPr>
    </w:p>
    <w:p w:rsidR="00450368" w:rsidRDefault="006B55A0">
      <w:pPr>
        <w:pStyle w:val="Default"/>
        <w:jc w:val="both"/>
        <w:rPr>
          <w:rFonts w:ascii="Times New Roman" w:hAnsi="Times New Roman" w:cs="Times New Roman"/>
          <w:noProof/>
          <w:sz w:val="22"/>
          <w:szCs w:val="22"/>
          <w:lang w:val="ru-RU"/>
        </w:rPr>
      </w:pPr>
      <w:r>
        <w:rPr>
          <w:rFonts w:ascii="Times New Roman" w:hAnsi="Times New Roman"/>
          <w:noProof/>
          <w:sz w:val="22"/>
          <w:lang w:val="ru-RU"/>
        </w:rPr>
        <w:t>В исторически план проучванията с използване на животни са имали ключово значение за разработването на начини за превенция и намалява</w:t>
      </w:r>
      <w:r>
        <w:rPr>
          <w:rFonts w:ascii="Times New Roman" w:hAnsi="Times New Roman"/>
          <w:noProof/>
          <w:sz w:val="22"/>
          <w:lang w:val="ru-RU"/>
        </w:rPr>
        <w:t>не на болестите при хората и животните. Тези проучвания са допринесли за подобряване на здравето и качеството на живота, както и за по-голяма продължителност на живота. В днешно време съществуват ефикасни лечения на много инфекциозни болести, на някои форм</w:t>
      </w:r>
      <w:r>
        <w:rPr>
          <w:rFonts w:ascii="Times New Roman" w:hAnsi="Times New Roman"/>
          <w:noProof/>
          <w:sz w:val="22"/>
          <w:lang w:val="ru-RU"/>
        </w:rPr>
        <w:t xml:space="preserve">и на рак, както и на редица хронични болести, като например диабета. Тези постижения биха били невъзможни без познанията, придобити чрез проучвания с използване на животни. Такива проучвания се изискват от нормативната уредба </w:t>
      </w:r>
      <w:r>
        <w:rPr>
          <w:rFonts w:ascii="Times New Roman" w:hAnsi="Times New Roman"/>
          <w:noProof/>
          <w:sz w:val="22"/>
          <w:lang w:val="ru-RU"/>
        </w:rPr>
        <w:lastRenderedPageBreak/>
        <w:t>за разрешаването на клинични и</w:t>
      </w:r>
      <w:r>
        <w:rPr>
          <w:rFonts w:ascii="Times New Roman" w:hAnsi="Times New Roman"/>
          <w:noProof/>
          <w:sz w:val="22"/>
          <w:lang w:val="ru-RU"/>
        </w:rPr>
        <w:t>зпитвания с хора, както и за опазване на здравето и околната среда. Това е валидно също и по отношение на прогнозирането на ефикасността на лекарствата. В такива случаи, след като бъде генерирана максимално възможната информация от алтернативни проучвания,</w:t>
      </w:r>
      <w:r>
        <w:rPr>
          <w:rFonts w:ascii="Times New Roman" w:hAnsi="Times New Roman"/>
          <w:noProof/>
          <w:sz w:val="22"/>
          <w:lang w:val="ru-RU"/>
        </w:rPr>
        <w:t xml:space="preserve"> се провеждат проучвания с използване на животни, с цел да се попълнят празнотите в познанията, необходими за опазване на здравето на хората, животните и околната среда.</w:t>
      </w:r>
    </w:p>
    <w:p w:rsidR="00450368" w:rsidRDefault="00450368">
      <w:pPr>
        <w:pStyle w:val="Default"/>
        <w:jc w:val="both"/>
        <w:rPr>
          <w:rFonts w:ascii="Times New Roman" w:hAnsi="Times New Roman" w:cs="Times New Roman"/>
          <w:noProof/>
          <w:sz w:val="22"/>
          <w:szCs w:val="22"/>
          <w:lang w:val="ru-RU"/>
        </w:rPr>
      </w:pPr>
    </w:p>
    <w:p w:rsidR="00450368" w:rsidRDefault="006B55A0">
      <w:pPr>
        <w:pStyle w:val="Default"/>
        <w:jc w:val="both"/>
        <w:rPr>
          <w:rFonts w:ascii="Times New Roman" w:hAnsi="Times New Roman" w:cs="Times New Roman"/>
          <w:noProof/>
          <w:sz w:val="22"/>
          <w:szCs w:val="22"/>
          <w:lang w:val="ru-RU"/>
        </w:rPr>
      </w:pPr>
      <w:r>
        <w:rPr>
          <w:rFonts w:ascii="Times New Roman" w:hAnsi="Times New Roman"/>
          <w:noProof/>
          <w:sz w:val="22"/>
          <w:lang w:val="ru-RU"/>
        </w:rPr>
        <w:t>Освен това, проучванията с използване на животни осигуриха безценни познания за основ</w:t>
      </w:r>
      <w:r>
        <w:rPr>
          <w:rFonts w:ascii="Times New Roman" w:hAnsi="Times New Roman"/>
          <w:noProof/>
          <w:sz w:val="22"/>
          <w:lang w:val="ru-RU"/>
        </w:rPr>
        <w:t xml:space="preserve">ни биологични процеси, които са от голямо значение за здравето и болестите при хората и животните Животински модели </w:t>
      </w:r>
      <w:r>
        <w:rPr>
          <w:rStyle w:val="FootnoteReference"/>
          <w:noProof/>
          <w:sz w:val="22"/>
        </w:rPr>
        <w:footnoteReference w:id="12"/>
      </w:r>
      <w:r>
        <w:rPr>
          <w:noProof/>
          <w:sz w:val="22"/>
          <w:lang w:val="ru-RU"/>
        </w:rPr>
        <w:t xml:space="preserve"> </w:t>
      </w:r>
      <w:r>
        <w:rPr>
          <w:rFonts w:ascii="Times New Roman" w:hAnsi="Times New Roman"/>
          <w:noProof/>
          <w:sz w:val="22"/>
          <w:lang w:val="ru-RU"/>
        </w:rPr>
        <w:t xml:space="preserve"> са използвани също и във връзка с тяхната прогностична ценност в областта на фармакологията и токсикологията</w:t>
      </w:r>
      <w:r>
        <w:rPr>
          <w:rStyle w:val="FootnoteReference"/>
          <w:rFonts w:ascii="Times New Roman" w:hAnsi="Times New Roman"/>
          <w:noProof/>
          <w:sz w:val="22"/>
        </w:rPr>
        <w:footnoteReference w:id="13"/>
      </w:r>
      <w:r>
        <w:rPr>
          <w:rFonts w:ascii="Times New Roman" w:hAnsi="Times New Roman"/>
          <w:noProof/>
          <w:sz w:val="22"/>
          <w:lang w:val="ru-RU"/>
        </w:rPr>
        <w:t xml:space="preserve">. </w:t>
      </w:r>
    </w:p>
    <w:p w:rsidR="00450368" w:rsidRDefault="00450368">
      <w:pPr>
        <w:autoSpaceDE w:val="0"/>
        <w:autoSpaceDN w:val="0"/>
        <w:adjustRightInd w:val="0"/>
        <w:spacing w:after="0"/>
        <w:rPr>
          <w:bCs/>
          <w:noProof/>
          <w:sz w:val="22"/>
          <w:szCs w:val="22"/>
          <w:lang w:val="ru-RU"/>
        </w:rPr>
      </w:pPr>
    </w:p>
    <w:p w:rsidR="00450368" w:rsidRDefault="006B55A0">
      <w:pPr>
        <w:autoSpaceDE w:val="0"/>
        <w:autoSpaceDN w:val="0"/>
        <w:adjustRightInd w:val="0"/>
        <w:spacing w:after="0"/>
        <w:rPr>
          <w:bCs/>
          <w:noProof/>
          <w:sz w:val="22"/>
          <w:szCs w:val="22"/>
          <w:lang w:val="ru-RU"/>
        </w:rPr>
      </w:pPr>
      <w:r>
        <w:rPr>
          <w:noProof/>
          <w:sz w:val="22"/>
          <w:lang w:val="ru-RU"/>
        </w:rPr>
        <w:t>Животинските модели имат</w:t>
      </w:r>
      <w:r>
        <w:rPr>
          <w:noProof/>
          <w:sz w:val="22"/>
          <w:lang w:val="ru-RU"/>
        </w:rPr>
        <w:t xml:space="preserve"> своите силни страни и ограничения, в зависимост от разглеждания въпрос. Например даниото (риба зебра) бе отличен модел за проучване на процесите на развитие на по-висши организми. Мишките са модел с висока информационна стойност за много човешки генетични</w:t>
      </w:r>
      <w:r>
        <w:rPr>
          <w:noProof/>
          <w:sz w:val="22"/>
          <w:lang w:val="ru-RU"/>
        </w:rPr>
        <w:t xml:space="preserve"> заболявания, включително за смущения на слуха, зрението или костите. Мишката, обаче, има ограничено значение за проучването на ебола или СПИН, за които съществуват по-подходящи модели.</w:t>
      </w:r>
    </w:p>
    <w:p w:rsidR="00450368" w:rsidRDefault="00450368">
      <w:pPr>
        <w:autoSpaceDE w:val="0"/>
        <w:autoSpaceDN w:val="0"/>
        <w:adjustRightInd w:val="0"/>
        <w:spacing w:after="0"/>
        <w:rPr>
          <w:bCs/>
          <w:noProof/>
          <w:sz w:val="22"/>
          <w:szCs w:val="22"/>
          <w:lang w:val="ru-RU"/>
        </w:rPr>
      </w:pPr>
    </w:p>
    <w:p w:rsidR="00450368" w:rsidRDefault="006B55A0">
      <w:pPr>
        <w:autoSpaceDE w:val="0"/>
        <w:autoSpaceDN w:val="0"/>
        <w:adjustRightInd w:val="0"/>
        <w:spacing w:after="0"/>
        <w:rPr>
          <w:bCs/>
          <w:noProof/>
          <w:sz w:val="22"/>
          <w:szCs w:val="22"/>
          <w:lang w:val="ru-RU"/>
        </w:rPr>
      </w:pPr>
      <w:r>
        <w:rPr>
          <w:noProof/>
          <w:sz w:val="22"/>
          <w:lang w:val="ru-RU"/>
        </w:rPr>
        <w:t>В последното десетилетие напредъкът на технологиите предизвика револю</w:t>
      </w:r>
      <w:r>
        <w:rPr>
          <w:noProof/>
          <w:sz w:val="22"/>
          <w:lang w:val="ru-RU"/>
        </w:rPr>
        <w:t>ция в биомедицинските изследвания и даде нови възможности за подобряване на нашите познания, като например възможността за определяне на последователността в генома на организмите, изчислителните инструменти за анализиране на биологичните процеси и за симу</w:t>
      </w:r>
      <w:r>
        <w:rPr>
          <w:noProof/>
          <w:sz w:val="22"/>
          <w:lang w:val="ru-RU"/>
        </w:rPr>
        <w:t>лиране на комплексните механизми, свързани със здравето и болестите. Разработваните понастоящем иновативни инструменти включват тримерни човешки тъкани и възстановени мини органи. Тези значителни пробиви дават възможност за разработването на алтернативи на</w:t>
      </w:r>
      <w:r>
        <w:rPr>
          <w:noProof/>
          <w:sz w:val="22"/>
          <w:lang w:val="ru-RU"/>
        </w:rPr>
        <w:t xml:space="preserve"> база клетъчни или тъканни култури, а също и на база на изчислителни методи, като по този начин се намалява използването на животни. </w:t>
      </w:r>
    </w:p>
    <w:p w:rsidR="00450368" w:rsidRDefault="00450368">
      <w:pPr>
        <w:pStyle w:val="Default"/>
        <w:jc w:val="both"/>
        <w:rPr>
          <w:rFonts w:ascii="Times New Roman" w:hAnsi="Times New Roman" w:cs="Times New Roman"/>
          <w:noProof/>
          <w:sz w:val="22"/>
          <w:szCs w:val="22"/>
          <w:lang w:val="ru-RU"/>
        </w:rPr>
      </w:pPr>
    </w:p>
    <w:p w:rsidR="00450368" w:rsidRDefault="006B55A0">
      <w:pPr>
        <w:pStyle w:val="Default"/>
        <w:jc w:val="both"/>
        <w:rPr>
          <w:rFonts w:ascii="Times New Roman" w:hAnsi="Times New Roman" w:cs="Times New Roman"/>
          <w:i/>
          <w:noProof/>
          <w:color w:val="auto"/>
          <w:sz w:val="22"/>
          <w:szCs w:val="22"/>
          <w:lang w:val="ru-RU"/>
        </w:rPr>
      </w:pPr>
      <w:r>
        <w:rPr>
          <w:rFonts w:ascii="Times New Roman" w:hAnsi="Times New Roman"/>
          <w:noProof/>
          <w:sz w:val="22"/>
          <w:lang w:val="ru-RU"/>
        </w:rPr>
        <w:t>Що се отнася до изпитването на химикали за безопасност, за което се използват по-малко от 10</w:t>
      </w:r>
      <w:r>
        <w:rPr>
          <w:rFonts w:ascii="Times New Roman" w:hAnsi="Times New Roman"/>
          <w:noProof/>
          <w:sz w:val="22"/>
        </w:rPr>
        <w:t> </w:t>
      </w:r>
      <w:r>
        <w:rPr>
          <w:rFonts w:ascii="Times New Roman" w:hAnsi="Times New Roman"/>
          <w:noProof/>
          <w:sz w:val="22"/>
          <w:lang w:val="ru-RU"/>
        </w:rPr>
        <w:t>% от опитните животни в ЕС, алтернативи се въвеждат в случаите, при които базисните биологични механизми са добре познати — например при изпитванията за локални вредни въздействия върху кожата и очите. Подобни алтернативи обаче не могат все още да послужат</w:t>
      </w:r>
      <w:r>
        <w:rPr>
          <w:rFonts w:ascii="Times New Roman" w:hAnsi="Times New Roman"/>
          <w:noProof/>
          <w:sz w:val="22"/>
          <w:lang w:val="ru-RU"/>
        </w:rPr>
        <w:t xml:space="preserve"> за адекватно оценяване на по-комплексни токсикологични ефекти. </w:t>
      </w:r>
    </w:p>
    <w:p w:rsidR="00450368" w:rsidRDefault="00450368">
      <w:pPr>
        <w:pStyle w:val="Default"/>
        <w:jc w:val="both"/>
        <w:rPr>
          <w:rFonts w:ascii="Times New Roman" w:hAnsi="Times New Roman" w:cs="Times New Roman"/>
          <w:b/>
          <w:noProof/>
          <w:color w:val="auto"/>
          <w:sz w:val="22"/>
          <w:szCs w:val="22"/>
          <w:lang w:val="ru-RU"/>
        </w:rPr>
      </w:pPr>
    </w:p>
    <w:p w:rsidR="00450368" w:rsidRDefault="00450368">
      <w:pPr>
        <w:pStyle w:val="Default"/>
        <w:jc w:val="both"/>
        <w:rPr>
          <w:rFonts w:ascii="Times New Roman" w:hAnsi="Times New Roman" w:cs="Times New Roman"/>
          <w:b/>
          <w:noProof/>
          <w:color w:val="auto"/>
          <w:sz w:val="22"/>
          <w:szCs w:val="22"/>
          <w:lang w:val="ru-RU"/>
        </w:rPr>
      </w:pPr>
    </w:p>
    <w:p w:rsidR="00450368" w:rsidRDefault="006B55A0">
      <w:pPr>
        <w:autoSpaceDE w:val="0"/>
        <w:autoSpaceDN w:val="0"/>
        <w:adjustRightInd w:val="0"/>
        <w:spacing w:after="0"/>
        <w:jc w:val="left"/>
        <w:rPr>
          <w:b/>
          <w:bCs/>
          <w:noProof/>
          <w:sz w:val="22"/>
          <w:szCs w:val="22"/>
          <w:lang w:val="ru-RU"/>
        </w:rPr>
      </w:pPr>
      <w:r>
        <w:rPr>
          <w:b/>
          <w:noProof/>
          <w:sz w:val="22"/>
          <w:lang w:val="ru-RU"/>
        </w:rPr>
        <w:t>Постепенно прекратяване на опитите с животни</w:t>
      </w:r>
    </w:p>
    <w:p w:rsidR="00450368" w:rsidRDefault="00450368">
      <w:pPr>
        <w:autoSpaceDE w:val="0"/>
        <w:autoSpaceDN w:val="0"/>
        <w:adjustRightInd w:val="0"/>
        <w:spacing w:after="0"/>
        <w:rPr>
          <w:noProof/>
          <w:sz w:val="22"/>
          <w:szCs w:val="22"/>
          <w:highlight w:val="yellow"/>
          <w:lang w:val="ru-RU"/>
        </w:rPr>
      </w:pPr>
    </w:p>
    <w:p w:rsidR="00450368" w:rsidRPr="006B55A0" w:rsidRDefault="006B55A0">
      <w:pPr>
        <w:pStyle w:val="Default"/>
        <w:ind w:firstLine="720"/>
        <w:jc w:val="both"/>
        <w:rPr>
          <w:rFonts w:ascii="Times New Roman" w:hAnsi="Times New Roman"/>
          <w:b/>
          <w:i/>
          <w:noProof/>
          <w:color w:val="auto"/>
          <w:sz w:val="22"/>
          <w:lang w:val="ru-RU"/>
        </w:rPr>
      </w:pPr>
      <w:r w:rsidRPr="006B55A0">
        <w:rPr>
          <w:rFonts w:ascii="Times New Roman" w:hAnsi="Times New Roman"/>
          <w:b/>
          <w:i/>
          <w:noProof/>
          <w:color w:val="auto"/>
          <w:sz w:val="22"/>
          <w:lang w:val="ru-RU"/>
        </w:rPr>
        <w:t>Директива 2010/63/ЕС</w:t>
      </w:r>
    </w:p>
    <w:p w:rsidR="00450368" w:rsidRPr="006B55A0" w:rsidRDefault="00450368">
      <w:pPr>
        <w:pStyle w:val="Default"/>
        <w:jc w:val="both"/>
        <w:rPr>
          <w:rFonts w:ascii="Times New Roman" w:hAnsi="Times New Roman" w:cs="Times New Roman"/>
          <w:b/>
          <w:noProof/>
          <w:color w:val="auto"/>
          <w:sz w:val="22"/>
          <w:szCs w:val="22"/>
          <w:lang w:val="ru-RU"/>
        </w:rPr>
      </w:pPr>
    </w:p>
    <w:p w:rsidR="00450368" w:rsidRDefault="006B55A0">
      <w:pPr>
        <w:pStyle w:val="Default"/>
        <w:jc w:val="both"/>
        <w:rPr>
          <w:rFonts w:ascii="Times New Roman" w:hAnsi="Times New Roman" w:cs="Times New Roman"/>
          <w:noProof/>
          <w:sz w:val="22"/>
          <w:lang w:val="ru-RU"/>
        </w:rPr>
      </w:pPr>
      <w:r>
        <w:rPr>
          <w:rFonts w:ascii="Times New Roman" w:hAnsi="Times New Roman"/>
          <w:noProof/>
          <w:color w:val="auto"/>
          <w:sz w:val="22"/>
          <w:lang w:val="ru-RU"/>
        </w:rPr>
        <w:t>В директивата е посочено, че крайната цел е цялостно прекратяване на опитите с животни, но се признава, че използването н</w:t>
      </w:r>
      <w:r>
        <w:rPr>
          <w:rFonts w:ascii="Times New Roman" w:hAnsi="Times New Roman"/>
          <w:noProof/>
          <w:color w:val="auto"/>
          <w:sz w:val="22"/>
          <w:lang w:val="ru-RU"/>
        </w:rPr>
        <w:t>а животни все още е необходимо по пътя към постигане на тази цел. С Директива</w:t>
      </w:r>
      <w:r>
        <w:rPr>
          <w:rFonts w:ascii="Times New Roman" w:hAnsi="Times New Roman"/>
          <w:noProof/>
          <w:color w:val="auto"/>
          <w:sz w:val="22"/>
        </w:rPr>
        <w:t> </w:t>
      </w:r>
      <w:r>
        <w:rPr>
          <w:rFonts w:ascii="Times New Roman" w:hAnsi="Times New Roman"/>
          <w:noProof/>
          <w:color w:val="auto"/>
          <w:sz w:val="22"/>
          <w:lang w:val="ru-RU"/>
        </w:rPr>
        <w:t>2010/63/</w:t>
      </w:r>
      <w:r>
        <w:rPr>
          <w:rFonts w:ascii="Times New Roman" w:hAnsi="Times New Roman"/>
          <w:noProof/>
          <w:color w:val="auto"/>
          <w:sz w:val="22"/>
        </w:rPr>
        <w:t>E</w:t>
      </w:r>
      <w:r>
        <w:rPr>
          <w:rFonts w:ascii="Times New Roman" w:hAnsi="Times New Roman"/>
          <w:noProof/>
          <w:color w:val="auto"/>
          <w:sz w:val="22"/>
          <w:lang w:val="ru-RU"/>
        </w:rPr>
        <w:t xml:space="preserve">С бяха модернизирани и допълнително хармонизирани правилата за използване на животни в </w:t>
      </w:r>
      <w:r>
        <w:rPr>
          <w:rFonts w:ascii="Times New Roman" w:hAnsi="Times New Roman"/>
          <w:noProof/>
          <w:sz w:val="22"/>
          <w:lang w:val="ru-RU"/>
        </w:rPr>
        <w:t xml:space="preserve">ЕС, в съответствие с най-амбициозните стандарти в света, и по-този начин </w:t>
      </w:r>
      <w:r>
        <w:rPr>
          <w:rFonts w:ascii="Times New Roman" w:hAnsi="Times New Roman"/>
          <w:noProof/>
          <w:sz w:val="22"/>
          <w:lang w:val="ru-RU"/>
        </w:rPr>
        <w:t>значително бе подобрено благосъстоянието на животните при научните изследвания и опити</w:t>
      </w:r>
      <w:r>
        <w:rPr>
          <w:rFonts w:ascii="Times New Roman" w:hAnsi="Times New Roman"/>
          <w:noProof/>
          <w:color w:val="auto"/>
          <w:sz w:val="22"/>
          <w:lang w:val="ru-RU"/>
        </w:rPr>
        <w:t>.</w:t>
      </w:r>
    </w:p>
    <w:p w:rsidR="00450368" w:rsidRDefault="00450368">
      <w:pPr>
        <w:pStyle w:val="Default"/>
        <w:jc w:val="both"/>
        <w:rPr>
          <w:rFonts w:ascii="Times New Roman" w:hAnsi="Times New Roman" w:cs="Times New Roman"/>
          <w:noProof/>
          <w:sz w:val="22"/>
          <w:lang w:val="ru-RU"/>
        </w:rPr>
      </w:pPr>
    </w:p>
    <w:p w:rsidR="00450368" w:rsidRDefault="006B55A0">
      <w:pPr>
        <w:pStyle w:val="Default"/>
        <w:jc w:val="both"/>
        <w:rPr>
          <w:rFonts w:ascii="Times New Roman" w:hAnsi="Times New Roman" w:cs="Times New Roman"/>
          <w:noProof/>
          <w:sz w:val="22"/>
          <w:lang w:val="ru-RU"/>
        </w:rPr>
      </w:pPr>
      <w:r>
        <w:rPr>
          <w:rFonts w:ascii="Times New Roman" w:hAnsi="Times New Roman"/>
          <w:noProof/>
          <w:sz w:val="22"/>
          <w:lang w:val="ru-RU"/>
        </w:rPr>
        <w:t>Новите правила солидно въвеждат в законодателството на ЕС концепцията на „</w:t>
      </w:r>
      <w:r>
        <w:rPr>
          <w:rFonts w:ascii="Times New Roman" w:hAnsi="Times New Roman"/>
          <w:b/>
          <w:noProof/>
          <w:sz w:val="22"/>
          <w:lang w:val="ru-RU"/>
        </w:rPr>
        <w:t xml:space="preserve">Трите </w:t>
      </w:r>
      <w:r>
        <w:rPr>
          <w:rFonts w:ascii="Times New Roman" w:hAnsi="Times New Roman"/>
          <w:b/>
          <w:noProof/>
          <w:sz w:val="22"/>
        </w:rPr>
        <w:t>R</w:t>
      </w:r>
      <w:r>
        <w:rPr>
          <w:rFonts w:ascii="Times New Roman" w:hAnsi="Times New Roman"/>
          <w:noProof/>
          <w:sz w:val="22"/>
          <w:lang w:val="ru-RU"/>
        </w:rPr>
        <w:t>“</w:t>
      </w:r>
      <w:r>
        <w:rPr>
          <w:rStyle w:val="FootnoteReference"/>
          <w:rFonts w:ascii="Times New Roman" w:hAnsi="Times New Roman"/>
          <w:noProof/>
          <w:sz w:val="22"/>
        </w:rPr>
        <w:footnoteReference w:id="14"/>
      </w:r>
      <w:r>
        <w:rPr>
          <w:rFonts w:ascii="Times New Roman" w:hAnsi="Times New Roman"/>
          <w:noProof/>
          <w:sz w:val="22"/>
          <w:lang w:val="ru-RU"/>
        </w:rPr>
        <w:t>, т.е. на изискванията да се замества (</w:t>
      </w:r>
      <w:r>
        <w:rPr>
          <w:rFonts w:ascii="Times New Roman" w:hAnsi="Times New Roman"/>
          <w:b/>
          <w:noProof/>
          <w:sz w:val="22"/>
        </w:rPr>
        <w:t>R</w:t>
      </w:r>
      <w:r>
        <w:rPr>
          <w:rFonts w:ascii="Times New Roman" w:hAnsi="Times New Roman"/>
          <w:noProof/>
          <w:sz w:val="22"/>
        </w:rPr>
        <w:t>eplace</w:t>
      </w:r>
      <w:r>
        <w:rPr>
          <w:rFonts w:ascii="Times New Roman" w:hAnsi="Times New Roman"/>
          <w:noProof/>
          <w:sz w:val="22"/>
          <w:lang w:val="ru-RU"/>
        </w:rPr>
        <w:t>), намалява (</w:t>
      </w:r>
      <w:r>
        <w:rPr>
          <w:rFonts w:ascii="Times New Roman" w:hAnsi="Times New Roman"/>
          <w:b/>
          <w:noProof/>
          <w:sz w:val="22"/>
        </w:rPr>
        <w:t>R</w:t>
      </w:r>
      <w:r>
        <w:rPr>
          <w:rFonts w:ascii="Times New Roman" w:hAnsi="Times New Roman"/>
          <w:noProof/>
          <w:sz w:val="22"/>
        </w:rPr>
        <w:t>educe</w:t>
      </w:r>
      <w:r>
        <w:rPr>
          <w:rFonts w:ascii="Times New Roman" w:hAnsi="Times New Roman"/>
          <w:noProof/>
          <w:sz w:val="22"/>
          <w:lang w:val="ru-RU"/>
        </w:rPr>
        <w:t>) и облекчава (</w:t>
      </w:r>
      <w:r>
        <w:rPr>
          <w:rFonts w:ascii="Times New Roman" w:hAnsi="Times New Roman"/>
          <w:b/>
          <w:noProof/>
          <w:sz w:val="22"/>
        </w:rPr>
        <w:t>R</w:t>
      </w:r>
      <w:r>
        <w:rPr>
          <w:rFonts w:ascii="Times New Roman" w:hAnsi="Times New Roman"/>
          <w:noProof/>
          <w:sz w:val="22"/>
        </w:rPr>
        <w:t>efi</w:t>
      </w:r>
      <w:r>
        <w:rPr>
          <w:rFonts w:ascii="Times New Roman" w:hAnsi="Times New Roman"/>
          <w:noProof/>
          <w:sz w:val="22"/>
        </w:rPr>
        <w:t>ne</w:t>
      </w:r>
      <w:r>
        <w:rPr>
          <w:rFonts w:ascii="Times New Roman" w:hAnsi="Times New Roman"/>
          <w:noProof/>
          <w:sz w:val="22"/>
          <w:lang w:val="ru-RU"/>
        </w:rPr>
        <w:t>) използването на животни когато това е възможно. Това означава, че проучванията с използване на животни следва да бъдат или заместени с методи без използване на животни, или адаптирани така, че да се намали броят на необходимите животни, или облекчени п</w:t>
      </w:r>
      <w:r>
        <w:rPr>
          <w:rFonts w:ascii="Times New Roman" w:hAnsi="Times New Roman"/>
          <w:noProof/>
          <w:sz w:val="22"/>
          <w:lang w:val="ru-RU"/>
        </w:rPr>
        <w:t>о начин, свеждащ до минимум изпитваните от животното болка, страдание и дистрес, или подобряващ неговото благосъстояние. Ако съществува алтернативен подход за постигане на научно-изследователската цел, неговото използване е задължително съгласно директиват</w:t>
      </w:r>
      <w:r>
        <w:rPr>
          <w:rFonts w:ascii="Times New Roman" w:hAnsi="Times New Roman"/>
          <w:noProof/>
          <w:sz w:val="22"/>
          <w:lang w:val="ru-RU"/>
        </w:rPr>
        <w:t xml:space="preserve">а. </w:t>
      </w:r>
    </w:p>
    <w:p w:rsidR="00450368" w:rsidRDefault="00450368">
      <w:pPr>
        <w:pStyle w:val="Default"/>
        <w:jc w:val="both"/>
        <w:rPr>
          <w:rFonts w:ascii="Times New Roman" w:hAnsi="Times New Roman" w:cs="Times New Roman"/>
          <w:noProof/>
          <w:sz w:val="22"/>
          <w:lang w:val="ru-RU"/>
        </w:rPr>
      </w:pPr>
    </w:p>
    <w:p w:rsidR="00450368" w:rsidRDefault="006B55A0">
      <w:pPr>
        <w:pStyle w:val="Default"/>
        <w:jc w:val="both"/>
        <w:rPr>
          <w:rFonts w:ascii="Times New Roman" w:hAnsi="Times New Roman" w:cs="Times New Roman"/>
          <w:noProof/>
          <w:highlight w:val="yellow"/>
          <w:lang w:val="ru-RU"/>
        </w:rPr>
      </w:pPr>
      <w:r>
        <w:rPr>
          <w:rFonts w:ascii="Times New Roman" w:hAnsi="Times New Roman"/>
          <w:noProof/>
          <w:sz w:val="22"/>
          <w:lang w:val="ru-RU"/>
        </w:rPr>
        <w:t xml:space="preserve">С директивата е въведена концепцията за трите </w:t>
      </w:r>
      <w:r>
        <w:rPr>
          <w:rFonts w:ascii="Times New Roman" w:hAnsi="Times New Roman"/>
          <w:noProof/>
          <w:sz w:val="22"/>
        </w:rPr>
        <w:t>R</w:t>
      </w:r>
      <w:r>
        <w:rPr>
          <w:rFonts w:ascii="Times New Roman" w:hAnsi="Times New Roman"/>
          <w:noProof/>
          <w:sz w:val="22"/>
          <w:lang w:val="ru-RU"/>
        </w:rPr>
        <w:t xml:space="preserve"> посредством няколко принципа</w:t>
      </w:r>
      <w:r>
        <w:rPr>
          <w:rStyle w:val="FootnoteReference"/>
          <w:rFonts w:ascii="Times New Roman" w:hAnsi="Times New Roman"/>
          <w:noProof/>
          <w:sz w:val="22"/>
        </w:rPr>
        <w:footnoteReference w:id="15"/>
      </w:r>
      <w:r>
        <w:rPr>
          <w:rFonts w:ascii="Times New Roman" w:hAnsi="Times New Roman"/>
          <w:noProof/>
          <w:sz w:val="22"/>
          <w:lang w:val="ru-RU"/>
        </w:rPr>
        <w:t>, като например:</w:t>
      </w:r>
    </w:p>
    <w:p w:rsidR="00450368" w:rsidRDefault="006B55A0">
      <w:pPr>
        <w:pStyle w:val="NormalWeb"/>
        <w:numPr>
          <w:ilvl w:val="0"/>
          <w:numId w:val="24"/>
        </w:numPr>
        <w:spacing w:before="0" w:beforeAutospacing="0" w:after="0" w:afterAutospacing="0"/>
        <w:jc w:val="both"/>
        <w:rPr>
          <w:noProof/>
          <w:sz w:val="22"/>
          <w:szCs w:val="22"/>
          <w:lang w:val="ru-RU"/>
        </w:rPr>
      </w:pPr>
      <w:r>
        <w:rPr>
          <w:i/>
          <w:noProof/>
          <w:lang w:val="ru-RU"/>
        </w:rPr>
        <w:t>Системно оценяване на проектите</w:t>
      </w:r>
      <w:r>
        <w:rPr>
          <w:noProof/>
          <w:lang w:val="ru-RU"/>
        </w:rPr>
        <w:t xml:space="preserve"> за всяко предложено използване на живи животни от компетентен орган, който трябва да взема предвид етични съображения при опр</w:t>
      </w:r>
      <w:r>
        <w:rPr>
          <w:noProof/>
          <w:lang w:val="ru-RU"/>
        </w:rPr>
        <w:t>еделянето на тежестта на потенциалните увреждания на животните в съпоставка с очакваните ползи от проекта за хората, животните и околната среда.</w:t>
      </w:r>
    </w:p>
    <w:p w:rsidR="00450368" w:rsidRDefault="006B55A0">
      <w:pPr>
        <w:pStyle w:val="NormalWeb"/>
        <w:numPr>
          <w:ilvl w:val="0"/>
          <w:numId w:val="24"/>
        </w:numPr>
        <w:spacing w:before="0" w:beforeAutospacing="0" w:after="0" w:afterAutospacing="0"/>
        <w:jc w:val="both"/>
        <w:rPr>
          <w:noProof/>
          <w:sz w:val="22"/>
          <w:szCs w:val="22"/>
          <w:lang w:val="ru-RU"/>
        </w:rPr>
      </w:pPr>
      <w:r>
        <w:rPr>
          <w:noProof/>
          <w:sz w:val="22"/>
          <w:lang w:val="ru-RU"/>
        </w:rPr>
        <w:t>Подобрени са специфичните изисквания за о</w:t>
      </w:r>
      <w:r>
        <w:rPr>
          <w:i/>
          <w:noProof/>
          <w:sz w:val="22"/>
          <w:lang w:val="ru-RU"/>
        </w:rPr>
        <w:t>бразованието, обучението и компетентността на персонала</w:t>
      </w:r>
      <w:r>
        <w:rPr>
          <w:noProof/>
          <w:sz w:val="22"/>
          <w:lang w:val="ru-RU"/>
        </w:rPr>
        <w:t>. Целият персон</w:t>
      </w:r>
      <w:r>
        <w:rPr>
          <w:noProof/>
          <w:sz w:val="22"/>
          <w:lang w:val="ru-RU"/>
        </w:rPr>
        <w:t>ал, който се занимава с животни, трябва да докаже изискваната компетентност.</w:t>
      </w:r>
    </w:p>
    <w:p w:rsidR="00450368" w:rsidRDefault="006B55A0">
      <w:pPr>
        <w:pStyle w:val="NormalWeb"/>
        <w:numPr>
          <w:ilvl w:val="0"/>
          <w:numId w:val="24"/>
        </w:numPr>
        <w:spacing w:before="0" w:beforeAutospacing="0" w:after="0" w:afterAutospacing="0"/>
        <w:jc w:val="both"/>
        <w:rPr>
          <w:rStyle w:val="Strong"/>
          <w:b w:val="0"/>
          <w:bCs w:val="0"/>
          <w:noProof/>
          <w:sz w:val="22"/>
          <w:szCs w:val="22"/>
          <w:lang w:val="ru-RU"/>
        </w:rPr>
      </w:pPr>
      <w:r>
        <w:rPr>
          <w:rStyle w:val="Strong"/>
          <w:b w:val="0"/>
          <w:i/>
          <w:noProof/>
          <w:sz w:val="22"/>
          <w:lang w:val="ru-RU"/>
        </w:rPr>
        <w:t>По-подробно и цялостно докладване</w:t>
      </w:r>
      <w:r>
        <w:rPr>
          <w:rStyle w:val="FootnoteReference"/>
          <w:i/>
          <w:noProof/>
          <w:sz w:val="22"/>
          <w:lang w:val="ru-RU"/>
        </w:rPr>
        <w:t xml:space="preserve"> </w:t>
      </w:r>
      <w:r>
        <w:rPr>
          <w:rStyle w:val="FootnoteReference"/>
          <w:i/>
          <w:noProof/>
          <w:sz w:val="22"/>
        </w:rPr>
        <w:footnoteReference w:id="16"/>
      </w:r>
      <w:r>
        <w:rPr>
          <w:rStyle w:val="Strong"/>
          <w:b w:val="0"/>
          <w:i/>
          <w:noProof/>
          <w:sz w:val="22"/>
          <w:lang w:val="ru-RU"/>
        </w:rPr>
        <w:t xml:space="preserve"> </w:t>
      </w:r>
      <w:r>
        <w:rPr>
          <w:rStyle w:val="Strong"/>
          <w:b w:val="0"/>
          <w:noProof/>
          <w:sz w:val="22"/>
          <w:lang w:val="ru-RU"/>
        </w:rPr>
        <w:t>по отношение на използваните за научни цели животни.</w:t>
      </w:r>
    </w:p>
    <w:p w:rsidR="00450368" w:rsidRDefault="006B55A0">
      <w:pPr>
        <w:pStyle w:val="NormalWeb"/>
        <w:numPr>
          <w:ilvl w:val="0"/>
          <w:numId w:val="24"/>
        </w:numPr>
        <w:spacing w:before="0" w:beforeAutospacing="0" w:after="0" w:afterAutospacing="0"/>
        <w:jc w:val="both"/>
        <w:rPr>
          <w:rStyle w:val="Strong"/>
          <w:b w:val="0"/>
          <w:bCs w:val="0"/>
          <w:noProof/>
          <w:szCs w:val="20"/>
          <w:lang w:val="ru-RU"/>
        </w:rPr>
      </w:pPr>
      <w:r>
        <w:rPr>
          <w:noProof/>
          <w:sz w:val="22"/>
          <w:lang w:val="ru-RU"/>
        </w:rPr>
        <w:t xml:space="preserve">По-солидни и бързи механизми за </w:t>
      </w:r>
      <w:r>
        <w:rPr>
          <w:i/>
          <w:noProof/>
          <w:sz w:val="22"/>
          <w:lang w:val="ru-RU"/>
        </w:rPr>
        <w:t>разработване, валидиране</w:t>
      </w:r>
      <w:r>
        <w:rPr>
          <w:rStyle w:val="FootnoteReference"/>
          <w:i/>
          <w:noProof/>
          <w:sz w:val="22"/>
        </w:rPr>
        <w:footnoteReference w:id="17"/>
      </w:r>
      <w:r>
        <w:rPr>
          <w:i/>
          <w:noProof/>
          <w:sz w:val="22"/>
          <w:lang w:val="ru-RU"/>
        </w:rPr>
        <w:t xml:space="preserve"> и навлизане в практиката на алтернативни подходи</w:t>
      </w:r>
      <w:r>
        <w:rPr>
          <w:noProof/>
          <w:sz w:val="22"/>
          <w:lang w:val="ru-RU"/>
        </w:rPr>
        <w:t xml:space="preserve">. </w:t>
      </w:r>
    </w:p>
    <w:p w:rsidR="00450368" w:rsidRDefault="00450368">
      <w:pPr>
        <w:autoSpaceDE w:val="0"/>
        <w:autoSpaceDN w:val="0"/>
        <w:adjustRightInd w:val="0"/>
        <w:spacing w:after="120"/>
        <w:rPr>
          <w:bCs/>
          <w:noProof/>
          <w:sz w:val="22"/>
          <w:szCs w:val="22"/>
          <w:lang w:val="ru-RU"/>
        </w:rPr>
      </w:pPr>
    </w:p>
    <w:p w:rsidR="00450368" w:rsidRDefault="006B55A0">
      <w:pPr>
        <w:autoSpaceDE w:val="0"/>
        <w:autoSpaceDN w:val="0"/>
        <w:adjustRightInd w:val="0"/>
        <w:spacing w:after="120"/>
        <w:rPr>
          <w:noProof/>
          <w:sz w:val="22"/>
          <w:szCs w:val="22"/>
          <w:lang w:val="ru-RU"/>
        </w:rPr>
      </w:pPr>
      <w:r>
        <w:rPr>
          <w:noProof/>
          <w:sz w:val="22"/>
          <w:lang w:val="ru-RU"/>
        </w:rPr>
        <w:t>Всички държави членки изцяло са завършили транспонирането на тези разпоредби в националното законодателство и сега носят отговорност за тяхното привеждане в изпълнение. Планирано е ефикасността на директ</w:t>
      </w:r>
      <w:r>
        <w:rPr>
          <w:noProof/>
          <w:sz w:val="22"/>
          <w:lang w:val="ru-RU"/>
        </w:rPr>
        <w:t>ивата да бъде оценена през 2017</w:t>
      </w:r>
      <w:r>
        <w:rPr>
          <w:noProof/>
          <w:sz w:val="22"/>
        </w:rPr>
        <w:t> </w:t>
      </w:r>
      <w:r>
        <w:rPr>
          <w:noProof/>
          <w:sz w:val="22"/>
          <w:lang w:val="ru-RU"/>
        </w:rPr>
        <w:t>г.</w:t>
      </w:r>
    </w:p>
    <w:p w:rsidR="00450368" w:rsidRDefault="00450368">
      <w:pPr>
        <w:spacing w:after="0"/>
        <w:jc w:val="left"/>
        <w:rPr>
          <w:b/>
          <w:noProof/>
          <w:sz w:val="22"/>
          <w:szCs w:val="22"/>
          <w:highlight w:val="green"/>
          <w:lang w:val="ru-RU"/>
        </w:rPr>
      </w:pPr>
    </w:p>
    <w:p w:rsidR="00450368" w:rsidRDefault="006B55A0">
      <w:pPr>
        <w:pStyle w:val="NormalWeb"/>
        <w:spacing w:before="0" w:beforeAutospacing="0" w:after="0" w:afterAutospacing="0"/>
        <w:jc w:val="both"/>
        <w:rPr>
          <w:noProof/>
          <w:sz w:val="22"/>
          <w:szCs w:val="22"/>
          <w:lang w:val="ru-RU"/>
        </w:rPr>
      </w:pPr>
      <w:r>
        <w:rPr>
          <w:noProof/>
          <w:sz w:val="22"/>
          <w:lang w:val="ru-RU"/>
        </w:rPr>
        <w:t>С директивата бе нормативно установен и разширен мандатът на Референтната лаборатория на Европейския съюз за алтернативи на опитите с животни (</w:t>
      </w:r>
      <w:r>
        <w:rPr>
          <w:noProof/>
          <w:sz w:val="22"/>
        </w:rPr>
        <w:t>EURL</w:t>
      </w:r>
      <w:r>
        <w:rPr>
          <w:noProof/>
          <w:sz w:val="22"/>
          <w:lang w:val="ru-RU"/>
        </w:rPr>
        <w:t xml:space="preserve"> </w:t>
      </w:r>
      <w:r>
        <w:rPr>
          <w:noProof/>
          <w:sz w:val="22"/>
        </w:rPr>
        <w:t>ECVAM</w:t>
      </w:r>
      <w:r>
        <w:rPr>
          <w:noProof/>
          <w:sz w:val="22"/>
          <w:lang w:val="ru-RU"/>
        </w:rPr>
        <w:t>)</w:t>
      </w:r>
      <w:r>
        <w:rPr>
          <w:rStyle w:val="FootnoteReference"/>
          <w:noProof/>
          <w:sz w:val="22"/>
        </w:rPr>
        <w:footnoteReference w:id="18"/>
      </w:r>
      <w:r>
        <w:rPr>
          <w:noProof/>
          <w:sz w:val="22"/>
          <w:lang w:val="ru-RU"/>
        </w:rPr>
        <w:t xml:space="preserve">, която трябва да координира и насърчава разработването и </w:t>
      </w:r>
      <w:r>
        <w:rPr>
          <w:noProof/>
          <w:sz w:val="22"/>
          <w:lang w:val="ru-RU"/>
        </w:rPr>
        <w:t>използването на съответни алтернативи. Държавите членки са нормативно задължени да допринасят за тази съществена дейност. Създадена бе мрежа от национални регулатори, която да дава указания за валидирането на методи при най-висока степен на регулаторна съо</w:t>
      </w:r>
      <w:r>
        <w:rPr>
          <w:noProof/>
          <w:sz w:val="22"/>
          <w:lang w:val="ru-RU"/>
        </w:rPr>
        <w:t>бразност (</w:t>
      </w:r>
      <w:r>
        <w:rPr>
          <w:noProof/>
          <w:sz w:val="22"/>
        </w:rPr>
        <w:t>PARERE</w:t>
      </w:r>
      <w:r>
        <w:rPr>
          <w:noProof/>
          <w:sz w:val="22"/>
          <w:lang w:val="ru-RU"/>
        </w:rPr>
        <w:t>-</w:t>
      </w:r>
      <w:r>
        <w:rPr>
          <w:noProof/>
          <w:sz w:val="22"/>
        </w:rPr>
        <w:t>Network</w:t>
      </w:r>
      <w:r>
        <w:rPr>
          <w:noProof/>
          <w:sz w:val="22"/>
          <w:lang w:val="ru-RU"/>
        </w:rPr>
        <w:t>)</w:t>
      </w:r>
      <w:r>
        <w:rPr>
          <w:rStyle w:val="FootnoteReference"/>
          <w:noProof/>
          <w:sz w:val="22"/>
        </w:rPr>
        <w:footnoteReference w:id="19"/>
      </w:r>
      <w:r>
        <w:rPr>
          <w:noProof/>
          <w:sz w:val="22"/>
          <w:lang w:val="ru-RU"/>
        </w:rPr>
        <w:t>. И накрая, държавите членки трябва да номинират квалифицирани лаборатории, които да съдействат за валидационните дейности (</w:t>
      </w:r>
      <w:r>
        <w:rPr>
          <w:noProof/>
          <w:sz w:val="22"/>
        </w:rPr>
        <w:t>EU</w:t>
      </w:r>
      <w:r>
        <w:rPr>
          <w:noProof/>
          <w:sz w:val="22"/>
          <w:lang w:val="ru-RU"/>
        </w:rPr>
        <w:t>-</w:t>
      </w:r>
      <w:r>
        <w:rPr>
          <w:noProof/>
          <w:sz w:val="22"/>
        </w:rPr>
        <w:t>NETVAL</w:t>
      </w:r>
      <w:r>
        <w:rPr>
          <w:noProof/>
          <w:sz w:val="22"/>
          <w:lang w:val="ru-RU"/>
        </w:rPr>
        <w:t>)</w:t>
      </w:r>
      <w:r>
        <w:rPr>
          <w:rStyle w:val="FootnoteReference"/>
          <w:noProof/>
          <w:sz w:val="22"/>
        </w:rPr>
        <w:footnoteReference w:id="20"/>
      </w:r>
      <w:r>
        <w:rPr>
          <w:noProof/>
          <w:sz w:val="22"/>
          <w:lang w:val="ru-RU"/>
        </w:rPr>
        <w:t>, както и да насърчават на национално ниво алтернативи на опитите с животни.</w:t>
      </w:r>
    </w:p>
    <w:p w:rsidR="00450368" w:rsidRDefault="00450368">
      <w:pPr>
        <w:pStyle w:val="NormalWeb"/>
        <w:spacing w:before="0" w:beforeAutospacing="0" w:after="0" w:afterAutospacing="0"/>
        <w:jc w:val="both"/>
        <w:rPr>
          <w:noProof/>
          <w:lang w:val="ru-RU"/>
        </w:rPr>
      </w:pPr>
    </w:p>
    <w:p w:rsidR="00450368" w:rsidRDefault="006B55A0">
      <w:pPr>
        <w:pageBreakBefore/>
        <w:autoSpaceDE w:val="0"/>
        <w:autoSpaceDN w:val="0"/>
        <w:adjustRightInd w:val="0"/>
        <w:spacing w:after="0"/>
        <w:ind w:firstLine="357"/>
        <w:jc w:val="left"/>
        <w:rPr>
          <w:b/>
          <w:i/>
          <w:noProof/>
          <w:sz w:val="22"/>
          <w:szCs w:val="22"/>
          <w:lang w:val="ru-RU"/>
        </w:rPr>
      </w:pPr>
      <w:r>
        <w:rPr>
          <w:b/>
          <w:i/>
          <w:noProof/>
          <w:sz w:val="22"/>
          <w:lang w:val="ru-RU"/>
        </w:rPr>
        <w:t xml:space="preserve">Научни </w:t>
      </w:r>
      <w:r>
        <w:rPr>
          <w:b/>
          <w:i/>
          <w:noProof/>
          <w:sz w:val="22"/>
          <w:lang w:val="ru-RU"/>
        </w:rPr>
        <w:t>изследвания на ЕС за алтернативни подходи</w:t>
      </w:r>
    </w:p>
    <w:p w:rsidR="00450368" w:rsidRDefault="006B55A0">
      <w:pPr>
        <w:pStyle w:val="NormalWeb"/>
        <w:jc w:val="both"/>
        <w:rPr>
          <w:noProof/>
          <w:sz w:val="22"/>
          <w:szCs w:val="22"/>
          <w:lang w:val="ru-RU"/>
        </w:rPr>
      </w:pPr>
      <w:r>
        <w:rPr>
          <w:noProof/>
          <w:sz w:val="22"/>
          <w:lang w:val="ru-RU"/>
        </w:rPr>
        <w:t>Рамковите програми на ЕС за научни изследвания и иновации (</w:t>
      </w:r>
      <w:r>
        <w:rPr>
          <w:noProof/>
          <w:sz w:val="22"/>
        </w:rPr>
        <w:t>FPs</w:t>
      </w:r>
      <w:r>
        <w:rPr>
          <w:noProof/>
          <w:sz w:val="22"/>
          <w:lang w:val="ru-RU"/>
        </w:rPr>
        <w:t>) имат за цел осигуряване на водещи научни постижения, както и да отстраняват препятствия за иновациите и да улесняват съвместното реализиране на иновац</w:t>
      </w:r>
      <w:r>
        <w:rPr>
          <w:noProof/>
          <w:sz w:val="22"/>
          <w:lang w:val="ru-RU"/>
        </w:rPr>
        <w:t>ии от публичния и частния сектор. Рамковите програми на ЕС са насочени към големи обществени предизвикателства и са допринесли много за разработването на алтернативи на опитите с животни.</w:t>
      </w:r>
    </w:p>
    <w:p w:rsidR="00450368" w:rsidRDefault="006B55A0">
      <w:pPr>
        <w:pStyle w:val="NormalWeb"/>
        <w:jc w:val="both"/>
        <w:rPr>
          <w:noProof/>
          <w:sz w:val="22"/>
          <w:szCs w:val="22"/>
          <w:lang w:val="ru-RU"/>
        </w:rPr>
      </w:pPr>
      <w:r>
        <w:rPr>
          <w:noProof/>
          <w:sz w:val="22"/>
          <w:lang w:val="ru-RU"/>
        </w:rPr>
        <w:t>По време на Седмата рамкова програма (2007—2013</w:t>
      </w:r>
      <w:r>
        <w:rPr>
          <w:noProof/>
          <w:sz w:val="22"/>
        </w:rPr>
        <w:t> </w:t>
      </w:r>
      <w:r>
        <w:rPr>
          <w:noProof/>
          <w:sz w:val="22"/>
          <w:lang w:val="ru-RU"/>
        </w:rPr>
        <w:t>г.) над 250</w:t>
      </w:r>
      <w:r>
        <w:rPr>
          <w:noProof/>
          <w:sz w:val="22"/>
        </w:rPr>
        <w:t> </w:t>
      </w:r>
      <w:r>
        <w:rPr>
          <w:noProof/>
          <w:sz w:val="22"/>
          <w:lang w:val="ru-RU"/>
        </w:rPr>
        <w:t>милиона</w:t>
      </w:r>
      <w:r>
        <w:rPr>
          <w:noProof/>
          <w:sz w:val="22"/>
        </w:rPr>
        <w:t> </w:t>
      </w:r>
      <w:r>
        <w:rPr>
          <w:noProof/>
          <w:sz w:val="22"/>
          <w:lang w:val="ru-RU"/>
        </w:rPr>
        <w:t>евро са били предназначени за изследвания във връзка с такива алтернативи. Като част от тази дейност са съфинансирани като публично-частни партньорства шест големи проекта на обща стойност 140</w:t>
      </w:r>
      <w:r>
        <w:rPr>
          <w:noProof/>
          <w:sz w:val="22"/>
        </w:rPr>
        <w:t> </w:t>
      </w:r>
      <w:r>
        <w:rPr>
          <w:noProof/>
          <w:sz w:val="22"/>
          <w:lang w:val="ru-RU"/>
        </w:rPr>
        <w:t>милиона</w:t>
      </w:r>
      <w:r>
        <w:rPr>
          <w:noProof/>
          <w:sz w:val="22"/>
        </w:rPr>
        <w:t> </w:t>
      </w:r>
      <w:r>
        <w:rPr>
          <w:noProof/>
          <w:sz w:val="22"/>
          <w:lang w:val="ru-RU"/>
        </w:rPr>
        <w:t xml:space="preserve">евро съответно в областта на козметичната промишленост </w:t>
      </w:r>
      <w:r>
        <w:rPr>
          <w:noProof/>
          <w:sz w:val="22"/>
          <w:lang w:val="ru-RU"/>
        </w:rPr>
        <w:t xml:space="preserve">(чрез Европейска асоциация на производителите на козметика </w:t>
      </w:r>
      <w:r>
        <w:rPr>
          <w:noProof/>
          <w:sz w:val="22"/>
        </w:rPr>
        <w:t>Cosmetics</w:t>
      </w:r>
      <w:r>
        <w:rPr>
          <w:noProof/>
          <w:sz w:val="22"/>
          <w:lang w:val="ru-RU"/>
        </w:rPr>
        <w:t xml:space="preserve"> </w:t>
      </w:r>
      <w:r>
        <w:rPr>
          <w:noProof/>
          <w:sz w:val="22"/>
        </w:rPr>
        <w:t>Europe</w:t>
      </w:r>
      <w:r>
        <w:rPr>
          <w:noProof/>
          <w:sz w:val="22"/>
          <w:lang w:val="ru-RU"/>
        </w:rPr>
        <w:t>) и на Инициативата за иновативни лекарства (</w:t>
      </w:r>
      <w:r>
        <w:rPr>
          <w:noProof/>
          <w:sz w:val="22"/>
        </w:rPr>
        <w:t>IMI</w:t>
      </w:r>
      <w:r>
        <w:rPr>
          <w:noProof/>
          <w:sz w:val="22"/>
          <w:lang w:val="ru-RU"/>
        </w:rPr>
        <w:t xml:space="preserve">). </w:t>
      </w:r>
      <w:r>
        <w:rPr>
          <w:noProof/>
          <w:sz w:val="22"/>
        </w:rPr>
        <w:t>IMI</w:t>
      </w:r>
      <w:r>
        <w:rPr>
          <w:noProof/>
          <w:sz w:val="22"/>
          <w:lang w:val="ru-RU"/>
        </w:rPr>
        <w:t xml:space="preserve"> е публично-частно партньорство между Европейската комисия и Европейската федерация на фармацевтичните предприятия и асоциации </w:t>
      </w:r>
      <w:r>
        <w:rPr>
          <w:noProof/>
          <w:sz w:val="22"/>
          <w:lang w:val="ru-RU"/>
        </w:rPr>
        <w:t>(</w:t>
      </w:r>
      <w:r>
        <w:rPr>
          <w:noProof/>
          <w:sz w:val="22"/>
        </w:rPr>
        <w:t>European</w:t>
      </w:r>
      <w:r>
        <w:rPr>
          <w:noProof/>
          <w:sz w:val="22"/>
          <w:lang w:val="ru-RU"/>
        </w:rPr>
        <w:t xml:space="preserve"> </w:t>
      </w:r>
      <w:r>
        <w:rPr>
          <w:noProof/>
          <w:sz w:val="22"/>
        </w:rPr>
        <w:t>Federation</w:t>
      </w:r>
      <w:r>
        <w:rPr>
          <w:noProof/>
          <w:sz w:val="22"/>
          <w:lang w:val="ru-RU"/>
        </w:rPr>
        <w:t xml:space="preserve"> </w:t>
      </w:r>
      <w:r>
        <w:rPr>
          <w:noProof/>
          <w:sz w:val="22"/>
        </w:rPr>
        <w:t>of</w:t>
      </w:r>
      <w:r>
        <w:rPr>
          <w:noProof/>
          <w:sz w:val="22"/>
          <w:lang w:val="ru-RU"/>
        </w:rPr>
        <w:t xml:space="preserve"> </w:t>
      </w:r>
      <w:r>
        <w:rPr>
          <w:noProof/>
          <w:sz w:val="22"/>
        </w:rPr>
        <w:t>Pharmaceutical</w:t>
      </w:r>
      <w:r>
        <w:rPr>
          <w:noProof/>
          <w:sz w:val="22"/>
          <w:lang w:val="ru-RU"/>
        </w:rPr>
        <w:t xml:space="preserve"> </w:t>
      </w:r>
      <w:r>
        <w:rPr>
          <w:noProof/>
          <w:sz w:val="22"/>
        </w:rPr>
        <w:t>Industries</w:t>
      </w:r>
      <w:r>
        <w:rPr>
          <w:noProof/>
          <w:sz w:val="22"/>
          <w:lang w:val="ru-RU"/>
        </w:rPr>
        <w:t xml:space="preserve"> </w:t>
      </w:r>
      <w:r>
        <w:rPr>
          <w:noProof/>
          <w:sz w:val="22"/>
        </w:rPr>
        <w:t>and</w:t>
      </w:r>
      <w:r>
        <w:rPr>
          <w:noProof/>
          <w:sz w:val="22"/>
          <w:lang w:val="ru-RU"/>
        </w:rPr>
        <w:t xml:space="preserve"> </w:t>
      </w:r>
      <w:r>
        <w:rPr>
          <w:noProof/>
          <w:sz w:val="22"/>
        </w:rPr>
        <w:t>Association</w:t>
      </w:r>
      <w:r>
        <w:rPr>
          <w:noProof/>
          <w:sz w:val="22"/>
          <w:lang w:val="ru-RU"/>
        </w:rPr>
        <w:t>), което извършва дейност за подобряване на здравето чрез разработване на иновативни лекарства, особено в области, в които съществуват незадоволени медицински или социални потребности.</w:t>
      </w:r>
    </w:p>
    <w:p w:rsidR="00450368" w:rsidRDefault="006B55A0">
      <w:pPr>
        <w:pStyle w:val="NormalWeb"/>
        <w:jc w:val="both"/>
        <w:rPr>
          <w:noProof/>
          <w:sz w:val="22"/>
          <w:szCs w:val="22"/>
          <w:lang w:val="ru-RU"/>
        </w:rPr>
      </w:pPr>
      <w:r>
        <w:rPr>
          <w:noProof/>
          <w:lang w:val="ru-RU"/>
        </w:rPr>
        <w:t>Текуща</w:t>
      </w:r>
      <w:r>
        <w:rPr>
          <w:noProof/>
          <w:lang w:val="ru-RU"/>
        </w:rPr>
        <w:t>та програма на ЕС за научни изследвания и иновация „Хоризонт</w:t>
      </w:r>
      <w:r>
        <w:rPr>
          <w:noProof/>
        </w:rPr>
        <w:t> </w:t>
      </w:r>
      <w:r>
        <w:rPr>
          <w:noProof/>
          <w:lang w:val="ru-RU"/>
        </w:rPr>
        <w:t>2020“ представлява надграждане над постиженията по Седмата рамкова програма и осигурява финансиране за подобряване на безопасността за хората.</w:t>
      </w:r>
      <w:r>
        <w:rPr>
          <w:noProof/>
          <w:sz w:val="22"/>
          <w:lang w:val="ru-RU"/>
        </w:rPr>
        <w:t xml:space="preserve"> Бяха финансирани или са в процес на финансиране реди</w:t>
      </w:r>
      <w:r>
        <w:rPr>
          <w:noProof/>
          <w:sz w:val="22"/>
          <w:lang w:val="ru-RU"/>
        </w:rPr>
        <w:t>ца научно-изследователски проекти по програмата „Хоризонт</w:t>
      </w:r>
      <w:r>
        <w:rPr>
          <w:noProof/>
          <w:sz w:val="22"/>
        </w:rPr>
        <w:t> </w:t>
      </w:r>
      <w:r>
        <w:rPr>
          <w:noProof/>
          <w:sz w:val="22"/>
          <w:lang w:val="ru-RU"/>
        </w:rPr>
        <w:t>2020“, имащи за цел разработване и валидиране на методи без използване на животни за оценка на безопасността на химикали, замърсители на храни и наноматериали.</w:t>
      </w:r>
      <w:r>
        <w:rPr>
          <w:noProof/>
          <w:lang w:val="ru-RU"/>
        </w:rPr>
        <w:t xml:space="preserve"> </w:t>
      </w:r>
      <w:r>
        <w:rPr>
          <w:noProof/>
          <w:sz w:val="22"/>
          <w:lang w:val="ru-RU"/>
        </w:rPr>
        <w:t>Първите покани за предложения за проек</w:t>
      </w:r>
      <w:r>
        <w:rPr>
          <w:noProof/>
          <w:sz w:val="22"/>
          <w:lang w:val="ru-RU"/>
        </w:rPr>
        <w:t>ти по инициативата „</w:t>
      </w:r>
      <w:r>
        <w:rPr>
          <w:noProof/>
          <w:sz w:val="22"/>
        </w:rPr>
        <w:t>IMI</w:t>
      </w:r>
      <w:r>
        <w:rPr>
          <w:noProof/>
          <w:sz w:val="22"/>
          <w:lang w:val="ru-RU"/>
        </w:rPr>
        <w:t>2“ включват въпроси, свързани с алтернативното изпитване, като например „консистентният подход към качествения контрол при производството на ваксини“, което е призив за нов подход за подобряване на качествения контрол на възприети ху</w:t>
      </w:r>
      <w:r>
        <w:rPr>
          <w:noProof/>
          <w:sz w:val="22"/>
          <w:lang w:val="ru-RU"/>
        </w:rPr>
        <w:t>манни или ветеринарни ваксини с прилагане на методи без използване на животни</w:t>
      </w:r>
      <w:r>
        <w:rPr>
          <w:rStyle w:val="FootnoteReference"/>
          <w:noProof/>
          <w:sz w:val="22"/>
        </w:rPr>
        <w:footnoteReference w:id="21"/>
      </w:r>
      <w:r>
        <w:rPr>
          <w:noProof/>
          <w:sz w:val="22"/>
          <w:lang w:val="ru-RU"/>
        </w:rPr>
        <w:t xml:space="preserve">. </w:t>
      </w:r>
    </w:p>
    <w:p w:rsidR="00450368" w:rsidRDefault="006B55A0">
      <w:pPr>
        <w:autoSpaceDE w:val="0"/>
        <w:autoSpaceDN w:val="0"/>
        <w:adjustRightInd w:val="0"/>
        <w:spacing w:after="0"/>
        <w:ind w:left="360" w:hanging="3"/>
        <w:jc w:val="left"/>
        <w:rPr>
          <w:b/>
          <w:i/>
          <w:noProof/>
          <w:sz w:val="22"/>
          <w:szCs w:val="22"/>
          <w:lang w:val="ru-RU"/>
        </w:rPr>
      </w:pPr>
      <w:r>
        <w:rPr>
          <w:b/>
          <w:i/>
          <w:noProof/>
          <w:sz w:val="22"/>
          <w:lang w:val="ru-RU"/>
        </w:rPr>
        <w:t xml:space="preserve">Валидиране и практическа подкрепа за насърчаването на алтернативи на използването на животни </w:t>
      </w:r>
    </w:p>
    <w:p w:rsidR="00450368" w:rsidRDefault="00450368">
      <w:pPr>
        <w:pStyle w:val="Default"/>
        <w:jc w:val="both"/>
        <w:rPr>
          <w:rFonts w:ascii="Times New Roman" w:hAnsi="Times New Roman" w:cs="Times New Roman"/>
          <w:i/>
          <w:noProof/>
          <w:color w:val="auto"/>
          <w:sz w:val="22"/>
          <w:szCs w:val="22"/>
          <w:lang w:val="ru-RU"/>
        </w:rPr>
      </w:pPr>
    </w:p>
    <w:p w:rsidR="00450368" w:rsidRDefault="006B55A0">
      <w:pPr>
        <w:rPr>
          <w:noProof/>
          <w:sz w:val="22"/>
          <w:szCs w:val="22"/>
          <w:lang w:val="ru-RU"/>
        </w:rPr>
      </w:pPr>
      <w:r>
        <w:rPr>
          <w:noProof/>
          <w:sz w:val="22"/>
          <w:lang w:val="ru-RU"/>
        </w:rPr>
        <w:t xml:space="preserve">Лабораторията </w:t>
      </w:r>
      <w:r>
        <w:rPr>
          <w:noProof/>
          <w:sz w:val="22"/>
        </w:rPr>
        <w:t>EURL</w:t>
      </w:r>
      <w:r>
        <w:rPr>
          <w:noProof/>
          <w:sz w:val="22"/>
          <w:lang w:val="ru-RU"/>
        </w:rPr>
        <w:t>-</w:t>
      </w:r>
      <w:r>
        <w:rPr>
          <w:noProof/>
          <w:sz w:val="22"/>
        </w:rPr>
        <w:t>ECVAM</w:t>
      </w:r>
      <w:r>
        <w:rPr>
          <w:noProof/>
          <w:sz w:val="22"/>
          <w:lang w:val="ru-RU"/>
        </w:rPr>
        <w:t xml:space="preserve"> публикува серия от стратегии</w:t>
      </w:r>
      <w:r>
        <w:rPr>
          <w:rStyle w:val="FootnoteReference"/>
          <w:noProof/>
          <w:sz w:val="22"/>
        </w:rPr>
        <w:footnoteReference w:id="22"/>
      </w:r>
      <w:r>
        <w:rPr>
          <w:noProof/>
          <w:sz w:val="22"/>
          <w:lang w:val="ru-RU"/>
        </w:rPr>
        <w:t>, в които са изтъкнати холистични решения за постигането на заместване, намаляване и облекчаване на използването на животни, при запазване или подобряване на защитата на човешкото здраве и околната среда. Такива стратегии съществуват по отношение на сенсиб</w:t>
      </w:r>
      <w:r>
        <w:rPr>
          <w:noProof/>
          <w:sz w:val="22"/>
          <w:lang w:val="ru-RU"/>
        </w:rPr>
        <w:t xml:space="preserve">илизиацията на кожата, генотоксичността, острата системна токсичност, токсичността във водна среда и изпитването за биоконцентриране/биоакумулиране, както и стратегия по отношение на токсико-кинетиката, която предстои да бъде публикувана. Също така, </w:t>
      </w:r>
      <w:r>
        <w:rPr>
          <w:noProof/>
          <w:sz w:val="22"/>
        </w:rPr>
        <w:t>ECVAM</w:t>
      </w:r>
      <w:r>
        <w:rPr>
          <w:noProof/>
          <w:sz w:val="22"/>
          <w:lang w:val="ru-RU"/>
        </w:rPr>
        <w:t xml:space="preserve"> </w:t>
      </w:r>
      <w:r>
        <w:rPr>
          <w:noProof/>
          <w:sz w:val="22"/>
          <w:lang w:val="ru-RU"/>
        </w:rPr>
        <w:t>публикува препоръки относно валидирани методи</w:t>
      </w:r>
      <w:r>
        <w:rPr>
          <w:noProof/>
          <w:sz w:val="22"/>
          <w:lang w:val="bg-BG"/>
        </w:rPr>
        <w:t xml:space="preserve"> за изпитване</w:t>
      </w:r>
      <w:r>
        <w:rPr>
          <w:noProof/>
          <w:sz w:val="22"/>
          <w:lang w:val="ru-RU"/>
        </w:rPr>
        <w:t xml:space="preserve">, с обобщени данни за техните работни показатели и тяхното възможно прилагане за регулаторни и нерегулаторни цели. Преди тяхното окончателно оформяне, лабораторията </w:t>
      </w:r>
      <w:r>
        <w:rPr>
          <w:noProof/>
          <w:sz w:val="22"/>
        </w:rPr>
        <w:t>EURL</w:t>
      </w:r>
      <w:r>
        <w:rPr>
          <w:noProof/>
          <w:sz w:val="22"/>
          <w:lang w:val="ru-RU"/>
        </w:rPr>
        <w:t>-</w:t>
      </w:r>
      <w:r>
        <w:rPr>
          <w:noProof/>
          <w:sz w:val="22"/>
        </w:rPr>
        <w:t>ECVAM</w:t>
      </w:r>
      <w:r>
        <w:rPr>
          <w:noProof/>
          <w:sz w:val="22"/>
          <w:lang w:val="ru-RU"/>
        </w:rPr>
        <w:t xml:space="preserve"> се консултира с регула</w:t>
      </w:r>
      <w:r>
        <w:rPr>
          <w:noProof/>
          <w:sz w:val="22"/>
          <w:lang w:val="ru-RU"/>
        </w:rPr>
        <w:t xml:space="preserve">торите посредством мрежата </w:t>
      </w:r>
      <w:r>
        <w:rPr>
          <w:noProof/>
          <w:sz w:val="22"/>
        </w:rPr>
        <w:t>PARERE</w:t>
      </w:r>
      <w:r>
        <w:rPr>
          <w:noProof/>
          <w:sz w:val="22"/>
          <w:lang w:val="ru-RU"/>
        </w:rPr>
        <w:t xml:space="preserve">, със своята общност от заинтересовани страни посредством Форума на заинтересованите лица към </w:t>
      </w:r>
      <w:r>
        <w:rPr>
          <w:noProof/>
          <w:sz w:val="22"/>
        </w:rPr>
        <w:t>EURL ECVAM</w:t>
      </w:r>
      <w:r>
        <w:rPr>
          <w:noProof/>
          <w:sz w:val="22"/>
          <w:lang w:val="ru-RU"/>
        </w:rPr>
        <w:t xml:space="preserve"> (Форума </w:t>
      </w:r>
      <w:r>
        <w:rPr>
          <w:noProof/>
          <w:sz w:val="22"/>
        </w:rPr>
        <w:t>ESTAF</w:t>
      </w:r>
      <w:r>
        <w:rPr>
          <w:noProof/>
          <w:sz w:val="22"/>
          <w:lang w:val="ru-RU"/>
        </w:rPr>
        <w:t>), както и с валидиращите органи посредством Международното сътрудничество за алтернативни методи за изпи</w:t>
      </w:r>
      <w:r>
        <w:rPr>
          <w:noProof/>
          <w:sz w:val="22"/>
          <w:lang w:val="ru-RU"/>
        </w:rPr>
        <w:t>тване (</w:t>
      </w:r>
      <w:r>
        <w:rPr>
          <w:noProof/>
          <w:sz w:val="22"/>
        </w:rPr>
        <w:t>ICATM</w:t>
      </w:r>
      <w:r>
        <w:rPr>
          <w:noProof/>
          <w:sz w:val="22"/>
          <w:lang w:val="ru-RU"/>
        </w:rPr>
        <w:t>).</w:t>
      </w:r>
    </w:p>
    <w:p w:rsidR="00450368" w:rsidRDefault="006B55A0">
      <w:pPr>
        <w:rPr>
          <w:noProof/>
          <w:sz w:val="22"/>
          <w:szCs w:val="22"/>
          <w:lang w:val="ru-RU"/>
        </w:rPr>
      </w:pPr>
      <w:r>
        <w:rPr>
          <w:noProof/>
          <w:sz w:val="22"/>
          <w:lang w:val="ru-RU"/>
        </w:rPr>
        <w:t xml:space="preserve">От своето създаване досега, лабораторията </w:t>
      </w:r>
      <w:r>
        <w:rPr>
          <w:noProof/>
          <w:sz w:val="22"/>
        </w:rPr>
        <w:t>EURL</w:t>
      </w:r>
      <w:r>
        <w:rPr>
          <w:noProof/>
          <w:sz w:val="22"/>
          <w:lang w:val="ru-RU"/>
        </w:rPr>
        <w:t xml:space="preserve"> </w:t>
      </w:r>
      <w:r>
        <w:rPr>
          <w:noProof/>
          <w:sz w:val="22"/>
        </w:rPr>
        <w:t>ECVAM</w:t>
      </w:r>
      <w:r>
        <w:rPr>
          <w:noProof/>
          <w:sz w:val="22"/>
          <w:lang w:val="ru-RU"/>
        </w:rPr>
        <w:t xml:space="preserve"> е валидирала около 50 метода </w:t>
      </w:r>
      <w:r>
        <w:rPr>
          <w:noProof/>
          <w:sz w:val="22"/>
          <w:lang w:val="bg-BG"/>
        </w:rPr>
        <w:t xml:space="preserve">за изпитване </w:t>
      </w:r>
      <w:r>
        <w:rPr>
          <w:noProof/>
          <w:sz w:val="22"/>
          <w:lang w:val="ru-RU"/>
        </w:rPr>
        <w:t>в различни области на токсикологията за изпитване на химикали, биологични продукти и ваксини. Повечето от тези подходи са приети регулаторно (напр</w:t>
      </w:r>
      <w:r>
        <w:rPr>
          <w:noProof/>
          <w:sz w:val="22"/>
          <w:lang w:val="ru-RU"/>
        </w:rPr>
        <w:t xml:space="preserve">имер като са включени в Регламента на ЕС </w:t>
      </w:r>
      <w:r>
        <w:rPr>
          <w:noProof/>
          <w:sz w:val="22"/>
          <w:lang w:val="bg-BG"/>
        </w:rPr>
        <w:t>относно</w:t>
      </w:r>
      <w:r>
        <w:rPr>
          <w:noProof/>
          <w:sz w:val="22"/>
          <w:lang w:val="ru-RU"/>
        </w:rPr>
        <w:t xml:space="preserve"> методи</w:t>
      </w:r>
      <w:r>
        <w:rPr>
          <w:noProof/>
          <w:sz w:val="22"/>
          <w:lang w:val="bg-BG"/>
        </w:rPr>
        <w:t>те за изпитване</w:t>
      </w:r>
      <w:r>
        <w:rPr>
          <w:rStyle w:val="FootnoteReference"/>
          <w:noProof/>
          <w:sz w:val="22"/>
        </w:rPr>
        <w:footnoteReference w:id="23"/>
      </w:r>
      <w:r>
        <w:rPr>
          <w:noProof/>
          <w:sz w:val="22"/>
          <w:lang w:val="ru-RU"/>
        </w:rPr>
        <w:t xml:space="preserve">) и също така са възприети и международно (например като указания на ОИСР). Вж. също неотдавнашните доклади на </w:t>
      </w:r>
      <w:r>
        <w:rPr>
          <w:noProof/>
          <w:sz w:val="22"/>
        </w:rPr>
        <w:t>EURL</w:t>
      </w:r>
      <w:r>
        <w:rPr>
          <w:noProof/>
          <w:sz w:val="22"/>
          <w:lang w:val="ru-RU"/>
        </w:rPr>
        <w:t xml:space="preserve"> </w:t>
      </w:r>
      <w:r>
        <w:rPr>
          <w:noProof/>
          <w:sz w:val="22"/>
        </w:rPr>
        <w:t>ECVAM</w:t>
      </w:r>
      <w:r>
        <w:rPr>
          <w:rStyle w:val="FootnoteReference"/>
          <w:noProof/>
          <w:sz w:val="22"/>
        </w:rPr>
        <w:footnoteReference w:id="24"/>
      </w:r>
      <w:r>
        <w:rPr>
          <w:noProof/>
          <w:sz w:val="22"/>
          <w:lang w:val="ru-RU"/>
        </w:rPr>
        <w:t xml:space="preserve"> .</w:t>
      </w:r>
    </w:p>
    <w:p w:rsidR="00450368" w:rsidRDefault="006B55A0">
      <w:pPr>
        <w:spacing w:after="200" w:line="276" w:lineRule="auto"/>
        <w:rPr>
          <w:noProof/>
          <w:sz w:val="22"/>
          <w:szCs w:val="22"/>
        </w:rPr>
      </w:pPr>
      <w:r>
        <w:rPr>
          <w:noProof/>
          <w:sz w:val="22"/>
          <w:lang w:val="ru-RU"/>
        </w:rPr>
        <w:t>Европейската комисия и секторните регулаторни агенции извърш</w:t>
      </w:r>
      <w:r>
        <w:rPr>
          <w:noProof/>
          <w:sz w:val="22"/>
          <w:lang w:val="ru-RU"/>
        </w:rPr>
        <w:t xml:space="preserve">ват допълнителни дейности за улесняване на процеса — от разработването на алтернативни методи до тяхното валидиране и въвеждане в действие. </w:t>
      </w:r>
      <w:r>
        <w:rPr>
          <w:noProof/>
          <w:sz w:val="22"/>
        </w:rPr>
        <w:t>Някои примери:</w:t>
      </w:r>
    </w:p>
    <w:p w:rsidR="00450368" w:rsidRDefault="006B55A0">
      <w:pPr>
        <w:pStyle w:val="ListParagraph"/>
        <w:numPr>
          <w:ilvl w:val="0"/>
          <w:numId w:val="25"/>
        </w:numPr>
        <w:spacing w:after="0" w:line="240" w:lineRule="auto"/>
        <w:ind w:left="714" w:hanging="357"/>
        <w:jc w:val="both"/>
        <w:rPr>
          <w:rFonts w:ascii="Times New Roman" w:hAnsi="Times New Roman" w:cs="Times New Roman"/>
          <w:noProof/>
          <w:sz w:val="22"/>
          <w:lang w:val="ru-RU"/>
        </w:rPr>
      </w:pPr>
      <w:r>
        <w:rPr>
          <w:rFonts w:ascii="Times New Roman" w:hAnsi="Times New Roman"/>
          <w:i/>
          <w:noProof/>
          <w:sz w:val="22"/>
          <w:lang w:val="ru-RU"/>
        </w:rPr>
        <w:t>Европейската агенция по химикалите (</w:t>
      </w:r>
      <w:r>
        <w:rPr>
          <w:rFonts w:ascii="Times New Roman" w:hAnsi="Times New Roman"/>
          <w:i/>
          <w:noProof/>
          <w:sz w:val="22"/>
        </w:rPr>
        <w:t>ECHA</w:t>
      </w:r>
      <w:r>
        <w:rPr>
          <w:rFonts w:ascii="Times New Roman" w:hAnsi="Times New Roman"/>
          <w:i/>
          <w:noProof/>
          <w:sz w:val="22"/>
          <w:lang w:val="ru-RU"/>
        </w:rPr>
        <w:t>)</w:t>
      </w:r>
      <w:r>
        <w:rPr>
          <w:rFonts w:ascii="Times New Roman" w:hAnsi="Times New Roman"/>
          <w:noProof/>
          <w:sz w:val="22"/>
          <w:lang w:val="ru-RU"/>
        </w:rPr>
        <w:t xml:space="preserve"> играе ключова роля за осигуряване на спазване в рамките на </w:t>
      </w:r>
      <w:r>
        <w:rPr>
          <w:rFonts w:ascii="Times New Roman" w:hAnsi="Times New Roman"/>
          <w:noProof/>
          <w:sz w:val="22"/>
          <w:lang w:val="ru-RU"/>
        </w:rPr>
        <w:t xml:space="preserve">алтернативите, където това е възможно, на изискванията по отношение на данните на регламентите на ЕС в областта на химикалите — Регламента </w:t>
      </w:r>
      <w:r>
        <w:rPr>
          <w:rFonts w:ascii="Times New Roman" w:hAnsi="Times New Roman"/>
          <w:noProof/>
          <w:sz w:val="22"/>
        </w:rPr>
        <w:t>REACH</w:t>
      </w:r>
      <w:r>
        <w:rPr>
          <w:rFonts w:ascii="Times New Roman" w:hAnsi="Times New Roman"/>
          <w:noProof/>
          <w:sz w:val="22"/>
          <w:lang w:val="ru-RU"/>
        </w:rPr>
        <w:t xml:space="preserve"> и Регламента относно биоцидите. </w:t>
      </w:r>
      <w:r>
        <w:rPr>
          <w:rFonts w:ascii="Times New Roman" w:hAnsi="Times New Roman"/>
          <w:noProof/>
          <w:sz w:val="22"/>
        </w:rPr>
        <w:t>ECHA</w:t>
      </w:r>
      <w:r>
        <w:rPr>
          <w:rFonts w:ascii="Times New Roman" w:hAnsi="Times New Roman"/>
          <w:noProof/>
          <w:sz w:val="22"/>
          <w:lang w:val="ru-RU"/>
        </w:rPr>
        <w:t xml:space="preserve"> публикува материали (например уеб семинари, информационни листовки, практи</w:t>
      </w:r>
      <w:r>
        <w:rPr>
          <w:rFonts w:ascii="Times New Roman" w:hAnsi="Times New Roman"/>
          <w:noProof/>
          <w:sz w:val="22"/>
          <w:lang w:val="ru-RU"/>
        </w:rPr>
        <w:t>чески указания), спомагащи за използването на алтернативите</w:t>
      </w:r>
      <w:r>
        <w:rPr>
          <w:rStyle w:val="FootnoteReference"/>
          <w:rFonts w:ascii="Times New Roman" w:hAnsi="Times New Roman"/>
          <w:noProof/>
          <w:sz w:val="22"/>
        </w:rPr>
        <w:footnoteReference w:id="25"/>
      </w:r>
      <w:r>
        <w:rPr>
          <w:rFonts w:ascii="Times New Roman" w:hAnsi="Times New Roman"/>
          <w:noProof/>
          <w:sz w:val="22"/>
          <w:lang w:val="ru-RU"/>
        </w:rPr>
        <w:t xml:space="preserve">. </w:t>
      </w:r>
      <w:r>
        <w:rPr>
          <w:rFonts w:ascii="Times New Roman" w:hAnsi="Times New Roman"/>
          <w:noProof/>
          <w:sz w:val="22"/>
        </w:rPr>
        <w:t>ECHA</w:t>
      </w:r>
      <w:r>
        <w:rPr>
          <w:rFonts w:ascii="Times New Roman" w:hAnsi="Times New Roman"/>
          <w:noProof/>
          <w:sz w:val="22"/>
          <w:lang w:val="ru-RU"/>
        </w:rPr>
        <w:t xml:space="preserve"> развива също дейности за: 1) съставения от ОИСР набор от инструменти </w:t>
      </w:r>
      <w:r>
        <w:rPr>
          <w:rFonts w:ascii="Times New Roman" w:hAnsi="Times New Roman"/>
          <w:noProof/>
          <w:sz w:val="22"/>
        </w:rPr>
        <w:t>QSAR</w:t>
      </w:r>
      <w:r>
        <w:rPr>
          <w:rFonts w:ascii="Times New Roman" w:hAnsi="Times New Roman"/>
          <w:noProof/>
          <w:sz w:val="22"/>
          <w:lang w:val="ru-RU"/>
        </w:rPr>
        <w:t xml:space="preserve"> (Количествени съотношения структура—активност), който е най-всеобхватната и широко призната платформа за попълване на празноти в данните във връзка с нормативната оценка на опасностите без използване на опити с животни; понастоящем </w:t>
      </w:r>
      <w:r>
        <w:rPr>
          <w:rFonts w:ascii="Times New Roman" w:hAnsi="Times New Roman"/>
          <w:noProof/>
          <w:sz w:val="22"/>
        </w:rPr>
        <w:t>QSAR</w:t>
      </w:r>
      <w:r>
        <w:rPr>
          <w:rFonts w:ascii="Times New Roman" w:hAnsi="Times New Roman"/>
          <w:noProof/>
          <w:sz w:val="22"/>
          <w:lang w:val="ru-RU"/>
        </w:rPr>
        <w:t xml:space="preserve"> съдържа 1,5</w:t>
      </w:r>
      <w:r>
        <w:rPr>
          <w:rFonts w:ascii="Times New Roman" w:hAnsi="Times New Roman"/>
          <w:noProof/>
          <w:sz w:val="22"/>
        </w:rPr>
        <w:t> </w:t>
      </w:r>
      <w:r>
        <w:rPr>
          <w:rFonts w:ascii="Times New Roman" w:hAnsi="Times New Roman"/>
          <w:noProof/>
          <w:sz w:val="22"/>
          <w:lang w:val="ru-RU"/>
        </w:rPr>
        <w:t>милион</w:t>
      </w:r>
      <w:r>
        <w:rPr>
          <w:rFonts w:ascii="Times New Roman" w:hAnsi="Times New Roman"/>
          <w:noProof/>
          <w:sz w:val="22"/>
          <w:lang w:val="ru-RU"/>
        </w:rPr>
        <w:t>а информационни единици относно 90</w:t>
      </w:r>
      <w:r>
        <w:rPr>
          <w:rFonts w:ascii="Times New Roman" w:hAnsi="Times New Roman"/>
          <w:noProof/>
          <w:sz w:val="22"/>
        </w:rPr>
        <w:t> </w:t>
      </w:r>
      <w:r>
        <w:rPr>
          <w:rFonts w:ascii="Times New Roman" w:hAnsi="Times New Roman"/>
          <w:noProof/>
          <w:sz w:val="22"/>
          <w:lang w:val="ru-RU"/>
        </w:rPr>
        <w:t xml:space="preserve">000 вещества; 2) осигуряване на публичен достъп до данните от документацията за регистриране по Регламента </w:t>
      </w:r>
      <w:r>
        <w:rPr>
          <w:rFonts w:ascii="Times New Roman" w:hAnsi="Times New Roman"/>
          <w:noProof/>
          <w:sz w:val="22"/>
        </w:rPr>
        <w:t>REACH</w:t>
      </w:r>
      <w:r>
        <w:rPr>
          <w:rFonts w:ascii="Times New Roman" w:hAnsi="Times New Roman"/>
          <w:noProof/>
          <w:sz w:val="22"/>
          <w:lang w:val="ru-RU"/>
        </w:rPr>
        <w:t xml:space="preserve">. </w:t>
      </w:r>
    </w:p>
    <w:p w:rsidR="00450368" w:rsidRDefault="006B55A0">
      <w:pPr>
        <w:pStyle w:val="ListParagraph"/>
        <w:numPr>
          <w:ilvl w:val="0"/>
          <w:numId w:val="25"/>
        </w:numPr>
        <w:spacing w:after="0" w:line="240" w:lineRule="auto"/>
        <w:ind w:left="714" w:hanging="357"/>
        <w:jc w:val="both"/>
        <w:rPr>
          <w:rFonts w:ascii="Times New Roman" w:hAnsi="Times New Roman" w:cs="Times New Roman"/>
          <w:noProof/>
          <w:sz w:val="22"/>
          <w:lang w:val="ru-RU"/>
        </w:rPr>
      </w:pPr>
      <w:r>
        <w:rPr>
          <w:rFonts w:ascii="Times New Roman" w:hAnsi="Times New Roman"/>
          <w:i/>
          <w:noProof/>
          <w:sz w:val="22"/>
          <w:lang w:val="ru-RU"/>
        </w:rPr>
        <w:t>Европейската агенция по лекарствата (</w:t>
      </w:r>
      <w:r>
        <w:rPr>
          <w:rFonts w:ascii="Times New Roman" w:hAnsi="Times New Roman"/>
          <w:i/>
          <w:noProof/>
          <w:sz w:val="22"/>
        </w:rPr>
        <w:t>EMA</w:t>
      </w:r>
      <w:r>
        <w:rPr>
          <w:rFonts w:ascii="Times New Roman" w:hAnsi="Times New Roman"/>
          <w:i/>
          <w:noProof/>
          <w:sz w:val="22"/>
          <w:lang w:val="ru-RU"/>
        </w:rPr>
        <w:t>)</w:t>
      </w:r>
      <w:r>
        <w:rPr>
          <w:rFonts w:ascii="Times New Roman" w:hAnsi="Times New Roman"/>
          <w:noProof/>
          <w:sz w:val="22"/>
          <w:lang w:val="ru-RU"/>
        </w:rPr>
        <w:t xml:space="preserve"> допринася за елиминирането на опитите с животни чрез своята роля</w:t>
      </w:r>
      <w:r>
        <w:rPr>
          <w:rFonts w:ascii="Times New Roman" w:hAnsi="Times New Roman"/>
          <w:noProof/>
          <w:sz w:val="22"/>
          <w:lang w:val="ru-RU"/>
        </w:rPr>
        <w:t xml:space="preserve"> в разработването на хармонизирани регулаторни изисквания за изпитването на хуманни и ветеринарни медицински продукти, които са приложими на равнището на ЕС, а посредством сътрудничеството с международни организации като </w:t>
      </w:r>
      <w:r>
        <w:rPr>
          <w:rFonts w:ascii="Times New Roman" w:hAnsi="Times New Roman"/>
          <w:noProof/>
          <w:sz w:val="22"/>
        </w:rPr>
        <w:t>ICH</w:t>
      </w:r>
      <w:r>
        <w:rPr>
          <w:rStyle w:val="FootnoteReference"/>
          <w:rFonts w:ascii="Times New Roman" w:hAnsi="Times New Roman"/>
          <w:noProof/>
          <w:sz w:val="22"/>
        </w:rPr>
        <w:footnoteReference w:id="26"/>
      </w:r>
      <w:r>
        <w:rPr>
          <w:rFonts w:ascii="Times New Roman" w:hAnsi="Times New Roman"/>
          <w:noProof/>
          <w:sz w:val="22"/>
          <w:lang w:val="ru-RU"/>
        </w:rPr>
        <w:t xml:space="preserve"> и </w:t>
      </w:r>
      <w:r>
        <w:rPr>
          <w:rFonts w:ascii="Times New Roman" w:hAnsi="Times New Roman"/>
          <w:noProof/>
          <w:sz w:val="22"/>
        </w:rPr>
        <w:t>VICH</w:t>
      </w:r>
      <w:r>
        <w:rPr>
          <w:rStyle w:val="FootnoteReference"/>
          <w:rFonts w:ascii="Times New Roman" w:hAnsi="Times New Roman"/>
          <w:noProof/>
          <w:sz w:val="22"/>
        </w:rPr>
        <w:footnoteReference w:id="27"/>
      </w:r>
      <w:r>
        <w:rPr>
          <w:rFonts w:ascii="Times New Roman" w:hAnsi="Times New Roman"/>
          <w:noProof/>
          <w:sz w:val="22"/>
          <w:lang w:val="ru-RU"/>
        </w:rPr>
        <w:t xml:space="preserve"> — и на глобално равнищ</w:t>
      </w:r>
      <w:r>
        <w:rPr>
          <w:rFonts w:ascii="Times New Roman" w:hAnsi="Times New Roman"/>
          <w:noProof/>
          <w:sz w:val="22"/>
          <w:lang w:val="ru-RU"/>
        </w:rPr>
        <w:t xml:space="preserve">е. За да насърчава използването на най-добри практики при реализирането на трите </w:t>
      </w:r>
      <w:r>
        <w:rPr>
          <w:rFonts w:ascii="Times New Roman" w:hAnsi="Times New Roman"/>
          <w:noProof/>
          <w:sz w:val="22"/>
        </w:rPr>
        <w:t>R</w:t>
      </w:r>
      <w:r>
        <w:rPr>
          <w:rFonts w:ascii="Times New Roman" w:hAnsi="Times New Roman"/>
          <w:noProof/>
          <w:sz w:val="22"/>
          <w:lang w:val="ru-RU"/>
        </w:rPr>
        <w:t>, Европейската агенция по лекарствата състави експертна група, която да съветва нейните комитети и работни екипи относно използването на животни при регулаторното изпитване н</w:t>
      </w:r>
      <w:r>
        <w:rPr>
          <w:rFonts w:ascii="Times New Roman" w:hAnsi="Times New Roman"/>
          <w:noProof/>
          <w:sz w:val="22"/>
          <w:lang w:val="ru-RU"/>
        </w:rPr>
        <w:t xml:space="preserve">а медицински продукти, и активно сътрудничи с други групи, работещи в областта на трите </w:t>
      </w:r>
      <w:r>
        <w:rPr>
          <w:rFonts w:ascii="Times New Roman" w:hAnsi="Times New Roman"/>
          <w:noProof/>
          <w:sz w:val="22"/>
        </w:rPr>
        <w:t>R</w:t>
      </w:r>
      <w:r>
        <w:rPr>
          <w:rFonts w:ascii="Times New Roman" w:hAnsi="Times New Roman"/>
          <w:noProof/>
          <w:sz w:val="22"/>
          <w:lang w:val="ru-RU"/>
        </w:rPr>
        <w:t>.</w:t>
      </w:r>
    </w:p>
    <w:p w:rsidR="00450368" w:rsidRDefault="006B55A0">
      <w:pPr>
        <w:pStyle w:val="ListParagraph"/>
        <w:numPr>
          <w:ilvl w:val="0"/>
          <w:numId w:val="25"/>
        </w:numPr>
        <w:spacing w:after="0" w:line="240" w:lineRule="auto"/>
        <w:ind w:left="714" w:hanging="357"/>
        <w:jc w:val="both"/>
        <w:rPr>
          <w:rFonts w:ascii="Times New Roman" w:hAnsi="Times New Roman" w:cs="Times New Roman"/>
          <w:noProof/>
          <w:sz w:val="22"/>
          <w:lang w:val="ru-RU"/>
        </w:rPr>
      </w:pPr>
      <w:r>
        <w:rPr>
          <w:rFonts w:ascii="Times New Roman" w:hAnsi="Times New Roman"/>
          <w:i/>
          <w:noProof/>
          <w:sz w:val="22"/>
          <w:lang w:val="ru-RU"/>
        </w:rPr>
        <w:t>Европейският орган за безопасност на храните (</w:t>
      </w:r>
      <w:r>
        <w:rPr>
          <w:rFonts w:ascii="Times New Roman" w:hAnsi="Times New Roman"/>
          <w:i/>
          <w:noProof/>
          <w:sz w:val="22"/>
        </w:rPr>
        <w:t>EFSA</w:t>
      </w:r>
      <w:r>
        <w:rPr>
          <w:rStyle w:val="FootnoteReference"/>
          <w:rFonts w:ascii="Times New Roman" w:hAnsi="Times New Roman"/>
          <w:i/>
          <w:noProof/>
          <w:sz w:val="22"/>
        </w:rPr>
        <w:footnoteReference w:id="28"/>
      </w:r>
      <w:r>
        <w:rPr>
          <w:rFonts w:ascii="Times New Roman" w:hAnsi="Times New Roman"/>
          <w:i/>
          <w:noProof/>
          <w:sz w:val="22"/>
          <w:lang w:val="ru-RU"/>
        </w:rPr>
        <w:t>),</w:t>
      </w:r>
      <w:r>
        <w:rPr>
          <w:rFonts w:ascii="Times New Roman" w:hAnsi="Times New Roman"/>
          <w:noProof/>
          <w:sz w:val="22"/>
          <w:lang w:val="ru-RU"/>
        </w:rPr>
        <w:t xml:space="preserve"> посредством своя Научен комитет и Научни съвети непрекъснато извършва прегледи на нови научни подходи, които мо</w:t>
      </w:r>
      <w:r>
        <w:rPr>
          <w:rFonts w:ascii="Times New Roman" w:hAnsi="Times New Roman"/>
          <w:noProof/>
          <w:sz w:val="22"/>
          <w:lang w:val="ru-RU"/>
        </w:rPr>
        <w:t xml:space="preserve">гат да допринесат за реализиране на трите </w:t>
      </w:r>
      <w:r>
        <w:rPr>
          <w:rFonts w:ascii="Times New Roman" w:hAnsi="Times New Roman"/>
          <w:noProof/>
          <w:sz w:val="22"/>
        </w:rPr>
        <w:t>R</w:t>
      </w:r>
      <w:r>
        <w:rPr>
          <w:rFonts w:ascii="Times New Roman" w:hAnsi="Times New Roman"/>
          <w:noProof/>
          <w:sz w:val="22"/>
          <w:lang w:val="ru-RU"/>
        </w:rPr>
        <w:t xml:space="preserve"> в рамките на дейностите на </w:t>
      </w:r>
      <w:r>
        <w:rPr>
          <w:rFonts w:ascii="Times New Roman" w:hAnsi="Times New Roman"/>
          <w:noProof/>
          <w:sz w:val="22"/>
        </w:rPr>
        <w:t>EFSA</w:t>
      </w:r>
      <w:r>
        <w:rPr>
          <w:rStyle w:val="FootnoteReference"/>
          <w:rFonts w:ascii="Times New Roman" w:hAnsi="Times New Roman"/>
          <w:noProof/>
          <w:sz w:val="22"/>
        </w:rPr>
        <w:footnoteReference w:id="29"/>
      </w:r>
      <w:r>
        <w:rPr>
          <w:rFonts w:ascii="Times New Roman" w:hAnsi="Times New Roman"/>
          <w:noProof/>
          <w:sz w:val="22"/>
          <w:lang w:val="ru-RU"/>
        </w:rPr>
        <w:t>.</w:t>
      </w:r>
    </w:p>
    <w:p w:rsidR="00450368" w:rsidRDefault="00450368">
      <w:pPr>
        <w:spacing w:after="0"/>
        <w:ind w:left="357"/>
        <w:rPr>
          <w:noProof/>
          <w:sz w:val="22"/>
          <w:lang w:val="ru-RU"/>
        </w:rPr>
      </w:pPr>
    </w:p>
    <w:p w:rsidR="00450368" w:rsidRDefault="006B55A0">
      <w:pPr>
        <w:rPr>
          <w:bCs/>
          <w:noProof/>
          <w:sz w:val="22"/>
          <w:szCs w:val="22"/>
          <w:lang w:val="ru-RU"/>
        </w:rPr>
      </w:pPr>
      <w:r>
        <w:rPr>
          <w:noProof/>
          <w:sz w:val="22"/>
          <w:lang w:val="ru-RU"/>
        </w:rPr>
        <w:t xml:space="preserve">Също така, платформата за доброволно сътрудничество </w:t>
      </w:r>
      <w:r>
        <w:rPr>
          <w:i/>
          <w:noProof/>
          <w:sz w:val="22"/>
          <w:lang w:val="ru-RU"/>
        </w:rPr>
        <w:t xml:space="preserve"> Европейско партньорство за алтернативни подходи, заместващи опитите с животни (</w:t>
      </w:r>
      <w:r>
        <w:rPr>
          <w:i/>
          <w:noProof/>
          <w:sz w:val="22"/>
        </w:rPr>
        <w:t>European</w:t>
      </w:r>
      <w:r>
        <w:rPr>
          <w:i/>
          <w:noProof/>
          <w:sz w:val="22"/>
          <w:lang w:val="ru-RU"/>
        </w:rPr>
        <w:t xml:space="preserve"> </w:t>
      </w:r>
      <w:r>
        <w:rPr>
          <w:i/>
          <w:noProof/>
          <w:sz w:val="22"/>
        </w:rPr>
        <w:t>Partnership</w:t>
      </w:r>
      <w:r>
        <w:rPr>
          <w:i/>
          <w:noProof/>
          <w:sz w:val="22"/>
          <w:lang w:val="ru-RU"/>
        </w:rPr>
        <w:t xml:space="preserve"> </w:t>
      </w:r>
      <w:r>
        <w:rPr>
          <w:i/>
          <w:noProof/>
          <w:sz w:val="22"/>
        </w:rPr>
        <w:t>for</w:t>
      </w:r>
      <w:r>
        <w:rPr>
          <w:i/>
          <w:noProof/>
          <w:sz w:val="22"/>
          <w:lang w:val="ru-RU"/>
        </w:rPr>
        <w:t xml:space="preserve"> </w:t>
      </w:r>
      <w:r>
        <w:rPr>
          <w:i/>
          <w:noProof/>
          <w:sz w:val="22"/>
        </w:rPr>
        <w:t>Alternative</w:t>
      </w:r>
      <w:r>
        <w:rPr>
          <w:i/>
          <w:noProof/>
          <w:sz w:val="22"/>
          <w:lang w:val="ru-RU"/>
        </w:rPr>
        <w:t xml:space="preserve"> </w:t>
      </w:r>
      <w:r>
        <w:rPr>
          <w:i/>
          <w:noProof/>
          <w:sz w:val="22"/>
        </w:rPr>
        <w:t>Approaches</w:t>
      </w:r>
      <w:r>
        <w:rPr>
          <w:i/>
          <w:noProof/>
          <w:sz w:val="22"/>
          <w:lang w:val="ru-RU"/>
        </w:rPr>
        <w:t xml:space="preserve"> </w:t>
      </w:r>
      <w:r>
        <w:rPr>
          <w:i/>
          <w:noProof/>
          <w:sz w:val="22"/>
        </w:rPr>
        <w:t>to</w:t>
      </w:r>
      <w:r>
        <w:rPr>
          <w:i/>
          <w:noProof/>
          <w:sz w:val="22"/>
          <w:lang w:val="ru-RU"/>
        </w:rPr>
        <w:t xml:space="preserve"> </w:t>
      </w:r>
      <w:r>
        <w:rPr>
          <w:i/>
          <w:noProof/>
          <w:sz w:val="22"/>
        </w:rPr>
        <w:t>Animal</w:t>
      </w:r>
      <w:r>
        <w:rPr>
          <w:i/>
          <w:noProof/>
          <w:sz w:val="22"/>
          <w:lang w:val="ru-RU"/>
        </w:rPr>
        <w:t xml:space="preserve"> </w:t>
      </w:r>
      <w:r>
        <w:rPr>
          <w:i/>
          <w:noProof/>
          <w:sz w:val="22"/>
        </w:rPr>
        <w:t>Testing</w:t>
      </w:r>
      <w:r>
        <w:rPr>
          <w:i/>
          <w:noProof/>
          <w:sz w:val="22"/>
          <w:lang w:val="ru-RU"/>
        </w:rPr>
        <w:t xml:space="preserve"> — </w:t>
      </w:r>
      <w:r>
        <w:rPr>
          <w:i/>
          <w:noProof/>
          <w:sz w:val="22"/>
        </w:rPr>
        <w:t>EPAA</w:t>
      </w:r>
      <w:r>
        <w:rPr>
          <w:i/>
          <w:noProof/>
          <w:sz w:val="22"/>
          <w:lang w:val="ru-RU"/>
        </w:rPr>
        <w:t>)</w:t>
      </w:r>
      <w:r>
        <w:rPr>
          <w:rStyle w:val="FootnoteReference"/>
          <w:noProof/>
          <w:sz w:val="22"/>
          <w:lang w:val="ru-RU"/>
        </w:rPr>
        <w:t xml:space="preserve"> </w:t>
      </w:r>
      <w:r>
        <w:rPr>
          <w:rStyle w:val="FootnoteReference"/>
          <w:noProof/>
          <w:sz w:val="22"/>
        </w:rPr>
        <w:footnoteReference w:id="30"/>
      </w:r>
      <w:r>
        <w:rPr>
          <w:rStyle w:val="FootnoteReference"/>
          <w:noProof/>
          <w:sz w:val="22"/>
          <w:lang w:val="ru-RU"/>
        </w:rPr>
        <w:t>,</w:t>
      </w:r>
      <w:r>
        <w:rPr>
          <w:noProof/>
          <w:sz w:val="22"/>
          <w:lang w:val="ru-RU"/>
        </w:rPr>
        <w:t xml:space="preserve"> инициирана през 2005</w:t>
      </w:r>
      <w:r>
        <w:rPr>
          <w:noProof/>
          <w:sz w:val="22"/>
        </w:rPr>
        <w:t> </w:t>
      </w:r>
      <w:r>
        <w:rPr>
          <w:noProof/>
          <w:sz w:val="22"/>
          <w:lang w:val="ru-RU"/>
        </w:rPr>
        <w:t>г. и в която участват Европейската комисия, европейски търговски асоциации и понастоящем 36 дружества от 7 промишлени отрасъла, се стреми към заместване, намаление и облекчаване на използването н</w:t>
      </w:r>
      <w:r>
        <w:rPr>
          <w:noProof/>
          <w:sz w:val="22"/>
          <w:lang w:val="ru-RU"/>
        </w:rPr>
        <w:t xml:space="preserve">а животни за целите на спазване на регулаторните изисквания, посредством прилагането на усъвършенствани и по-прогностични научни методи. </w:t>
      </w:r>
      <w:r>
        <w:rPr>
          <w:noProof/>
          <w:sz w:val="22"/>
        </w:rPr>
        <w:t>EPAA</w:t>
      </w:r>
      <w:r>
        <w:rPr>
          <w:noProof/>
          <w:sz w:val="22"/>
          <w:lang w:val="ru-RU"/>
        </w:rPr>
        <w:t xml:space="preserve"> извършва дейности за идентифициране на празнотите в научните знания и за улесняване на регулаторното приемане на а</w:t>
      </w:r>
      <w:r>
        <w:rPr>
          <w:noProof/>
          <w:sz w:val="22"/>
          <w:lang w:val="ru-RU"/>
        </w:rPr>
        <w:t>лтернативни методи.</w:t>
      </w:r>
    </w:p>
    <w:p w:rsidR="00450368" w:rsidRPr="006B55A0" w:rsidRDefault="006B55A0">
      <w:pPr>
        <w:pStyle w:val="NormalWeb"/>
        <w:ind w:firstLine="720"/>
        <w:jc w:val="both"/>
        <w:rPr>
          <w:b/>
          <w:i/>
          <w:noProof/>
          <w:sz w:val="22"/>
          <w:lang w:val="ru-RU"/>
        </w:rPr>
      </w:pPr>
      <w:r w:rsidRPr="006B55A0">
        <w:rPr>
          <w:b/>
          <w:i/>
          <w:noProof/>
          <w:sz w:val="22"/>
          <w:lang w:val="ru-RU"/>
        </w:rPr>
        <w:t>Международно сътрудничество</w:t>
      </w:r>
    </w:p>
    <w:p w:rsidR="00450368" w:rsidRDefault="006B55A0">
      <w:pPr>
        <w:pStyle w:val="NormalWeb"/>
        <w:spacing w:before="0" w:beforeAutospacing="0" w:after="0" w:afterAutospacing="0"/>
        <w:jc w:val="both"/>
        <w:rPr>
          <w:noProof/>
          <w:sz w:val="22"/>
          <w:szCs w:val="22"/>
          <w:lang w:val="ru-RU"/>
        </w:rPr>
      </w:pPr>
      <w:r>
        <w:rPr>
          <w:noProof/>
          <w:sz w:val="22"/>
          <w:lang w:val="ru-RU"/>
        </w:rPr>
        <w:t>Тъй като разглежданият индустриален сектор функционира глобално, Европа не може да действа в изолация, а трябва да намери решения на глобално равнище посредством международно хармонизирани подходи.</w:t>
      </w:r>
    </w:p>
    <w:p w:rsidR="00450368" w:rsidRDefault="006B55A0">
      <w:pPr>
        <w:pStyle w:val="NormalWeb"/>
        <w:spacing w:before="0" w:beforeAutospacing="0" w:after="0" w:afterAutospacing="0"/>
        <w:jc w:val="both"/>
        <w:rPr>
          <w:noProof/>
          <w:sz w:val="22"/>
          <w:szCs w:val="22"/>
          <w:lang w:val="ru-RU"/>
        </w:rPr>
      </w:pPr>
      <w:r>
        <w:rPr>
          <w:noProof/>
          <w:sz w:val="22"/>
          <w:lang w:val="ru-RU"/>
        </w:rPr>
        <w:t xml:space="preserve"> </w:t>
      </w:r>
      <w:r>
        <w:rPr>
          <w:noProof/>
          <w:sz w:val="22"/>
          <w:szCs w:val="22"/>
          <w:lang w:val="ru-RU"/>
        </w:rPr>
        <w:br/>
      </w:r>
      <w:r>
        <w:rPr>
          <w:noProof/>
          <w:sz w:val="22"/>
          <w:lang w:val="ru-RU"/>
        </w:rPr>
        <w:t xml:space="preserve">Европейската комисия и </w:t>
      </w:r>
      <w:r>
        <w:rPr>
          <w:noProof/>
          <w:sz w:val="22"/>
        </w:rPr>
        <w:t>EPAA</w:t>
      </w:r>
      <w:r>
        <w:rPr>
          <w:noProof/>
          <w:sz w:val="22"/>
          <w:lang w:val="ru-RU"/>
        </w:rPr>
        <w:t xml:space="preserve"> работят съвместно с ОИСР и други международни организации за постигане на глобално хармонизирани резултати. Алтернативите на опитите с животни са централен въпрос за Международното сътрудничество за нормативна уредба в сферата н</w:t>
      </w:r>
      <w:r>
        <w:rPr>
          <w:noProof/>
          <w:sz w:val="22"/>
          <w:lang w:val="ru-RU"/>
        </w:rPr>
        <w:t>а козметичните продукти (</w:t>
      </w:r>
      <w:r>
        <w:rPr>
          <w:noProof/>
          <w:sz w:val="22"/>
        </w:rPr>
        <w:t>International</w:t>
      </w:r>
      <w:r>
        <w:rPr>
          <w:noProof/>
          <w:sz w:val="22"/>
          <w:lang w:val="ru-RU"/>
        </w:rPr>
        <w:t xml:space="preserve"> </w:t>
      </w:r>
      <w:r>
        <w:rPr>
          <w:noProof/>
          <w:sz w:val="22"/>
        </w:rPr>
        <w:t>Collaboration</w:t>
      </w:r>
      <w:r>
        <w:rPr>
          <w:noProof/>
          <w:sz w:val="22"/>
          <w:lang w:val="ru-RU"/>
        </w:rPr>
        <w:t xml:space="preserve"> </w:t>
      </w:r>
      <w:r>
        <w:rPr>
          <w:noProof/>
          <w:sz w:val="22"/>
        </w:rPr>
        <w:t>on</w:t>
      </w:r>
      <w:r>
        <w:rPr>
          <w:noProof/>
          <w:sz w:val="22"/>
          <w:lang w:val="ru-RU"/>
        </w:rPr>
        <w:t xml:space="preserve"> </w:t>
      </w:r>
      <w:r>
        <w:rPr>
          <w:noProof/>
          <w:sz w:val="22"/>
        </w:rPr>
        <w:t>Cosmetics</w:t>
      </w:r>
      <w:r>
        <w:rPr>
          <w:noProof/>
          <w:sz w:val="22"/>
          <w:lang w:val="ru-RU"/>
        </w:rPr>
        <w:t xml:space="preserve"> </w:t>
      </w:r>
      <w:r>
        <w:rPr>
          <w:noProof/>
          <w:sz w:val="22"/>
        </w:rPr>
        <w:t>Regulation</w:t>
      </w:r>
      <w:r>
        <w:rPr>
          <w:noProof/>
          <w:sz w:val="22"/>
          <w:lang w:val="ru-RU"/>
        </w:rPr>
        <w:t xml:space="preserve"> — </w:t>
      </w:r>
      <w:r>
        <w:rPr>
          <w:noProof/>
          <w:sz w:val="22"/>
        </w:rPr>
        <w:t>ICCR</w:t>
      </w:r>
      <w:r>
        <w:rPr>
          <w:noProof/>
          <w:sz w:val="22"/>
          <w:lang w:val="ru-RU"/>
        </w:rPr>
        <w:t>), което е форум за сътрудничество между регулаторни органи на САЩ, Бразилия, Канада, Япония и ЕС</w:t>
      </w:r>
      <w:r>
        <w:rPr>
          <w:rStyle w:val="FootnoteReference"/>
          <w:noProof/>
          <w:sz w:val="22"/>
        </w:rPr>
        <w:footnoteReference w:id="31"/>
      </w:r>
      <w:r>
        <w:rPr>
          <w:noProof/>
          <w:sz w:val="22"/>
          <w:lang w:val="ru-RU"/>
        </w:rPr>
        <w:t>. Международното сътрудничество за алтернативни методи за изпитване (</w:t>
      </w:r>
      <w:r>
        <w:rPr>
          <w:noProof/>
          <w:sz w:val="22"/>
        </w:rPr>
        <w:t>Intern</w:t>
      </w:r>
      <w:r>
        <w:rPr>
          <w:noProof/>
          <w:sz w:val="22"/>
        </w:rPr>
        <w:t>ational</w:t>
      </w:r>
      <w:r>
        <w:rPr>
          <w:noProof/>
          <w:sz w:val="22"/>
          <w:lang w:val="ru-RU"/>
        </w:rPr>
        <w:t xml:space="preserve"> </w:t>
      </w:r>
      <w:r>
        <w:rPr>
          <w:noProof/>
          <w:sz w:val="22"/>
        </w:rPr>
        <w:t>Cooperation</w:t>
      </w:r>
      <w:r>
        <w:rPr>
          <w:noProof/>
          <w:sz w:val="22"/>
          <w:lang w:val="ru-RU"/>
        </w:rPr>
        <w:t xml:space="preserve"> </w:t>
      </w:r>
      <w:r>
        <w:rPr>
          <w:noProof/>
          <w:sz w:val="22"/>
        </w:rPr>
        <w:t>on</w:t>
      </w:r>
      <w:r>
        <w:rPr>
          <w:noProof/>
          <w:sz w:val="22"/>
          <w:lang w:val="ru-RU"/>
        </w:rPr>
        <w:t xml:space="preserve"> </w:t>
      </w:r>
      <w:r>
        <w:rPr>
          <w:noProof/>
          <w:sz w:val="22"/>
        </w:rPr>
        <w:t>Alternative</w:t>
      </w:r>
      <w:r>
        <w:rPr>
          <w:noProof/>
          <w:sz w:val="22"/>
          <w:lang w:val="ru-RU"/>
        </w:rPr>
        <w:t xml:space="preserve"> </w:t>
      </w:r>
      <w:r>
        <w:rPr>
          <w:noProof/>
          <w:sz w:val="22"/>
        </w:rPr>
        <w:t>Test</w:t>
      </w:r>
      <w:r>
        <w:rPr>
          <w:noProof/>
          <w:sz w:val="22"/>
          <w:lang w:val="ru-RU"/>
        </w:rPr>
        <w:t xml:space="preserve"> </w:t>
      </w:r>
      <w:r>
        <w:rPr>
          <w:noProof/>
          <w:sz w:val="22"/>
        </w:rPr>
        <w:t>Methods</w:t>
      </w:r>
      <w:r>
        <w:rPr>
          <w:noProof/>
          <w:sz w:val="22"/>
          <w:lang w:val="ru-RU"/>
        </w:rPr>
        <w:t xml:space="preserve"> — </w:t>
      </w:r>
      <w:r>
        <w:rPr>
          <w:noProof/>
          <w:sz w:val="22"/>
        </w:rPr>
        <w:t>ICATM</w:t>
      </w:r>
      <w:r>
        <w:rPr>
          <w:noProof/>
          <w:sz w:val="22"/>
          <w:lang w:val="ru-RU"/>
        </w:rPr>
        <w:t xml:space="preserve">), в това число  </w:t>
      </w:r>
      <w:r>
        <w:rPr>
          <w:noProof/>
          <w:sz w:val="22"/>
        </w:rPr>
        <w:t>EURL</w:t>
      </w:r>
      <w:r>
        <w:rPr>
          <w:noProof/>
          <w:sz w:val="22"/>
          <w:lang w:val="ru-RU"/>
        </w:rPr>
        <w:t xml:space="preserve"> </w:t>
      </w:r>
      <w:r>
        <w:rPr>
          <w:noProof/>
          <w:sz w:val="22"/>
        </w:rPr>
        <w:t>ECVAM</w:t>
      </w:r>
      <w:r>
        <w:rPr>
          <w:noProof/>
          <w:sz w:val="22"/>
          <w:lang w:val="ru-RU"/>
        </w:rPr>
        <w:t xml:space="preserve"> и съответните агенции на Япония, САЩ, Южна Корея, Канада и Бразилия работят заедно по процеса на валидиране, за разработване на международни упътвания и указания, както и за</w:t>
      </w:r>
      <w:r>
        <w:rPr>
          <w:noProof/>
          <w:sz w:val="22"/>
          <w:lang w:val="ru-RU"/>
        </w:rPr>
        <w:t xml:space="preserve"> разпространение и насърчаване на алтернативните методи из целия свят. </w:t>
      </w:r>
    </w:p>
    <w:p w:rsidR="00450368" w:rsidRDefault="00450368">
      <w:pPr>
        <w:pStyle w:val="NormalWeb"/>
        <w:spacing w:before="0" w:beforeAutospacing="0" w:after="0" w:afterAutospacing="0"/>
        <w:jc w:val="both"/>
        <w:rPr>
          <w:noProof/>
          <w:sz w:val="22"/>
          <w:szCs w:val="22"/>
          <w:lang w:val="ru-RU"/>
        </w:rPr>
      </w:pPr>
    </w:p>
    <w:p w:rsidR="00450368" w:rsidRDefault="00450368">
      <w:pPr>
        <w:pStyle w:val="NormalWeb"/>
        <w:spacing w:before="0" w:beforeAutospacing="0" w:after="0" w:afterAutospacing="0"/>
        <w:jc w:val="both"/>
        <w:rPr>
          <w:noProof/>
          <w:sz w:val="22"/>
          <w:szCs w:val="22"/>
          <w:lang w:val="ru-RU"/>
        </w:rPr>
      </w:pPr>
    </w:p>
    <w:p w:rsidR="00450368" w:rsidRDefault="006B55A0">
      <w:pPr>
        <w:spacing w:after="0"/>
        <w:jc w:val="left"/>
        <w:rPr>
          <w:b/>
          <w:bCs/>
          <w:noProof/>
          <w:szCs w:val="24"/>
          <w:lang w:val="ru-RU"/>
        </w:rPr>
      </w:pPr>
      <w:r>
        <w:rPr>
          <w:b/>
          <w:noProof/>
          <w:lang w:val="ru-RU"/>
        </w:rPr>
        <w:t>3. ОЦЕНКА И ДЕЙНОСТИ ВЪВ ВРЪЗКА С ГРАЖДАНСКАТА ИНИЦИАТИВА</w:t>
      </w:r>
    </w:p>
    <w:p w:rsidR="00450368" w:rsidRDefault="00450368">
      <w:pPr>
        <w:spacing w:after="0"/>
        <w:rPr>
          <w:b/>
          <w:noProof/>
          <w:sz w:val="22"/>
          <w:szCs w:val="22"/>
          <w:highlight w:val="green"/>
          <w:lang w:val="ru-RU"/>
        </w:rPr>
      </w:pPr>
    </w:p>
    <w:p w:rsidR="00450368" w:rsidRPr="006B55A0" w:rsidRDefault="006B55A0">
      <w:pPr>
        <w:autoSpaceDE w:val="0"/>
        <w:autoSpaceDN w:val="0"/>
        <w:adjustRightInd w:val="0"/>
        <w:spacing w:after="0"/>
        <w:jc w:val="left"/>
        <w:rPr>
          <w:b/>
          <w:bCs/>
          <w:noProof/>
          <w:sz w:val="22"/>
          <w:szCs w:val="22"/>
          <w:lang w:val="ru-RU"/>
        </w:rPr>
      </w:pPr>
      <w:r w:rsidRPr="006B55A0">
        <w:rPr>
          <w:b/>
          <w:noProof/>
          <w:sz w:val="22"/>
          <w:lang w:val="ru-RU"/>
        </w:rPr>
        <w:t>Оценка</w:t>
      </w:r>
    </w:p>
    <w:p w:rsidR="00450368" w:rsidRPr="006B55A0" w:rsidRDefault="00450368">
      <w:pPr>
        <w:spacing w:after="0"/>
        <w:rPr>
          <w:b/>
          <w:noProof/>
          <w:sz w:val="22"/>
          <w:szCs w:val="22"/>
          <w:highlight w:val="green"/>
          <w:lang w:val="ru-RU"/>
        </w:rPr>
      </w:pPr>
    </w:p>
    <w:p w:rsidR="00450368" w:rsidRDefault="006B55A0">
      <w:pPr>
        <w:pStyle w:val="Default"/>
        <w:jc w:val="both"/>
        <w:rPr>
          <w:rFonts w:ascii="Times New Roman" w:hAnsi="Times New Roman" w:cs="Times New Roman"/>
          <w:i/>
          <w:noProof/>
          <w:color w:val="auto"/>
          <w:sz w:val="22"/>
          <w:szCs w:val="22"/>
          <w:lang w:val="ru-RU"/>
        </w:rPr>
      </w:pPr>
      <w:r>
        <w:rPr>
          <w:rFonts w:ascii="Times New Roman" w:hAnsi="Times New Roman"/>
          <w:noProof/>
          <w:color w:val="auto"/>
          <w:sz w:val="22"/>
          <w:lang w:val="ru-RU"/>
        </w:rPr>
        <w:t>Гражданската инициатива съдържа искане за отмяна на Директива</w:t>
      </w:r>
      <w:r>
        <w:rPr>
          <w:rFonts w:ascii="Times New Roman" w:hAnsi="Times New Roman"/>
          <w:noProof/>
          <w:color w:val="auto"/>
          <w:sz w:val="22"/>
        </w:rPr>
        <w:t> </w:t>
      </w:r>
      <w:r>
        <w:rPr>
          <w:rFonts w:ascii="Times New Roman" w:hAnsi="Times New Roman"/>
          <w:noProof/>
          <w:color w:val="auto"/>
          <w:sz w:val="22"/>
          <w:lang w:val="ru-RU"/>
        </w:rPr>
        <w:t>2010/63/ЕС и за приемане на нова законодателна рамка,</w:t>
      </w:r>
      <w:r>
        <w:rPr>
          <w:rFonts w:ascii="Times New Roman" w:hAnsi="Times New Roman"/>
          <w:noProof/>
          <w:color w:val="auto"/>
          <w:sz w:val="22"/>
          <w:lang w:val="ru-RU"/>
        </w:rPr>
        <w:t xml:space="preserve"> предвиждаща цялостно прекратяване на опитите с животни до 2020</w:t>
      </w:r>
      <w:r>
        <w:rPr>
          <w:rFonts w:ascii="Times New Roman" w:hAnsi="Times New Roman"/>
          <w:noProof/>
          <w:color w:val="auto"/>
          <w:sz w:val="22"/>
        </w:rPr>
        <w:t> </w:t>
      </w:r>
      <w:r>
        <w:rPr>
          <w:rFonts w:ascii="Times New Roman" w:hAnsi="Times New Roman"/>
          <w:noProof/>
          <w:color w:val="auto"/>
          <w:sz w:val="22"/>
          <w:lang w:val="ru-RU"/>
        </w:rPr>
        <w:t>г.</w:t>
      </w:r>
    </w:p>
    <w:p w:rsidR="00450368" w:rsidRDefault="00450368">
      <w:pPr>
        <w:pStyle w:val="Default"/>
        <w:jc w:val="both"/>
        <w:rPr>
          <w:rFonts w:ascii="Times New Roman" w:hAnsi="Times New Roman" w:cs="Times New Roman"/>
          <w:i/>
          <w:noProof/>
          <w:color w:val="auto"/>
          <w:sz w:val="22"/>
          <w:szCs w:val="22"/>
          <w:lang w:val="ru-RU"/>
        </w:rPr>
      </w:pPr>
    </w:p>
    <w:p w:rsidR="00450368" w:rsidRDefault="006B55A0">
      <w:pPr>
        <w:pStyle w:val="Default"/>
        <w:jc w:val="both"/>
        <w:rPr>
          <w:rFonts w:ascii="Times New Roman" w:hAnsi="Times New Roman"/>
          <w:i/>
          <w:noProof/>
          <w:sz w:val="22"/>
          <w:lang w:val="ru-RU"/>
        </w:rPr>
      </w:pPr>
      <w:r>
        <w:rPr>
          <w:rFonts w:ascii="Times New Roman" w:hAnsi="Times New Roman"/>
          <w:noProof/>
          <w:color w:val="auto"/>
          <w:sz w:val="22"/>
          <w:lang w:val="ru-RU"/>
        </w:rPr>
        <w:t>Организаторите изтъкват, че</w:t>
      </w:r>
      <w:r>
        <w:rPr>
          <w:rFonts w:ascii="Times New Roman" w:hAnsi="Times New Roman"/>
          <w:i/>
          <w:noProof/>
          <w:color w:val="auto"/>
          <w:sz w:val="22"/>
          <w:lang w:val="ru-RU"/>
        </w:rPr>
        <w:t xml:space="preserve"> „съществуват ясни етични възражения на гражданите на ЕС срещу опитите с животни“</w:t>
      </w:r>
      <w:r>
        <w:rPr>
          <w:rStyle w:val="FootnoteReference"/>
          <w:rFonts w:ascii="Times New Roman" w:hAnsi="Times New Roman"/>
          <w:i/>
          <w:noProof/>
          <w:color w:val="auto"/>
          <w:sz w:val="22"/>
        </w:rPr>
        <w:footnoteReference w:id="32"/>
      </w:r>
      <w:r>
        <w:rPr>
          <w:rFonts w:ascii="Times New Roman" w:hAnsi="Times New Roman"/>
          <w:i/>
          <w:noProof/>
          <w:color w:val="auto"/>
          <w:sz w:val="22"/>
          <w:lang w:val="ru-RU"/>
        </w:rPr>
        <w:t xml:space="preserve">, </w:t>
      </w:r>
      <w:r>
        <w:rPr>
          <w:rFonts w:ascii="Times New Roman" w:hAnsi="Times New Roman"/>
          <w:noProof/>
          <w:color w:val="auto"/>
          <w:sz w:val="22"/>
          <w:lang w:val="ru-RU"/>
        </w:rPr>
        <w:t>както и че</w:t>
      </w:r>
      <w:r>
        <w:rPr>
          <w:rFonts w:ascii="Times New Roman" w:hAnsi="Times New Roman"/>
          <w:i/>
          <w:noProof/>
          <w:color w:val="auto"/>
          <w:sz w:val="22"/>
          <w:lang w:val="ru-RU"/>
        </w:rPr>
        <w:t xml:space="preserve"> „моделирането с животни не е подходящо за прогнозиране на въздейст</w:t>
      </w:r>
      <w:r>
        <w:rPr>
          <w:rFonts w:ascii="Times New Roman" w:hAnsi="Times New Roman"/>
          <w:i/>
          <w:noProof/>
          <w:color w:val="auto"/>
          <w:sz w:val="22"/>
          <w:lang w:val="ru-RU"/>
        </w:rPr>
        <w:t xml:space="preserve">вията върху хората и опитите с животни възпрепятстват разработването на нови и по-ефикасни изследователски методи […]“. </w:t>
      </w:r>
    </w:p>
    <w:p w:rsidR="00450368" w:rsidRDefault="00450368">
      <w:pPr>
        <w:pStyle w:val="Default"/>
        <w:tabs>
          <w:tab w:val="left" w:pos="9072"/>
        </w:tabs>
        <w:ind w:right="283"/>
        <w:jc w:val="both"/>
        <w:rPr>
          <w:rFonts w:ascii="Times New Roman" w:hAnsi="Times New Roman" w:cs="Times New Roman"/>
          <w:i/>
          <w:noProof/>
          <w:lang w:val="ru-RU"/>
        </w:rPr>
      </w:pPr>
    </w:p>
    <w:p w:rsidR="00450368" w:rsidRDefault="006B55A0">
      <w:pPr>
        <w:autoSpaceDE w:val="0"/>
        <w:autoSpaceDN w:val="0"/>
        <w:adjustRightInd w:val="0"/>
        <w:spacing w:after="0"/>
        <w:rPr>
          <w:noProof/>
          <w:sz w:val="22"/>
          <w:szCs w:val="22"/>
          <w:lang w:val="ru-RU"/>
        </w:rPr>
      </w:pPr>
      <w:r>
        <w:rPr>
          <w:noProof/>
          <w:sz w:val="22"/>
          <w:lang w:val="ru-RU"/>
        </w:rPr>
        <w:t xml:space="preserve">Европейската комисия споделя убеждението на Гражданската инициатива, че е необходимо опитите с животни постепенно да бъдат </w:t>
      </w:r>
      <w:r>
        <w:rPr>
          <w:noProof/>
          <w:sz w:val="22"/>
          <w:lang w:val="ru-RU"/>
        </w:rPr>
        <w:t>преустановени. Това е крайната цел на съответното законодателство на ЕС.</w:t>
      </w:r>
    </w:p>
    <w:p w:rsidR="00450368" w:rsidRDefault="00450368">
      <w:pPr>
        <w:pStyle w:val="Default"/>
        <w:tabs>
          <w:tab w:val="left" w:pos="9072"/>
        </w:tabs>
        <w:ind w:right="283"/>
        <w:jc w:val="both"/>
        <w:rPr>
          <w:rFonts w:ascii="Times New Roman" w:hAnsi="Times New Roman" w:cs="Times New Roman"/>
          <w:i/>
          <w:noProof/>
          <w:color w:val="auto"/>
          <w:sz w:val="22"/>
          <w:szCs w:val="22"/>
          <w:lang w:val="ru-RU"/>
        </w:rPr>
      </w:pPr>
    </w:p>
    <w:p w:rsidR="00450368" w:rsidRDefault="006B55A0">
      <w:pPr>
        <w:pStyle w:val="Default"/>
        <w:jc w:val="both"/>
        <w:rPr>
          <w:rFonts w:ascii="Times New Roman" w:hAnsi="Times New Roman" w:cs="Times New Roman"/>
          <w:noProof/>
          <w:color w:val="auto"/>
          <w:sz w:val="22"/>
          <w:szCs w:val="22"/>
          <w:lang w:val="ru-RU"/>
        </w:rPr>
      </w:pPr>
      <w:r>
        <w:rPr>
          <w:rFonts w:ascii="Times New Roman" w:hAnsi="Times New Roman"/>
          <w:noProof/>
          <w:color w:val="auto"/>
          <w:sz w:val="22"/>
          <w:lang w:val="ru-RU"/>
        </w:rPr>
        <w:t>Но Европейската комисия не споделя гледището, че научните принципи отричат „моделирането с животни“. Всъщност, въпреки различията с хората, животинските модели са били ключови научни</w:t>
      </w:r>
      <w:r>
        <w:rPr>
          <w:rFonts w:ascii="Times New Roman" w:hAnsi="Times New Roman"/>
          <w:noProof/>
          <w:color w:val="auto"/>
          <w:sz w:val="22"/>
          <w:lang w:val="ru-RU"/>
        </w:rPr>
        <w:t xml:space="preserve"> средства при разработването на почти всички съществуващи ефикасни и безопасни медицински лечения и превантивни мерки за болестите на хората и животните</w:t>
      </w:r>
      <w:r>
        <w:rPr>
          <w:rStyle w:val="FootnoteReference"/>
          <w:rFonts w:ascii="Times New Roman" w:hAnsi="Times New Roman"/>
          <w:noProof/>
          <w:color w:val="auto"/>
          <w:sz w:val="22"/>
        </w:rPr>
        <w:footnoteReference w:id="33"/>
      </w:r>
      <w:r>
        <w:rPr>
          <w:rFonts w:ascii="Times New Roman" w:hAnsi="Times New Roman"/>
          <w:noProof/>
          <w:color w:val="auto"/>
          <w:sz w:val="22"/>
          <w:lang w:val="ru-RU"/>
        </w:rPr>
        <w:t>. При развитието на медицината животинските модели са били много ефикасно средство за отстраняването на</w:t>
      </w:r>
      <w:r>
        <w:rPr>
          <w:rFonts w:ascii="Times New Roman" w:hAnsi="Times New Roman"/>
          <w:noProof/>
          <w:color w:val="auto"/>
          <w:sz w:val="22"/>
          <w:lang w:val="ru-RU"/>
        </w:rPr>
        <w:t xml:space="preserve"> проучвани лекарства, които биха били опасни за хората при по-нататъшно изпитване в клинични условия. В областите с голяма биологична комплексност, за които съществуващите алтернативни методи все още не дават достатъчна възможност за прогнозиране, животинс</w:t>
      </w:r>
      <w:r>
        <w:rPr>
          <w:rFonts w:ascii="Times New Roman" w:hAnsi="Times New Roman"/>
          <w:noProof/>
          <w:color w:val="auto"/>
          <w:sz w:val="22"/>
          <w:lang w:val="ru-RU"/>
        </w:rPr>
        <w:t>ките модели все още са необходими за разгадаване на комплексните биологични механизми, водещи до наблюдаван ефект, или за осигуряване на информацията, необходима за гарантиране, че даден продукт е безопасен.</w:t>
      </w:r>
    </w:p>
    <w:p w:rsidR="00450368" w:rsidRDefault="00450368">
      <w:pPr>
        <w:autoSpaceDE w:val="0"/>
        <w:autoSpaceDN w:val="0"/>
        <w:adjustRightInd w:val="0"/>
        <w:spacing w:after="0"/>
        <w:rPr>
          <w:bCs/>
          <w:noProof/>
          <w:sz w:val="22"/>
          <w:szCs w:val="22"/>
          <w:lang w:val="ru-RU"/>
        </w:rPr>
      </w:pPr>
    </w:p>
    <w:p w:rsidR="00450368" w:rsidRDefault="006B55A0">
      <w:pPr>
        <w:autoSpaceDE w:val="0"/>
        <w:autoSpaceDN w:val="0"/>
        <w:adjustRightInd w:val="0"/>
        <w:spacing w:after="0"/>
        <w:rPr>
          <w:bCs/>
          <w:noProof/>
          <w:sz w:val="22"/>
          <w:szCs w:val="22"/>
          <w:lang w:val="ru-RU"/>
        </w:rPr>
      </w:pPr>
      <w:r>
        <w:rPr>
          <w:noProof/>
          <w:sz w:val="22"/>
          <w:lang w:val="ru-RU"/>
        </w:rPr>
        <w:t xml:space="preserve">Европейската комисия е на мнение, че опитите с </w:t>
      </w:r>
      <w:r>
        <w:rPr>
          <w:noProof/>
          <w:sz w:val="22"/>
          <w:lang w:val="ru-RU"/>
        </w:rPr>
        <w:t>животни не представляват препятствие за разработването на алтернативни инструменти за научни изследвания. Използването на животни в изследванията всъщност осигурява механистично разбиране на биологията на животните и хората, което дава възможност за разраб</w:t>
      </w:r>
      <w:r>
        <w:rPr>
          <w:noProof/>
          <w:sz w:val="22"/>
          <w:lang w:val="ru-RU"/>
        </w:rPr>
        <w:t>отването на по-етични, по-ефективни икономически и по-бързи алтернативни методи. Европейската комисия признава наличието на ограничения както при моделирането с животни, така също и при алтернативите, и непрекъснато проследява и подпомага нови разработки н</w:t>
      </w:r>
      <w:r>
        <w:rPr>
          <w:noProof/>
          <w:sz w:val="22"/>
          <w:lang w:val="ru-RU"/>
        </w:rPr>
        <w:t>а подобрени прогностични методи. В днешно време процесите на разработване на нови лекарства, фундаменталните изследвания и прогностичното изпитване на вещества вече не се базират само на моделиране с животни. Във всички тези области се следва подход, основ</w:t>
      </w:r>
      <w:r>
        <w:rPr>
          <w:noProof/>
          <w:sz w:val="22"/>
          <w:lang w:val="ru-RU"/>
        </w:rPr>
        <w:t>ан на тежестта на доказателствата, при който заедно се вземат под внимание и съществуващите знания, получени чрез алтернативни методи, посредством опити с животни и в резултата на експозиция на хора. Повечето документи в областта на изпитването в законодат</w:t>
      </w:r>
      <w:r>
        <w:rPr>
          <w:noProof/>
          <w:sz w:val="22"/>
          <w:lang w:val="ru-RU"/>
        </w:rPr>
        <w:t>елството на ЕС включват задължително изискване за използване на надеждни алтернативи, след като те вече са валидирани.</w:t>
      </w:r>
    </w:p>
    <w:p w:rsidR="00450368" w:rsidRDefault="00450368">
      <w:pPr>
        <w:pStyle w:val="Default"/>
        <w:tabs>
          <w:tab w:val="left" w:pos="9072"/>
        </w:tabs>
        <w:ind w:right="283"/>
        <w:jc w:val="both"/>
        <w:rPr>
          <w:rFonts w:ascii="Times New Roman" w:hAnsi="Times New Roman" w:cs="Times New Roman"/>
          <w:noProof/>
          <w:color w:val="auto"/>
          <w:sz w:val="22"/>
          <w:szCs w:val="22"/>
          <w:lang w:val="ru-RU"/>
        </w:rPr>
      </w:pPr>
    </w:p>
    <w:p w:rsidR="00450368" w:rsidRPr="006B55A0" w:rsidRDefault="006B55A0">
      <w:pPr>
        <w:autoSpaceDE w:val="0"/>
        <w:autoSpaceDN w:val="0"/>
        <w:adjustRightInd w:val="0"/>
        <w:spacing w:after="0"/>
        <w:ind w:firstLine="720"/>
        <w:jc w:val="left"/>
        <w:rPr>
          <w:b/>
          <w:i/>
          <w:noProof/>
          <w:sz w:val="22"/>
          <w:szCs w:val="22"/>
          <w:lang w:val="ru-RU"/>
        </w:rPr>
      </w:pPr>
      <w:r w:rsidRPr="006B55A0">
        <w:rPr>
          <w:b/>
          <w:i/>
          <w:noProof/>
          <w:sz w:val="22"/>
          <w:lang w:val="ru-RU"/>
        </w:rPr>
        <w:t>Продължаващата необходимост от Директива</w:t>
      </w:r>
      <w:r>
        <w:rPr>
          <w:b/>
          <w:i/>
          <w:noProof/>
          <w:sz w:val="22"/>
        </w:rPr>
        <w:t> </w:t>
      </w:r>
      <w:r w:rsidRPr="006B55A0">
        <w:rPr>
          <w:b/>
          <w:i/>
          <w:noProof/>
          <w:sz w:val="22"/>
          <w:lang w:val="ru-RU"/>
        </w:rPr>
        <w:t>2010/63/ЕС</w:t>
      </w:r>
    </w:p>
    <w:p w:rsidR="00450368" w:rsidRPr="006B55A0" w:rsidRDefault="00450368">
      <w:pPr>
        <w:autoSpaceDE w:val="0"/>
        <w:autoSpaceDN w:val="0"/>
        <w:adjustRightInd w:val="0"/>
        <w:spacing w:after="0"/>
        <w:rPr>
          <w:b/>
          <w:bCs/>
          <w:noProof/>
          <w:sz w:val="22"/>
          <w:szCs w:val="22"/>
          <w:lang w:val="ru-RU"/>
        </w:rPr>
      </w:pPr>
    </w:p>
    <w:p w:rsidR="00450368" w:rsidRDefault="006B55A0">
      <w:pPr>
        <w:autoSpaceDE w:val="0"/>
        <w:autoSpaceDN w:val="0"/>
        <w:adjustRightInd w:val="0"/>
        <w:spacing w:after="0"/>
        <w:rPr>
          <w:bCs/>
          <w:noProof/>
          <w:sz w:val="22"/>
          <w:szCs w:val="22"/>
          <w:lang w:val="ru-RU"/>
        </w:rPr>
      </w:pPr>
      <w:r>
        <w:rPr>
          <w:noProof/>
          <w:sz w:val="22"/>
          <w:lang w:val="ru-RU"/>
        </w:rPr>
        <w:t xml:space="preserve">Директивата е необходима за осигуряване на висока степен на защита на животните в </w:t>
      </w:r>
      <w:r>
        <w:rPr>
          <w:noProof/>
          <w:sz w:val="22"/>
          <w:lang w:val="ru-RU"/>
        </w:rPr>
        <w:t>съответствие с член</w:t>
      </w:r>
      <w:r>
        <w:rPr>
          <w:noProof/>
          <w:sz w:val="22"/>
        </w:rPr>
        <w:t> </w:t>
      </w:r>
      <w:r>
        <w:rPr>
          <w:noProof/>
          <w:sz w:val="22"/>
          <w:lang w:val="ru-RU"/>
        </w:rPr>
        <w:t>13 от Договора. Евентуалната отмяна на директивата няма да преустанови използването на животни за опитни цели. Вместо това, такава отмяна би дерегулирала начина, по който се извършват тези опити, съответните животни биха били по-уязвими</w:t>
      </w:r>
      <w:r>
        <w:rPr>
          <w:noProof/>
          <w:sz w:val="22"/>
          <w:lang w:val="ru-RU"/>
        </w:rPr>
        <w:t xml:space="preserve"> и би било възпрепятствано разработването на алтернативи.</w:t>
      </w:r>
    </w:p>
    <w:p w:rsidR="00450368" w:rsidRDefault="00450368">
      <w:pPr>
        <w:autoSpaceDE w:val="0"/>
        <w:autoSpaceDN w:val="0"/>
        <w:adjustRightInd w:val="0"/>
        <w:spacing w:after="0"/>
        <w:rPr>
          <w:bCs/>
          <w:noProof/>
          <w:sz w:val="22"/>
          <w:szCs w:val="22"/>
          <w:lang w:val="ru-RU"/>
        </w:rPr>
      </w:pPr>
    </w:p>
    <w:p w:rsidR="00450368" w:rsidRDefault="006B55A0">
      <w:pPr>
        <w:autoSpaceDE w:val="0"/>
        <w:autoSpaceDN w:val="0"/>
        <w:adjustRightInd w:val="0"/>
        <w:spacing w:after="0"/>
        <w:rPr>
          <w:noProof/>
          <w:sz w:val="22"/>
          <w:szCs w:val="22"/>
          <w:lang w:val="ru-RU"/>
        </w:rPr>
      </w:pPr>
      <w:r>
        <w:rPr>
          <w:noProof/>
          <w:sz w:val="22"/>
          <w:lang w:val="ru-RU"/>
        </w:rPr>
        <w:t>Цялостното прилагане на Директива</w:t>
      </w:r>
      <w:r>
        <w:rPr>
          <w:noProof/>
          <w:sz w:val="22"/>
        </w:rPr>
        <w:t> </w:t>
      </w:r>
      <w:r>
        <w:rPr>
          <w:noProof/>
          <w:sz w:val="22"/>
          <w:lang w:val="ru-RU"/>
        </w:rPr>
        <w:t>2010/63/ЕС е от голямо значение за подобряване на хуманното отношение към животните, които все още се използват за опитни цели. Европейската комисия извършва строг</w:t>
      </w:r>
      <w:r>
        <w:rPr>
          <w:noProof/>
          <w:sz w:val="22"/>
          <w:lang w:val="ru-RU"/>
        </w:rPr>
        <w:t xml:space="preserve"> преглед дали директивата е транспонирана правилно и цялостно в националното законодателство и възнамерява да предизвика производства за установяване на неизпълнение на задължения </w:t>
      </w:r>
      <w:r>
        <w:rPr>
          <w:rStyle w:val="FootnoteReference"/>
          <w:noProof/>
          <w:sz w:val="22"/>
        </w:rPr>
        <w:footnoteReference w:id="34"/>
      </w:r>
      <w:r>
        <w:rPr>
          <w:noProof/>
          <w:sz w:val="22"/>
          <w:lang w:val="ru-RU"/>
        </w:rPr>
        <w:t xml:space="preserve"> в случаите, при които това е необходимо.</w:t>
      </w:r>
    </w:p>
    <w:p w:rsidR="00450368" w:rsidRDefault="00450368">
      <w:pPr>
        <w:autoSpaceDE w:val="0"/>
        <w:autoSpaceDN w:val="0"/>
        <w:adjustRightInd w:val="0"/>
        <w:spacing w:after="0"/>
        <w:rPr>
          <w:bCs/>
          <w:noProof/>
          <w:sz w:val="22"/>
          <w:szCs w:val="22"/>
          <w:lang w:val="ru-RU"/>
        </w:rPr>
      </w:pPr>
    </w:p>
    <w:p w:rsidR="00450368" w:rsidRDefault="006B55A0">
      <w:pPr>
        <w:autoSpaceDE w:val="0"/>
        <w:autoSpaceDN w:val="0"/>
        <w:adjustRightInd w:val="0"/>
        <w:spacing w:after="0"/>
        <w:rPr>
          <w:noProof/>
          <w:sz w:val="22"/>
          <w:szCs w:val="22"/>
          <w:lang w:val="ru-RU"/>
        </w:rPr>
      </w:pPr>
      <w:r>
        <w:rPr>
          <w:noProof/>
          <w:sz w:val="22"/>
          <w:lang w:val="ru-RU"/>
        </w:rPr>
        <w:t xml:space="preserve">Директивата не е била в сила </w:t>
      </w:r>
      <w:r>
        <w:rPr>
          <w:noProof/>
          <w:sz w:val="22"/>
          <w:lang w:val="ru-RU"/>
        </w:rPr>
        <w:t>достатъчно дълго време, за да могат да се направят изводи за нейната ефективност. Комисията планира да я преразгледа през 2017</w:t>
      </w:r>
      <w:r>
        <w:rPr>
          <w:noProof/>
          <w:sz w:val="22"/>
        </w:rPr>
        <w:t> </w:t>
      </w:r>
      <w:r>
        <w:rPr>
          <w:noProof/>
          <w:sz w:val="22"/>
          <w:lang w:val="ru-RU"/>
        </w:rPr>
        <w:t>г. и да изтъкне наличието на алтернативни подходи. Също така, в директивата има изискване през 2019</w:t>
      </w:r>
      <w:r>
        <w:rPr>
          <w:noProof/>
          <w:sz w:val="22"/>
        </w:rPr>
        <w:t> </w:t>
      </w:r>
      <w:r>
        <w:rPr>
          <w:noProof/>
          <w:sz w:val="22"/>
          <w:lang w:val="ru-RU"/>
        </w:rPr>
        <w:t>г. да бъде изготвен  доклад з</w:t>
      </w:r>
      <w:r>
        <w:rPr>
          <w:noProof/>
          <w:sz w:val="22"/>
          <w:lang w:val="ru-RU"/>
        </w:rPr>
        <w:t xml:space="preserve">а нейното изпълнение. Тези доклади ще представляват първи оценки на степента, в която директивата постига своите цели. </w:t>
      </w:r>
    </w:p>
    <w:p w:rsidR="00450368" w:rsidRDefault="00450368">
      <w:pPr>
        <w:autoSpaceDE w:val="0"/>
        <w:autoSpaceDN w:val="0"/>
        <w:adjustRightInd w:val="0"/>
        <w:spacing w:after="0"/>
        <w:jc w:val="left"/>
        <w:rPr>
          <w:b/>
          <w:bCs/>
          <w:noProof/>
          <w:sz w:val="22"/>
          <w:szCs w:val="22"/>
          <w:lang w:val="ru-RU"/>
        </w:rPr>
      </w:pPr>
    </w:p>
    <w:p w:rsidR="00450368" w:rsidRDefault="00450368">
      <w:pPr>
        <w:autoSpaceDE w:val="0"/>
        <w:autoSpaceDN w:val="0"/>
        <w:adjustRightInd w:val="0"/>
        <w:spacing w:after="0"/>
        <w:jc w:val="left"/>
        <w:rPr>
          <w:b/>
          <w:bCs/>
          <w:noProof/>
          <w:sz w:val="22"/>
          <w:szCs w:val="22"/>
          <w:lang w:val="ru-RU"/>
        </w:rPr>
      </w:pPr>
    </w:p>
    <w:p w:rsidR="00450368" w:rsidRDefault="006B55A0">
      <w:pPr>
        <w:autoSpaceDE w:val="0"/>
        <w:autoSpaceDN w:val="0"/>
        <w:adjustRightInd w:val="0"/>
        <w:spacing w:after="0"/>
        <w:jc w:val="left"/>
        <w:rPr>
          <w:b/>
          <w:bCs/>
          <w:noProof/>
          <w:sz w:val="22"/>
          <w:szCs w:val="22"/>
          <w:lang w:val="ru-RU"/>
        </w:rPr>
      </w:pPr>
      <w:r>
        <w:rPr>
          <w:b/>
          <w:noProof/>
          <w:sz w:val="22"/>
          <w:lang w:val="ru-RU"/>
        </w:rPr>
        <w:t>Действия във връзка с Европейската гражданска инициатива</w:t>
      </w:r>
    </w:p>
    <w:p w:rsidR="00450368" w:rsidRDefault="00450368">
      <w:pPr>
        <w:autoSpaceDE w:val="0"/>
        <w:autoSpaceDN w:val="0"/>
        <w:adjustRightInd w:val="0"/>
        <w:spacing w:after="0"/>
        <w:jc w:val="left"/>
        <w:rPr>
          <w:noProof/>
          <w:sz w:val="22"/>
          <w:szCs w:val="22"/>
          <w:lang w:val="ru-RU"/>
        </w:rPr>
      </w:pPr>
    </w:p>
    <w:p w:rsidR="00450368" w:rsidRDefault="006B55A0">
      <w:pPr>
        <w:autoSpaceDE w:val="0"/>
        <w:autoSpaceDN w:val="0"/>
        <w:adjustRightInd w:val="0"/>
        <w:spacing w:after="0"/>
        <w:rPr>
          <w:noProof/>
          <w:sz w:val="22"/>
          <w:szCs w:val="22"/>
          <w:lang w:val="ru-RU"/>
        </w:rPr>
      </w:pPr>
      <w:r>
        <w:rPr>
          <w:noProof/>
          <w:sz w:val="22"/>
          <w:lang w:val="ru-RU"/>
        </w:rPr>
        <w:t>Европейската комисия ще предприеме следните действия за ускоряване на разраб</w:t>
      </w:r>
      <w:r>
        <w:rPr>
          <w:noProof/>
          <w:sz w:val="22"/>
          <w:lang w:val="ru-RU"/>
        </w:rPr>
        <w:t>отването и практическото прилагане на подходи без използване на животни в научните изследвания и опитите.</w:t>
      </w:r>
    </w:p>
    <w:p w:rsidR="00450368" w:rsidRDefault="00450368">
      <w:pPr>
        <w:widowControl w:val="0"/>
        <w:tabs>
          <w:tab w:val="left" w:pos="220"/>
          <w:tab w:val="left" w:pos="720"/>
        </w:tabs>
        <w:autoSpaceDE w:val="0"/>
        <w:autoSpaceDN w:val="0"/>
        <w:adjustRightInd w:val="0"/>
        <w:spacing w:after="0"/>
        <w:jc w:val="left"/>
        <w:rPr>
          <w:noProof/>
          <w:sz w:val="22"/>
          <w:szCs w:val="22"/>
          <w:lang w:val="ru-RU"/>
        </w:rPr>
      </w:pPr>
    </w:p>
    <w:p w:rsidR="00450368" w:rsidRDefault="006B55A0">
      <w:pPr>
        <w:autoSpaceDE w:val="0"/>
        <w:autoSpaceDN w:val="0"/>
        <w:adjustRightInd w:val="0"/>
        <w:spacing w:after="0"/>
        <w:ind w:left="960" w:hanging="240"/>
        <w:jc w:val="left"/>
        <w:rPr>
          <w:b/>
          <w:i/>
          <w:noProof/>
          <w:sz w:val="22"/>
          <w:szCs w:val="22"/>
          <w:lang w:val="ru-RU"/>
        </w:rPr>
      </w:pPr>
      <w:r>
        <w:rPr>
          <w:b/>
          <w:i/>
          <w:noProof/>
          <w:sz w:val="22"/>
          <w:lang w:val="ru-RU"/>
        </w:rPr>
        <w:t xml:space="preserve">1. Ускоряване на напредъка в областта на трите </w:t>
      </w:r>
      <w:r>
        <w:rPr>
          <w:b/>
          <w:i/>
          <w:noProof/>
          <w:sz w:val="22"/>
        </w:rPr>
        <w:t>R</w:t>
      </w:r>
      <w:r>
        <w:rPr>
          <w:b/>
          <w:i/>
          <w:noProof/>
          <w:sz w:val="22"/>
          <w:lang w:val="ru-RU"/>
        </w:rPr>
        <w:t xml:space="preserve"> посредством споделяне на знания</w:t>
      </w:r>
    </w:p>
    <w:p w:rsidR="00450368" w:rsidRDefault="00450368">
      <w:pPr>
        <w:autoSpaceDE w:val="0"/>
        <w:autoSpaceDN w:val="0"/>
        <w:adjustRightInd w:val="0"/>
        <w:spacing w:after="0"/>
        <w:jc w:val="left"/>
        <w:rPr>
          <w:b/>
          <w:bCs/>
          <w:noProof/>
          <w:sz w:val="22"/>
          <w:szCs w:val="22"/>
          <w:lang w:val="ru-RU"/>
        </w:rPr>
      </w:pPr>
    </w:p>
    <w:p w:rsidR="00450368" w:rsidRDefault="006B55A0">
      <w:pPr>
        <w:autoSpaceDE w:val="0"/>
        <w:autoSpaceDN w:val="0"/>
        <w:adjustRightInd w:val="0"/>
        <w:spacing w:after="0"/>
        <w:rPr>
          <w:bCs/>
          <w:noProof/>
          <w:sz w:val="22"/>
          <w:szCs w:val="22"/>
          <w:lang w:val="ru-RU"/>
        </w:rPr>
      </w:pPr>
      <w:r>
        <w:rPr>
          <w:noProof/>
          <w:lang w:val="ru-RU"/>
        </w:rPr>
        <w:t>Междудисциплинарното и междусекторното споделяне на знания има уско</w:t>
      </w:r>
      <w:r>
        <w:rPr>
          <w:noProof/>
          <w:lang w:val="ru-RU"/>
        </w:rPr>
        <w:t xml:space="preserve">ряващо въздействие върху прогреса в областта на трите </w:t>
      </w:r>
      <w:r>
        <w:rPr>
          <w:noProof/>
        </w:rPr>
        <w:t>R</w:t>
      </w:r>
      <w:r>
        <w:rPr>
          <w:noProof/>
          <w:lang w:val="ru-RU"/>
        </w:rPr>
        <w:t>. Съответните знания имат широк обхват и могат да включват разбиране на фундаментални биологични процеси, начини за облекчаване на опитите с животни с оглед свеждане до минимум на потенциалната болка и</w:t>
      </w:r>
      <w:r>
        <w:rPr>
          <w:noProof/>
          <w:lang w:val="ru-RU"/>
        </w:rPr>
        <w:t xml:space="preserve"> страдание, начини за оптимално съставяне на подходи без използване на животни за проучване на научно-изследователски въпроси или за оценяване на безопасността на дадено вещество или за характеризиране и стандартизиране на нови модели, така че да се гарант</w:t>
      </w:r>
      <w:r>
        <w:rPr>
          <w:noProof/>
          <w:lang w:val="ru-RU"/>
        </w:rPr>
        <w:t>ира, че те са подходящи за целта.</w:t>
      </w:r>
      <w:r>
        <w:rPr>
          <w:noProof/>
          <w:sz w:val="22"/>
          <w:lang w:val="ru-RU"/>
        </w:rPr>
        <w:t xml:space="preserve"> Съществуват няколко платформи и мрежи, оказващи значителен принос за напредъка в областта на трите </w:t>
      </w:r>
      <w:r>
        <w:rPr>
          <w:noProof/>
          <w:sz w:val="22"/>
        </w:rPr>
        <w:t>R</w:t>
      </w:r>
      <w:r>
        <w:rPr>
          <w:noProof/>
          <w:sz w:val="22"/>
          <w:lang w:val="ru-RU"/>
        </w:rPr>
        <w:t>, някои от които се подпомагат от Европейската комисия. Но би могло системното споделяне на информация и знания да бъде до</w:t>
      </w:r>
      <w:r>
        <w:rPr>
          <w:noProof/>
          <w:sz w:val="22"/>
          <w:lang w:val="ru-RU"/>
        </w:rPr>
        <w:t xml:space="preserve">пълнително засилено.  </w:t>
      </w:r>
    </w:p>
    <w:p w:rsidR="00450368" w:rsidRDefault="00450368">
      <w:pPr>
        <w:autoSpaceDE w:val="0"/>
        <w:autoSpaceDN w:val="0"/>
        <w:adjustRightInd w:val="0"/>
        <w:spacing w:after="0"/>
        <w:rPr>
          <w:bCs/>
          <w:noProof/>
          <w:sz w:val="22"/>
          <w:szCs w:val="22"/>
          <w:lang w:val="ru-RU"/>
        </w:rPr>
      </w:pPr>
    </w:p>
    <w:p w:rsidR="00450368" w:rsidRDefault="006B55A0">
      <w:pPr>
        <w:pBdr>
          <w:top w:val="single" w:sz="4" w:space="1" w:color="auto"/>
          <w:left w:val="single" w:sz="4" w:space="4" w:color="auto"/>
          <w:bottom w:val="single" w:sz="4" w:space="1" w:color="auto"/>
          <w:right w:val="single" w:sz="4" w:space="4" w:color="auto"/>
        </w:pBdr>
        <w:autoSpaceDE w:val="0"/>
        <w:autoSpaceDN w:val="0"/>
        <w:adjustRightInd w:val="0"/>
        <w:spacing w:after="0"/>
        <w:rPr>
          <w:bCs/>
          <w:noProof/>
          <w:sz w:val="22"/>
          <w:szCs w:val="22"/>
          <w:lang w:val="ru-RU"/>
        </w:rPr>
      </w:pPr>
      <w:r>
        <w:rPr>
          <w:b/>
          <w:noProof/>
          <w:sz w:val="22"/>
          <w:lang w:val="ru-RU"/>
        </w:rPr>
        <w:t>Действие</w:t>
      </w:r>
      <w:r>
        <w:rPr>
          <w:b/>
          <w:noProof/>
          <w:sz w:val="22"/>
        </w:rPr>
        <w:t> </w:t>
      </w:r>
      <w:r>
        <w:rPr>
          <w:b/>
          <w:noProof/>
          <w:sz w:val="22"/>
          <w:lang w:val="ru-RU"/>
        </w:rPr>
        <w:t>1</w:t>
      </w:r>
      <w:r>
        <w:rPr>
          <w:noProof/>
          <w:sz w:val="22"/>
          <w:lang w:val="ru-RU"/>
        </w:rPr>
        <w:t xml:space="preserve"> — Чрез надграждане върху съществуващите дейности на Комисията, съответните агенции на ЕС и ОИСР, Комисията ще анализира технологии, информационни източници и мрежи от всички съответни сектори, които биха могли да имат въздействие върху напредъка в областт</w:t>
      </w:r>
      <w:r>
        <w:rPr>
          <w:noProof/>
          <w:sz w:val="22"/>
          <w:lang w:val="ru-RU"/>
        </w:rPr>
        <w:t xml:space="preserve">а на трите </w:t>
      </w:r>
      <w:r>
        <w:rPr>
          <w:noProof/>
          <w:sz w:val="22"/>
        </w:rPr>
        <w:t>R</w:t>
      </w:r>
      <w:r>
        <w:rPr>
          <w:noProof/>
          <w:sz w:val="22"/>
          <w:lang w:val="ru-RU"/>
        </w:rPr>
        <w:t>, и да представи до края на 2016</w:t>
      </w:r>
      <w:r>
        <w:rPr>
          <w:noProof/>
          <w:sz w:val="22"/>
        </w:rPr>
        <w:t> </w:t>
      </w:r>
      <w:r>
        <w:rPr>
          <w:noProof/>
          <w:sz w:val="22"/>
          <w:lang w:val="ru-RU"/>
        </w:rPr>
        <w:t>г. оценка на вариантите за подобряване на споделянето на знания между всички съответни страни. В оценката ще бъдат разгледани начини за системно ускоряване на обмена на знания посредством комуникиране, разпростр</w:t>
      </w:r>
      <w:r>
        <w:rPr>
          <w:noProof/>
          <w:sz w:val="22"/>
          <w:lang w:val="ru-RU"/>
        </w:rPr>
        <w:t>анение, образование и обучение.</w:t>
      </w:r>
    </w:p>
    <w:p w:rsidR="00450368" w:rsidRDefault="00450368">
      <w:pPr>
        <w:widowControl w:val="0"/>
        <w:tabs>
          <w:tab w:val="left" w:pos="220"/>
          <w:tab w:val="left" w:pos="720"/>
        </w:tabs>
        <w:autoSpaceDE w:val="0"/>
        <w:autoSpaceDN w:val="0"/>
        <w:adjustRightInd w:val="0"/>
        <w:spacing w:after="0"/>
        <w:jc w:val="left"/>
        <w:rPr>
          <w:b/>
          <w:noProof/>
          <w:sz w:val="22"/>
          <w:szCs w:val="22"/>
          <w:lang w:val="ru-RU"/>
        </w:rPr>
      </w:pPr>
    </w:p>
    <w:p w:rsidR="00450368" w:rsidRDefault="00450368">
      <w:pPr>
        <w:autoSpaceDE w:val="0"/>
        <w:autoSpaceDN w:val="0"/>
        <w:adjustRightInd w:val="0"/>
        <w:spacing w:after="0"/>
        <w:ind w:firstLine="720"/>
        <w:jc w:val="left"/>
        <w:rPr>
          <w:b/>
          <w:i/>
          <w:noProof/>
          <w:sz w:val="22"/>
          <w:szCs w:val="22"/>
          <w:lang w:val="ru-RU"/>
        </w:rPr>
      </w:pPr>
    </w:p>
    <w:p w:rsidR="00450368" w:rsidRDefault="006B55A0">
      <w:pPr>
        <w:autoSpaceDE w:val="0"/>
        <w:autoSpaceDN w:val="0"/>
        <w:adjustRightInd w:val="0"/>
        <w:spacing w:after="0"/>
        <w:ind w:firstLine="720"/>
        <w:jc w:val="left"/>
        <w:rPr>
          <w:b/>
          <w:i/>
          <w:noProof/>
          <w:sz w:val="22"/>
          <w:szCs w:val="22"/>
          <w:lang w:val="ru-RU"/>
        </w:rPr>
      </w:pPr>
      <w:r>
        <w:rPr>
          <w:b/>
          <w:i/>
          <w:noProof/>
          <w:sz w:val="22"/>
          <w:lang w:val="ru-RU"/>
        </w:rPr>
        <w:t xml:space="preserve">2. Разработване, валидиране и прилагане на нови алтернативни подходи </w:t>
      </w:r>
    </w:p>
    <w:p w:rsidR="00450368" w:rsidRDefault="00450368">
      <w:pPr>
        <w:rPr>
          <w:noProof/>
          <w:lang w:val="ru-RU"/>
        </w:rPr>
      </w:pPr>
    </w:p>
    <w:p w:rsidR="00450368" w:rsidRDefault="006B55A0">
      <w:pPr>
        <w:pBdr>
          <w:top w:val="single" w:sz="4" w:space="1" w:color="auto"/>
          <w:left w:val="single" w:sz="4" w:space="4" w:color="auto"/>
          <w:bottom w:val="single" w:sz="4" w:space="1" w:color="auto"/>
          <w:right w:val="single" w:sz="4" w:space="4" w:color="auto"/>
        </w:pBdr>
        <w:autoSpaceDE w:val="0"/>
        <w:autoSpaceDN w:val="0"/>
        <w:adjustRightInd w:val="0"/>
        <w:spacing w:after="0"/>
        <w:rPr>
          <w:bCs/>
          <w:noProof/>
          <w:sz w:val="22"/>
          <w:szCs w:val="22"/>
          <w:lang w:val="ru-RU"/>
        </w:rPr>
      </w:pPr>
      <w:r>
        <w:rPr>
          <w:b/>
          <w:noProof/>
          <w:sz w:val="22"/>
          <w:lang w:val="ru-RU"/>
        </w:rPr>
        <w:t>Действие</w:t>
      </w:r>
      <w:r>
        <w:rPr>
          <w:b/>
          <w:noProof/>
          <w:sz w:val="22"/>
        </w:rPr>
        <w:t> </w:t>
      </w:r>
      <w:r>
        <w:rPr>
          <w:b/>
          <w:noProof/>
          <w:sz w:val="22"/>
          <w:lang w:val="ru-RU"/>
        </w:rPr>
        <w:t>2</w:t>
      </w:r>
      <w:r>
        <w:rPr>
          <w:noProof/>
          <w:sz w:val="22"/>
          <w:lang w:val="ru-RU"/>
        </w:rPr>
        <w:t xml:space="preserve"> — Комисията ще продължи да подпомага разработването, валидирането и прилагането на алтернативни подходи за регулаторни и научно-изследовател</w:t>
      </w:r>
      <w:r>
        <w:rPr>
          <w:noProof/>
          <w:sz w:val="22"/>
          <w:lang w:val="ru-RU"/>
        </w:rPr>
        <w:t>ски цели. Това ще включва тясно сътрудничество между Комисията, държавите членки и международните организации и ще се подпомага, както е уместно, от програмите на ЕС.</w:t>
      </w:r>
    </w:p>
    <w:p w:rsidR="00450368" w:rsidRDefault="00450368">
      <w:pPr>
        <w:autoSpaceDE w:val="0"/>
        <w:autoSpaceDN w:val="0"/>
        <w:adjustRightInd w:val="0"/>
        <w:spacing w:after="0"/>
        <w:rPr>
          <w:bCs/>
          <w:noProof/>
          <w:sz w:val="22"/>
          <w:szCs w:val="22"/>
          <w:lang w:val="ru-RU"/>
        </w:rPr>
      </w:pPr>
    </w:p>
    <w:p w:rsidR="00450368" w:rsidRDefault="006B55A0">
      <w:pPr>
        <w:autoSpaceDE w:val="0"/>
        <w:autoSpaceDN w:val="0"/>
        <w:adjustRightInd w:val="0"/>
        <w:spacing w:after="0"/>
        <w:ind w:left="720"/>
        <w:jc w:val="left"/>
        <w:rPr>
          <w:b/>
          <w:i/>
          <w:noProof/>
          <w:sz w:val="22"/>
          <w:szCs w:val="22"/>
          <w:lang w:val="ru-RU"/>
        </w:rPr>
      </w:pPr>
      <w:r>
        <w:rPr>
          <w:b/>
          <w:i/>
          <w:noProof/>
          <w:sz w:val="22"/>
          <w:lang w:val="ru-RU"/>
        </w:rPr>
        <w:t xml:space="preserve">3. Привеждане в изпълнение на спазването на принципа на трите </w:t>
      </w:r>
      <w:r>
        <w:rPr>
          <w:b/>
          <w:i/>
          <w:noProof/>
          <w:sz w:val="22"/>
        </w:rPr>
        <w:t>R</w:t>
      </w:r>
      <w:r>
        <w:rPr>
          <w:b/>
          <w:i/>
          <w:noProof/>
          <w:sz w:val="22"/>
          <w:lang w:val="ru-RU"/>
        </w:rPr>
        <w:t xml:space="preserve"> и съгласуване на съответната секторна нормативна уредба</w:t>
      </w:r>
    </w:p>
    <w:p w:rsidR="00450368" w:rsidRDefault="00450368">
      <w:pPr>
        <w:widowControl w:val="0"/>
        <w:tabs>
          <w:tab w:val="left" w:pos="220"/>
          <w:tab w:val="left" w:pos="720"/>
        </w:tabs>
        <w:autoSpaceDE w:val="0"/>
        <w:autoSpaceDN w:val="0"/>
        <w:adjustRightInd w:val="0"/>
        <w:spacing w:after="0"/>
        <w:jc w:val="left"/>
        <w:rPr>
          <w:noProof/>
          <w:sz w:val="22"/>
          <w:szCs w:val="22"/>
          <w:lang w:val="ru-RU"/>
        </w:rPr>
      </w:pPr>
    </w:p>
    <w:p w:rsidR="00450368" w:rsidRDefault="006B55A0">
      <w:pPr>
        <w:widowControl w:val="0"/>
        <w:tabs>
          <w:tab w:val="left" w:pos="220"/>
          <w:tab w:val="left" w:pos="720"/>
        </w:tabs>
        <w:autoSpaceDE w:val="0"/>
        <w:autoSpaceDN w:val="0"/>
        <w:adjustRightInd w:val="0"/>
        <w:spacing w:after="0"/>
        <w:rPr>
          <w:noProof/>
          <w:sz w:val="22"/>
          <w:szCs w:val="22"/>
          <w:lang w:val="ru-RU"/>
        </w:rPr>
      </w:pPr>
      <w:r>
        <w:rPr>
          <w:noProof/>
          <w:sz w:val="22"/>
          <w:lang w:val="ru-RU"/>
        </w:rPr>
        <w:t>В съответствие с Директива</w:t>
      </w:r>
      <w:r>
        <w:rPr>
          <w:noProof/>
          <w:sz w:val="22"/>
        </w:rPr>
        <w:t> </w:t>
      </w:r>
      <w:r>
        <w:rPr>
          <w:noProof/>
          <w:sz w:val="22"/>
          <w:lang w:val="ru-RU"/>
        </w:rPr>
        <w:t>2010/63/ЕС, секторната нормативна уредба и съответните указания следва да отразяват изискването за прилагане на подходи без използване на животни веднага след като те бъда</w:t>
      </w:r>
      <w:r>
        <w:rPr>
          <w:noProof/>
          <w:sz w:val="22"/>
          <w:lang w:val="ru-RU"/>
        </w:rPr>
        <w:t>т валидирани и приети за регулаторни цели.</w:t>
      </w:r>
    </w:p>
    <w:p w:rsidR="00450368" w:rsidRDefault="00450368">
      <w:pPr>
        <w:widowControl w:val="0"/>
        <w:tabs>
          <w:tab w:val="left" w:pos="220"/>
          <w:tab w:val="left" w:pos="720"/>
        </w:tabs>
        <w:autoSpaceDE w:val="0"/>
        <w:autoSpaceDN w:val="0"/>
        <w:adjustRightInd w:val="0"/>
        <w:spacing w:after="0"/>
        <w:jc w:val="left"/>
        <w:rPr>
          <w:noProof/>
          <w:sz w:val="22"/>
          <w:szCs w:val="22"/>
          <w:lang w:val="ru-RU"/>
        </w:rPr>
      </w:pPr>
    </w:p>
    <w:p w:rsidR="00450368" w:rsidRDefault="006B55A0">
      <w:pPr>
        <w:pBdr>
          <w:top w:val="single" w:sz="4" w:space="1" w:color="auto"/>
          <w:left w:val="single" w:sz="4" w:space="4" w:color="auto"/>
          <w:bottom w:val="single" w:sz="4" w:space="1" w:color="auto"/>
          <w:right w:val="single" w:sz="4" w:space="4" w:color="auto"/>
        </w:pBdr>
        <w:rPr>
          <w:i/>
          <w:iCs/>
          <w:noProof/>
          <w:sz w:val="22"/>
          <w:szCs w:val="22"/>
          <w:lang w:val="ru-RU"/>
        </w:rPr>
      </w:pPr>
      <w:r>
        <w:rPr>
          <w:b/>
          <w:noProof/>
          <w:sz w:val="22"/>
          <w:lang w:val="ru-RU"/>
        </w:rPr>
        <w:t>Действие</w:t>
      </w:r>
      <w:r>
        <w:rPr>
          <w:b/>
          <w:noProof/>
          <w:sz w:val="22"/>
        </w:rPr>
        <w:t> </w:t>
      </w:r>
      <w:r>
        <w:rPr>
          <w:b/>
          <w:noProof/>
          <w:sz w:val="22"/>
          <w:lang w:val="ru-RU"/>
        </w:rPr>
        <w:t>3</w:t>
      </w:r>
      <w:r>
        <w:rPr>
          <w:noProof/>
          <w:sz w:val="22"/>
          <w:lang w:val="ru-RU"/>
        </w:rPr>
        <w:t xml:space="preserve"> — Комисията активно ще провежда мониторинг на спазването на директивата, по-специално по отношение на принципа на трите </w:t>
      </w:r>
      <w:r>
        <w:rPr>
          <w:noProof/>
          <w:sz w:val="22"/>
        </w:rPr>
        <w:t>R</w:t>
      </w:r>
      <w:r>
        <w:rPr>
          <w:noProof/>
          <w:sz w:val="22"/>
          <w:lang w:val="ru-RU"/>
        </w:rPr>
        <w:t>, както и на спазването на съответните задължения в секторната нормативна уредба</w:t>
      </w:r>
      <w:r>
        <w:rPr>
          <w:noProof/>
          <w:sz w:val="22"/>
          <w:lang w:val="ru-RU"/>
        </w:rPr>
        <w:t xml:space="preserve"> за използване на наличните алтернативи. Също така, Комисията активно ще провежда мониторинг на правилното привеждане в изпълнение на нормативните изисквания от страна на всички държави членки. </w:t>
      </w:r>
    </w:p>
    <w:p w:rsidR="00450368" w:rsidRDefault="006B55A0">
      <w:pPr>
        <w:pBdr>
          <w:top w:val="single" w:sz="4" w:space="1" w:color="auto"/>
          <w:left w:val="single" w:sz="4" w:space="4" w:color="auto"/>
          <w:bottom w:val="single" w:sz="4" w:space="1" w:color="auto"/>
          <w:right w:val="single" w:sz="4" w:space="4" w:color="auto"/>
        </w:pBdr>
        <w:rPr>
          <w:iCs/>
          <w:noProof/>
          <w:sz w:val="22"/>
          <w:szCs w:val="22"/>
          <w:lang w:val="ru-RU"/>
        </w:rPr>
      </w:pPr>
      <w:r>
        <w:rPr>
          <w:noProof/>
          <w:sz w:val="22"/>
          <w:lang w:val="ru-RU"/>
        </w:rPr>
        <w:t>До края на 2016</w:t>
      </w:r>
      <w:r>
        <w:rPr>
          <w:noProof/>
          <w:sz w:val="22"/>
        </w:rPr>
        <w:t> </w:t>
      </w:r>
      <w:r>
        <w:rPr>
          <w:noProof/>
          <w:sz w:val="22"/>
          <w:lang w:val="ru-RU"/>
        </w:rPr>
        <w:t xml:space="preserve">г. Комисията ще прегледа регулаторните </w:t>
      </w:r>
      <w:r>
        <w:rPr>
          <w:noProof/>
          <w:sz w:val="22"/>
          <w:lang w:val="ru-RU"/>
        </w:rPr>
        <w:t>изисквания в съответната секторна нормативна уредба, предвиждащи опити с животни, с оглед да оцени дали законодателният текст дава възможност за ефективно прилагане на алтернативни подходи, и да осигури по отношение на бъдещите предложения за съответна сек</w:t>
      </w:r>
      <w:r>
        <w:rPr>
          <w:noProof/>
          <w:sz w:val="22"/>
          <w:lang w:val="ru-RU"/>
        </w:rPr>
        <w:t>торна нормативна уредба те да отразяват правилата за защита на животните, използвани за научни цели.</w:t>
      </w:r>
    </w:p>
    <w:p w:rsidR="00450368" w:rsidRDefault="00450368">
      <w:pPr>
        <w:autoSpaceDE w:val="0"/>
        <w:autoSpaceDN w:val="0"/>
        <w:adjustRightInd w:val="0"/>
        <w:spacing w:after="0"/>
        <w:rPr>
          <w:bCs/>
          <w:noProof/>
          <w:sz w:val="22"/>
          <w:szCs w:val="22"/>
          <w:lang w:val="ru-RU"/>
        </w:rPr>
      </w:pPr>
    </w:p>
    <w:p w:rsidR="00450368" w:rsidRDefault="006B55A0">
      <w:pPr>
        <w:pageBreakBefore/>
        <w:autoSpaceDE w:val="0"/>
        <w:autoSpaceDN w:val="0"/>
        <w:adjustRightInd w:val="0"/>
        <w:spacing w:after="0"/>
        <w:ind w:firstLine="720"/>
        <w:jc w:val="left"/>
        <w:rPr>
          <w:b/>
          <w:i/>
          <w:noProof/>
          <w:sz w:val="22"/>
          <w:szCs w:val="22"/>
          <w:lang w:val="ru-RU"/>
        </w:rPr>
      </w:pPr>
      <w:r>
        <w:rPr>
          <w:b/>
          <w:i/>
          <w:noProof/>
          <w:sz w:val="22"/>
          <w:lang w:val="ru-RU"/>
        </w:rPr>
        <w:t xml:space="preserve">4. Встъпване в диалог с научната общност </w:t>
      </w:r>
    </w:p>
    <w:p w:rsidR="00450368" w:rsidRDefault="00450368">
      <w:pPr>
        <w:widowControl w:val="0"/>
        <w:tabs>
          <w:tab w:val="left" w:pos="220"/>
          <w:tab w:val="left" w:pos="720"/>
        </w:tabs>
        <w:autoSpaceDE w:val="0"/>
        <w:autoSpaceDN w:val="0"/>
        <w:adjustRightInd w:val="0"/>
        <w:spacing w:after="0"/>
        <w:ind w:left="220"/>
        <w:rPr>
          <w:noProof/>
          <w:szCs w:val="24"/>
          <w:lang w:val="ru-RU"/>
        </w:rPr>
      </w:pPr>
    </w:p>
    <w:p w:rsidR="00450368" w:rsidRDefault="00450368">
      <w:pPr>
        <w:widowControl w:val="0"/>
        <w:tabs>
          <w:tab w:val="left" w:pos="220"/>
          <w:tab w:val="left" w:pos="720"/>
        </w:tabs>
        <w:autoSpaceDE w:val="0"/>
        <w:autoSpaceDN w:val="0"/>
        <w:adjustRightInd w:val="0"/>
        <w:spacing w:after="0"/>
        <w:rPr>
          <w:noProof/>
          <w:sz w:val="22"/>
          <w:szCs w:val="22"/>
          <w:lang w:val="ru-RU"/>
        </w:rPr>
      </w:pPr>
    </w:p>
    <w:p w:rsidR="00450368" w:rsidRDefault="006B55A0">
      <w:pPr>
        <w:pBdr>
          <w:top w:val="single" w:sz="4" w:space="1" w:color="auto"/>
          <w:left w:val="single" w:sz="4" w:space="4" w:color="auto"/>
          <w:bottom w:val="single" w:sz="4" w:space="1" w:color="auto"/>
          <w:right w:val="single" w:sz="4" w:space="4" w:color="auto"/>
        </w:pBdr>
        <w:rPr>
          <w:noProof/>
          <w:sz w:val="22"/>
          <w:lang w:val="ru-RU"/>
        </w:rPr>
      </w:pPr>
      <w:r>
        <w:rPr>
          <w:b/>
          <w:noProof/>
          <w:sz w:val="22"/>
          <w:lang w:val="ru-RU"/>
        </w:rPr>
        <w:t>Действие</w:t>
      </w:r>
      <w:r>
        <w:rPr>
          <w:b/>
          <w:noProof/>
          <w:sz w:val="22"/>
        </w:rPr>
        <w:t> </w:t>
      </w:r>
      <w:r>
        <w:rPr>
          <w:b/>
          <w:noProof/>
          <w:sz w:val="22"/>
          <w:lang w:val="ru-RU"/>
        </w:rPr>
        <w:t>4</w:t>
      </w:r>
      <w:r>
        <w:rPr>
          <w:noProof/>
          <w:sz w:val="22"/>
          <w:lang w:val="ru-RU"/>
        </w:rPr>
        <w:t xml:space="preserve"> – С цел да улесни ефективното провеждане на диалог, до края на 2016</w:t>
      </w:r>
      <w:r>
        <w:rPr>
          <w:noProof/>
          <w:sz w:val="22"/>
        </w:rPr>
        <w:t> </w:t>
      </w:r>
      <w:r>
        <w:rPr>
          <w:noProof/>
          <w:sz w:val="22"/>
          <w:lang w:val="ru-RU"/>
        </w:rPr>
        <w:t>г. Комисията ще организира конф</w:t>
      </w:r>
      <w:r>
        <w:rPr>
          <w:noProof/>
          <w:sz w:val="22"/>
          <w:lang w:val="ru-RU"/>
        </w:rPr>
        <w:t xml:space="preserve">еренция с която ще ангажира научната общност и съответните заинтересовани страни в дебат за начините на използване на напредъка в науката за разработването на научно издържани подходи без използване на животни, които да допринесат за напредък към целта за </w:t>
      </w:r>
      <w:r>
        <w:rPr>
          <w:noProof/>
          <w:sz w:val="22"/>
          <w:lang w:val="ru-RU"/>
        </w:rPr>
        <w:t>постепенно прекратяване на опитите с животни.</w:t>
      </w:r>
    </w:p>
    <w:p w:rsidR="00450368" w:rsidRDefault="006B55A0">
      <w:pPr>
        <w:pBdr>
          <w:top w:val="single" w:sz="4" w:space="1" w:color="auto"/>
          <w:left w:val="single" w:sz="4" w:space="4" w:color="auto"/>
          <w:bottom w:val="single" w:sz="4" w:space="1" w:color="auto"/>
          <w:right w:val="single" w:sz="4" w:space="4" w:color="auto"/>
        </w:pBdr>
        <w:rPr>
          <w:noProof/>
          <w:sz w:val="22"/>
          <w:lang w:val="ru-RU"/>
        </w:rPr>
      </w:pPr>
      <w:r>
        <w:rPr>
          <w:noProof/>
          <w:sz w:val="22"/>
          <w:lang w:val="ru-RU"/>
        </w:rPr>
        <w:t xml:space="preserve"> На тази конференция Комисията също ще представи доклад за напредъка по действия 1, 2 и 3.</w:t>
      </w:r>
    </w:p>
    <w:p w:rsidR="00450368" w:rsidRPr="006B55A0" w:rsidRDefault="006B55A0">
      <w:pPr>
        <w:pStyle w:val="Heading1"/>
        <w:rPr>
          <w:noProof/>
          <w:color w:val="auto"/>
          <w:lang w:val="ru-RU"/>
        </w:rPr>
      </w:pPr>
      <w:r w:rsidRPr="006B55A0">
        <w:rPr>
          <w:noProof/>
          <w:color w:val="auto"/>
          <w:lang w:val="ru-RU"/>
        </w:rPr>
        <w:t>4. ЗАКЛЮЧЕНИЕ</w:t>
      </w:r>
    </w:p>
    <w:p w:rsidR="00450368" w:rsidRPr="006B55A0" w:rsidRDefault="00450368">
      <w:pPr>
        <w:rPr>
          <w:noProof/>
          <w:lang w:val="ru-RU"/>
        </w:rPr>
      </w:pPr>
    </w:p>
    <w:p w:rsidR="00450368" w:rsidRDefault="006B55A0">
      <w:pPr>
        <w:autoSpaceDE w:val="0"/>
        <w:autoSpaceDN w:val="0"/>
        <w:adjustRightInd w:val="0"/>
        <w:spacing w:after="0"/>
        <w:rPr>
          <w:bCs/>
          <w:noProof/>
          <w:sz w:val="22"/>
          <w:szCs w:val="22"/>
          <w:lang w:val="ru-RU"/>
        </w:rPr>
      </w:pPr>
      <w:r>
        <w:rPr>
          <w:noProof/>
          <w:sz w:val="22"/>
          <w:lang w:val="ru-RU"/>
        </w:rPr>
        <w:t>В отговор на Европейската гражданска инициатива „</w:t>
      </w:r>
      <w:r>
        <w:rPr>
          <w:b/>
          <w:noProof/>
          <w:sz w:val="22"/>
          <w:lang w:val="ru-RU"/>
        </w:rPr>
        <w:t>Спрете вивисекцията</w:t>
      </w:r>
      <w:r>
        <w:rPr>
          <w:noProof/>
          <w:sz w:val="22"/>
          <w:lang w:val="ru-RU"/>
        </w:rPr>
        <w:t xml:space="preserve">“ Комисията прави следните </w:t>
      </w:r>
      <w:r>
        <w:rPr>
          <w:noProof/>
          <w:sz w:val="22"/>
          <w:lang w:val="ru-RU"/>
        </w:rPr>
        <w:t>заключения:</w:t>
      </w:r>
    </w:p>
    <w:p w:rsidR="00450368" w:rsidRDefault="00450368">
      <w:pPr>
        <w:autoSpaceDE w:val="0"/>
        <w:autoSpaceDN w:val="0"/>
        <w:adjustRightInd w:val="0"/>
        <w:spacing w:after="0"/>
        <w:rPr>
          <w:b/>
          <w:bCs/>
          <w:noProof/>
          <w:sz w:val="22"/>
          <w:szCs w:val="22"/>
          <w:lang w:val="ru-RU"/>
        </w:rPr>
      </w:pPr>
    </w:p>
    <w:p w:rsidR="00450368" w:rsidRDefault="006B55A0">
      <w:pPr>
        <w:autoSpaceDE w:val="0"/>
        <w:autoSpaceDN w:val="0"/>
        <w:adjustRightInd w:val="0"/>
        <w:spacing w:after="0"/>
        <w:rPr>
          <w:noProof/>
          <w:sz w:val="22"/>
          <w:szCs w:val="22"/>
          <w:lang w:val="ru-RU"/>
        </w:rPr>
      </w:pPr>
      <w:r>
        <w:rPr>
          <w:noProof/>
          <w:sz w:val="22"/>
          <w:lang w:val="ru-RU"/>
        </w:rPr>
        <w:t>Комисията приветства гражданската мобилизация в подкрепа на хуманното отношение към животните. Гражданската инициатива даде възможност за критичен преглед на начините, по които ЕС може да увеличи своите усилия за преминаването от базиращи се н</w:t>
      </w:r>
      <w:r>
        <w:rPr>
          <w:noProof/>
          <w:sz w:val="22"/>
          <w:lang w:val="ru-RU"/>
        </w:rPr>
        <w:t>а използването на животни изследвания и опити към такива без използване на животни.</w:t>
      </w:r>
    </w:p>
    <w:p w:rsidR="00450368" w:rsidRDefault="00450368">
      <w:pPr>
        <w:tabs>
          <w:tab w:val="left" w:pos="6394"/>
        </w:tabs>
        <w:autoSpaceDE w:val="0"/>
        <w:autoSpaceDN w:val="0"/>
        <w:adjustRightInd w:val="0"/>
        <w:spacing w:after="0"/>
        <w:rPr>
          <w:noProof/>
          <w:sz w:val="22"/>
          <w:szCs w:val="22"/>
          <w:lang w:val="ru-RU"/>
        </w:rPr>
      </w:pPr>
    </w:p>
    <w:p w:rsidR="00450368" w:rsidRDefault="006B55A0">
      <w:pPr>
        <w:autoSpaceDE w:val="0"/>
        <w:autoSpaceDN w:val="0"/>
        <w:adjustRightInd w:val="0"/>
        <w:spacing w:after="0"/>
        <w:rPr>
          <w:noProof/>
          <w:sz w:val="22"/>
          <w:szCs w:val="22"/>
          <w:lang w:val="ru-RU"/>
        </w:rPr>
      </w:pPr>
      <w:r>
        <w:rPr>
          <w:noProof/>
          <w:sz w:val="22"/>
          <w:lang w:val="ru-RU"/>
        </w:rPr>
        <w:t>Комисията изтъква, че засега опитите с животни продължават да имат важно значение за опазване на здравето на хората и животните и за запазване на непокътната околна среда.</w:t>
      </w:r>
      <w:r>
        <w:rPr>
          <w:noProof/>
          <w:sz w:val="22"/>
          <w:lang w:val="ru-RU"/>
        </w:rPr>
        <w:t xml:space="preserve"> Допринасяйки от една страна за постигане на окончателната цел за пълно заместване на опитите с животни, Директива 2010/63/ЕС в същото време е и необходим инструмент на равнището на ЕС за защита на тези животни, чието използване все още е необходимо.</w:t>
      </w:r>
    </w:p>
    <w:p w:rsidR="00450368" w:rsidRDefault="00450368">
      <w:pPr>
        <w:autoSpaceDE w:val="0"/>
        <w:autoSpaceDN w:val="0"/>
        <w:adjustRightInd w:val="0"/>
        <w:spacing w:after="0"/>
        <w:rPr>
          <w:noProof/>
          <w:sz w:val="22"/>
          <w:szCs w:val="22"/>
          <w:lang w:val="ru-RU"/>
        </w:rPr>
      </w:pPr>
    </w:p>
    <w:p w:rsidR="00450368" w:rsidRDefault="006B55A0">
      <w:pPr>
        <w:autoSpaceDE w:val="0"/>
        <w:autoSpaceDN w:val="0"/>
        <w:adjustRightInd w:val="0"/>
        <w:spacing w:after="0"/>
        <w:rPr>
          <w:noProof/>
          <w:sz w:val="22"/>
          <w:szCs w:val="22"/>
          <w:lang w:val="ru-RU"/>
        </w:rPr>
      </w:pPr>
      <w:r>
        <w:rPr>
          <w:noProof/>
          <w:sz w:val="22"/>
          <w:lang w:val="ru-RU"/>
        </w:rPr>
        <w:t xml:space="preserve">В директивата е застъпен принципът на трите </w:t>
      </w:r>
      <w:r>
        <w:rPr>
          <w:noProof/>
          <w:sz w:val="22"/>
        </w:rPr>
        <w:t>R</w:t>
      </w:r>
      <w:r>
        <w:rPr>
          <w:noProof/>
          <w:sz w:val="22"/>
          <w:lang w:val="ru-RU"/>
        </w:rPr>
        <w:t xml:space="preserve"> — за заместване, намаляване и облекчаване на използването на животни за изследователски цели в Европа — и Комисията изтъква важното значение за постигането на тези цели на полагането на непрекъснати усилия от в</w:t>
      </w:r>
      <w:r>
        <w:rPr>
          <w:noProof/>
          <w:sz w:val="22"/>
          <w:lang w:val="ru-RU"/>
        </w:rPr>
        <w:t>сички участници, като се започне от държавите членки и се стигне до научно-изследователската общност.</w:t>
      </w:r>
    </w:p>
    <w:p w:rsidR="00450368" w:rsidRDefault="00450368">
      <w:pPr>
        <w:autoSpaceDE w:val="0"/>
        <w:autoSpaceDN w:val="0"/>
        <w:adjustRightInd w:val="0"/>
        <w:spacing w:after="0"/>
        <w:rPr>
          <w:noProof/>
          <w:sz w:val="22"/>
          <w:szCs w:val="22"/>
          <w:lang w:val="ru-RU"/>
        </w:rPr>
      </w:pPr>
    </w:p>
    <w:p w:rsidR="00450368" w:rsidRDefault="006B55A0">
      <w:pPr>
        <w:autoSpaceDE w:val="0"/>
        <w:autoSpaceDN w:val="0"/>
        <w:adjustRightInd w:val="0"/>
        <w:spacing w:after="0"/>
        <w:rPr>
          <w:noProof/>
          <w:sz w:val="22"/>
          <w:szCs w:val="22"/>
          <w:lang w:val="ru-RU"/>
        </w:rPr>
      </w:pPr>
      <w:r>
        <w:rPr>
          <w:noProof/>
          <w:sz w:val="22"/>
          <w:lang w:val="ru-RU"/>
        </w:rPr>
        <w:t>В същото време Директива</w:t>
      </w:r>
      <w:r>
        <w:rPr>
          <w:noProof/>
          <w:sz w:val="22"/>
        </w:rPr>
        <w:t> </w:t>
      </w:r>
      <w:r>
        <w:rPr>
          <w:noProof/>
          <w:sz w:val="22"/>
          <w:lang w:val="ru-RU"/>
        </w:rPr>
        <w:t>2010/63/ЕС представлява катализатор за практическото използване на алтернативни подходи, което е в съответствие с искането на ра</w:t>
      </w:r>
      <w:r>
        <w:rPr>
          <w:noProof/>
          <w:sz w:val="22"/>
          <w:lang w:val="ru-RU"/>
        </w:rPr>
        <w:t>зглежданата инициатива.</w:t>
      </w:r>
    </w:p>
    <w:p w:rsidR="00450368" w:rsidRDefault="00450368">
      <w:pPr>
        <w:autoSpaceDE w:val="0"/>
        <w:autoSpaceDN w:val="0"/>
        <w:adjustRightInd w:val="0"/>
        <w:spacing w:after="0"/>
        <w:rPr>
          <w:noProof/>
          <w:sz w:val="22"/>
          <w:szCs w:val="22"/>
          <w:lang w:val="ru-RU"/>
        </w:rPr>
      </w:pPr>
    </w:p>
    <w:p w:rsidR="00450368" w:rsidRDefault="006B55A0">
      <w:pPr>
        <w:autoSpaceDE w:val="0"/>
        <w:autoSpaceDN w:val="0"/>
        <w:adjustRightInd w:val="0"/>
        <w:spacing w:after="0"/>
        <w:rPr>
          <w:noProof/>
          <w:sz w:val="22"/>
          <w:szCs w:val="22"/>
          <w:lang w:val="ru-RU"/>
        </w:rPr>
      </w:pPr>
      <w:r>
        <w:rPr>
          <w:noProof/>
          <w:sz w:val="22"/>
          <w:lang w:val="ru-RU"/>
        </w:rPr>
        <w:t>Следователно Комисията не възнамерява да представи предложение за отмяна на Директива</w:t>
      </w:r>
      <w:r>
        <w:rPr>
          <w:noProof/>
          <w:sz w:val="22"/>
        </w:rPr>
        <w:t> </w:t>
      </w:r>
      <w:r>
        <w:rPr>
          <w:noProof/>
          <w:sz w:val="22"/>
          <w:lang w:val="ru-RU"/>
        </w:rPr>
        <w:t>2010/63/ЕС и не възнамерява да предлага приемане на нова законодателна рамка.</w:t>
      </w:r>
    </w:p>
    <w:p w:rsidR="00450368" w:rsidRDefault="00450368">
      <w:pPr>
        <w:autoSpaceDE w:val="0"/>
        <w:autoSpaceDN w:val="0"/>
        <w:adjustRightInd w:val="0"/>
        <w:spacing w:after="0"/>
        <w:rPr>
          <w:noProof/>
          <w:sz w:val="22"/>
          <w:szCs w:val="22"/>
          <w:lang w:val="ru-RU"/>
        </w:rPr>
      </w:pPr>
    </w:p>
    <w:p w:rsidR="00450368" w:rsidRDefault="006B55A0">
      <w:pPr>
        <w:autoSpaceDE w:val="0"/>
        <w:autoSpaceDN w:val="0"/>
        <w:adjustRightInd w:val="0"/>
        <w:spacing w:after="0"/>
        <w:rPr>
          <w:noProof/>
          <w:sz w:val="22"/>
          <w:szCs w:val="22"/>
          <w:lang w:val="ru-RU"/>
        </w:rPr>
      </w:pPr>
      <w:r>
        <w:rPr>
          <w:noProof/>
          <w:sz w:val="22"/>
          <w:lang w:val="ru-RU"/>
        </w:rPr>
        <w:t>Като изцяло признава необходимостта от по-нататъшен напредък в нау</w:t>
      </w:r>
      <w:r>
        <w:rPr>
          <w:noProof/>
          <w:sz w:val="22"/>
          <w:lang w:val="ru-RU"/>
        </w:rPr>
        <w:t>чното разбиране преди да могат да бъдат разработени алтернативи във всички области, в които още се прилагат опити с животни, Комисията ще продължи да подкрепя разработването и прилагането на алтернативни подходи, да насърчава междусекторното сътрудничество</w:t>
      </w:r>
      <w:r>
        <w:rPr>
          <w:noProof/>
          <w:sz w:val="22"/>
          <w:lang w:val="ru-RU"/>
        </w:rPr>
        <w:t xml:space="preserve"> и споделяне на знания, да валидира нови методи и да улеснява тяхното регулаторно одобряване. Също така, Комисията ще провежда активен мониторинг на спазването на Директива</w:t>
      </w:r>
      <w:r>
        <w:rPr>
          <w:noProof/>
          <w:sz w:val="22"/>
        </w:rPr>
        <w:t> </w:t>
      </w:r>
      <w:r>
        <w:rPr>
          <w:noProof/>
          <w:sz w:val="22"/>
          <w:lang w:val="ru-RU"/>
        </w:rPr>
        <w:t xml:space="preserve">2010/63/ЕС, и по-специално на принципа на трите </w:t>
      </w:r>
      <w:r>
        <w:rPr>
          <w:noProof/>
          <w:sz w:val="22"/>
        </w:rPr>
        <w:t>R</w:t>
      </w:r>
      <w:r>
        <w:rPr>
          <w:noProof/>
          <w:sz w:val="22"/>
          <w:lang w:val="ru-RU"/>
        </w:rPr>
        <w:t>. Комисията ще продължи да поддърж</w:t>
      </w:r>
      <w:r>
        <w:rPr>
          <w:noProof/>
          <w:sz w:val="22"/>
          <w:lang w:val="ru-RU"/>
        </w:rPr>
        <w:t>а тесен диалог с научната общност в ЕС и на международно равнище за идентифициране на алтернативни опитни методи и до края на 2016</w:t>
      </w:r>
      <w:r>
        <w:rPr>
          <w:noProof/>
          <w:sz w:val="22"/>
        </w:rPr>
        <w:t> </w:t>
      </w:r>
      <w:r>
        <w:rPr>
          <w:noProof/>
          <w:sz w:val="22"/>
          <w:lang w:val="ru-RU"/>
        </w:rPr>
        <w:t>г. ще организира конференция относно начините за постигане на напредък към целта за прекратяване на опитите с животни.</w:t>
      </w:r>
    </w:p>
    <w:p w:rsidR="00450368" w:rsidRDefault="00450368">
      <w:pPr>
        <w:autoSpaceDE w:val="0"/>
        <w:autoSpaceDN w:val="0"/>
        <w:adjustRightInd w:val="0"/>
        <w:spacing w:after="0"/>
        <w:rPr>
          <w:noProof/>
          <w:sz w:val="22"/>
          <w:szCs w:val="22"/>
          <w:lang w:val="ru-RU"/>
        </w:rPr>
      </w:pPr>
    </w:p>
    <w:p w:rsidR="00450368" w:rsidRDefault="006B55A0">
      <w:pPr>
        <w:autoSpaceDE w:val="0"/>
        <w:autoSpaceDN w:val="0"/>
        <w:adjustRightInd w:val="0"/>
        <w:spacing w:after="0"/>
        <w:rPr>
          <w:noProof/>
          <w:sz w:val="22"/>
          <w:szCs w:val="22"/>
          <w:lang w:val="ru-RU"/>
        </w:rPr>
      </w:pPr>
      <w:r>
        <w:rPr>
          <w:noProof/>
          <w:sz w:val="22"/>
          <w:lang w:val="ru-RU"/>
        </w:rPr>
        <w:t>И нак</w:t>
      </w:r>
      <w:r>
        <w:rPr>
          <w:noProof/>
          <w:sz w:val="22"/>
          <w:lang w:val="ru-RU"/>
        </w:rPr>
        <w:t>рая, Комисията призовава държавите членки, действайки в рамките на своите компетенции, да вземат предвид изразената в инициативата загриженост и да задълбочат усилията си за цялостно въвеждане и привеждане в изпълнение на Директива</w:t>
      </w:r>
      <w:r>
        <w:rPr>
          <w:noProof/>
          <w:sz w:val="22"/>
        </w:rPr>
        <w:t> </w:t>
      </w:r>
      <w:r>
        <w:rPr>
          <w:noProof/>
          <w:sz w:val="22"/>
          <w:lang w:val="ru-RU"/>
        </w:rPr>
        <w:t>2010/63/ЕС, както и акти</w:t>
      </w:r>
      <w:r>
        <w:rPr>
          <w:noProof/>
          <w:sz w:val="22"/>
          <w:lang w:val="ru-RU"/>
        </w:rPr>
        <w:t>вно да участват в разработването на алтернативни подходи.</w:t>
      </w:r>
    </w:p>
    <w:p w:rsidR="00450368" w:rsidRDefault="00450368">
      <w:pPr>
        <w:autoSpaceDE w:val="0"/>
        <w:autoSpaceDN w:val="0"/>
        <w:adjustRightInd w:val="0"/>
        <w:spacing w:after="0"/>
        <w:rPr>
          <w:noProof/>
          <w:sz w:val="22"/>
          <w:szCs w:val="22"/>
          <w:lang w:val="ru-RU"/>
        </w:rPr>
      </w:pPr>
    </w:p>
    <w:p w:rsidR="00450368" w:rsidRDefault="006B55A0">
      <w:pPr>
        <w:autoSpaceDE w:val="0"/>
        <w:autoSpaceDN w:val="0"/>
        <w:adjustRightInd w:val="0"/>
        <w:spacing w:after="0"/>
        <w:rPr>
          <w:rFonts w:eastAsiaTheme="majorEastAsia" w:cstheme="majorBidi"/>
          <w:b/>
          <w:bCs/>
          <w:smallCaps/>
          <w:noProof/>
          <w:szCs w:val="28"/>
          <w:lang w:val="ru-RU"/>
        </w:rPr>
      </w:pPr>
      <w:r>
        <w:rPr>
          <w:noProof/>
          <w:sz w:val="22"/>
          <w:lang w:val="ru-RU"/>
        </w:rPr>
        <w:t>В съответствие с член</w:t>
      </w:r>
      <w:r>
        <w:rPr>
          <w:noProof/>
          <w:sz w:val="22"/>
        </w:rPr>
        <w:t> </w:t>
      </w:r>
      <w:r>
        <w:rPr>
          <w:noProof/>
          <w:sz w:val="22"/>
          <w:lang w:val="ru-RU"/>
        </w:rPr>
        <w:t>10, параграф</w:t>
      </w:r>
      <w:r>
        <w:rPr>
          <w:noProof/>
          <w:sz w:val="22"/>
        </w:rPr>
        <w:t> </w:t>
      </w:r>
      <w:r>
        <w:rPr>
          <w:noProof/>
          <w:sz w:val="22"/>
          <w:lang w:val="ru-RU"/>
        </w:rPr>
        <w:t xml:space="preserve">2 от регламента, настоящото съобщение ще бъде нотифицирано до организаторите на инициативата, както и до Европейския парламент и Съвета, и ще бъде направено </w:t>
      </w:r>
      <w:r>
        <w:rPr>
          <w:noProof/>
          <w:sz w:val="22"/>
          <w:lang w:val="ru-RU"/>
        </w:rPr>
        <w:t>публично достояние.</w:t>
      </w:r>
    </w:p>
    <w:sectPr w:rsidR="00450368">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368" w:rsidRDefault="006B55A0">
      <w:pPr>
        <w:spacing w:after="0"/>
      </w:pPr>
      <w:r>
        <w:separator/>
      </w:r>
    </w:p>
  </w:endnote>
  <w:endnote w:type="continuationSeparator" w:id="0">
    <w:p w:rsidR="00450368" w:rsidRDefault="006B55A0">
      <w:pPr>
        <w:spacing w:after="0"/>
      </w:pPr>
      <w:r>
        <w:continuationSeparator/>
      </w:r>
    </w:p>
  </w:endnote>
  <w:endnote w:type="continuationNotice" w:id="1">
    <w:p w:rsidR="00450368" w:rsidRDefault="0045036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auto"/>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5A0" w:rsidRPr="006B55A0" w:rsidRDefault="006B55A0" w:rsidP="006B55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5A0" w:rsidRPr="006B55A0" w:rsidRDefault="006B55A0" w:rsidP="006B55A0">
    <w:pPr>
      <w:pStyle w:val="FooterCoverPage"/>
      <w:rPr>
        <w:rFonts w:ascii="Arial" w:hAnsi="Arial" w:cs="Arial"/>
        <w:b/>
        <w:sz w:val="48"/>
      </w:rPr>
    </w:pPr>
    <w:r w:rsidRPr="006B55A0">
      <w:rPr>
        <w:rFonts w:ascii="Arial" w:hAnsi="Arial" w:cs="Arial"/>
        <w:b/>
        <w:sz w:val="48"/>
      </w:rPr>
      <w:t>BG</w:t>
    </w:r>
    <w:r w:rsidRPr="006B55A0">
      <w:rPr>
        <w:rFonts w:ascii="Arial" w:hAnsi="Arial" w:cs="Arial"/>
        <w:b/>
        <w:sz w:val="48"/>
      </w:rPr>
      <w:tab/>
    </w:r>
    <w:r w:rsidRPr="006B55A0">
      <w:rPr>
        <w:rFonts w:ascii="Arial" w:hAnsi="Arial" w:cs="Arial"/>
        <w:b/>
        <w:sz w:val="48"/>
      </w:rPr>
      <w:tab/>
    </w:r>
    <w:fldSimple w:instr=" DOCVARIABLE &quot;LW_Confidence&quot; \* MERGEFORMAT ">
      <w:r>
        <w:t xml:space="preserve"> </w:t>
      </w:r>
    </w:fldSimple>
    <w:r w:rsidRPr="006B55A0">
      <w:tab/>
    </w:r>
    <w:r w:rsidRPr="006B55A0">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5A0" w:rsidRPr="006B55A0" w:rsidRDefault="006B55A0" w:rsidP="006B55A0">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368" w:rsidRDefault="0045036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2648119"/>
      <w:docPartObj>
        <w:docPartGallery w:val="Page Numbers (Bottom of Page)"/>
        <w:docPartUnique/>
      </w:docPartObj>
    </w:sdtPr>
    <w:sdtEndPr>
      <w:rPr>
        <w:noProof/>
      </w:rPr>
    </w:sdtEndPr>
    <w:sdtContent>
      <w:p w:rsidR="00450368" w:rsidRDefault="006B55A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450368" w:rsidRDefault="0045036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368" w:rsidRDefault="004503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368" w:rsidRDefault="006B55A0">
      <w:pPr>
        <w:spacing w:after="0"/>
      </w:pPr>
      <w:r>
        <w:separator/>
      </w:r>
    </w:p>
  </w:footnote>
  <w:footnote w:type="continuationSeparator" w:id="0">
    <w:p w:rsidR="00450368" w:rsidRDefault="006B55A0">
      <w:pPr>
        <w:spacing w:after="0"/>
      </w:pPr>
      <w:r>
        <w:continuationSeparator/>
      </w:r>
    </w:p>
  </w:footnote>
  <w:footnote w:type="continuationNotice" w:id="1">
    <w:p w:rsidR="00450368" w:rsidRDefault="00450368">
      <w:pPr>
        <w:spacing w:after="0"/>
      </w:pPr>
    </w:p>
  </w:footnote>
  <w:footnote w:id="2">
    <w:p w:rsidR="00450368" w:rsidRDefault="006B55A0">
      <w:pPr>
        <w:pStyle w:val="FootnoteText"/>
        <w:spacing w:after="0"/>
        <w:ind w:left="0" w:firstLine="0"/>
        <w:rPr>
          <w:lang w:val="ru-RU"/>
        </w:rPr>
      </w:pPr>
      <w:r>
        <w:rPr>
          <w:rStyle w:val="FootnoteReference"/>
          <w:sz w:val="16"/>
        </w:rPr>
        <w:footnoteRef/>
      </w:r>
      <w:r>
        <w:rPr>
          <w:lang w:val="ru-RU"/>
        </w:rPr>
        <w:t xml:space="preserve"> </w:t>
      </w:r>
      <w:r>
        <w:rPr>
          <w:rFonts w:ascii="TimesNewRoman" w:hAnsi="TimesNewRoman"/>
          <w:sz w:val="16"/>
          <w:lang w:val="ru-RU"/>
        </w:rPr>
        <w:t>Директива</w:t>
      </w:r>
      <w:r>
        <w:rPr>
          <w:rFonts w:ascii="TimesNewRoman" w:hAnsi="TimesNewRoman"/>
          <w:sz w:val="16"/>
        </w:rPr>
        <w:t> </w:t>
      </w:r>
      <w:r>
        <w:rPr>
          <w:rFonts w:ascii="TimesNewRoman" w:hAnsi="TimesNewRoman"/>
          <w:sz w:val="16"/>
          <w:lang w:val="ru-RU"/>
        </w:rPr>
        <w:t>2010/63/</w:t>
      </w:r>
      <w:r>
        <w:rPr>
          <w:rFonts w:ascii="TimesNewRoman" w:hAnsi="TimesNewRoman"/>
          <w:sz w:val="16"/>
        </w:rPr>
        <w:t>E</w:t>
      </w:r>
      <w:r>
        <w:rPr>
          <w:rFonts w:ascii="TimesNewRoman" w:hAnsi="TimesNewRoman"/>
          <w:sz w:val="16"/>
          <w:lang w:val="ru-RU"/>
        </w:rPr>
        <w:t xml:space="preserve">С, </w:t>
      </w:r>
      <w:r>
        <w:rPr>
          <w:sz w:val="16"/>
        </w:rPr>
        <w:t>O</w:t>
      </w:r>
      <w:r>
        <w:rPr>
          <w:sz w:val="16"/>
          <w:lang w:val="ru-RU"/>
        </w:rPr>
        <w:t>В</w:t>
      </w:r>
      <w:r>
        <w:rPr>
          <w:sz w:val="16"/>
        </w:rPr>
        <w:t> L </w:t>
      </w:r>
      <w:r>
        <w:rPr>
          <w:sz w:val="16"/>
          <w:lang w:val="ru-RU"/>
        </w:rPr>
        <w:t>276, 20.10.2010</w:t>
      </w:r>
      <w:r>
        <w:rPr>
          <w:sz w:val="16"/>
        </w:rPr>
        <w:t> </w:t>
      </w:r>
      <w:r>
        <w:rPr>
          <w:sz w:val="16"/>
          <w:lang w:val="ru-RU"/>
        </w:rPr>
        <w:t xml:space="preserve">г., стр.33—79 </w:t>
      </w:r>
      <w:hyperlink r:id="rId1">
        <w:r>
          <w:rPr>
            <w:rStyle w:val="Hyperlink"/>
            <w:sz w:val="16"/>
          </w:rPr>
          <w:t>http</w:t>
        </w:r>
        <w:r>
          <w:rPr>
            <w:rStyle w:val="Hyperlink"/>
            <w:sz w:val="16"/>
            <w:lang w:val="ru-RU"/>
          </w:rPr>
          <w:t>://</w:t>
        </w:r>
        <w:r>
          <w:rPr>
            <w:rStyle w:val="Hyperlink"/>
            <w:sz w:val="16"/>
          </w:rPr>
          <w:t>eur</w:t>
        </w:r>
        <w:r>
          <w:rPr>
            <w:rStyle w:val="Hyperlink"/>
            <w:sz w:val="16"/>
            <w:lang w:val="ru-RU"/>
          </w:rPr>
          <w:t>-</w:t>
        </w:r>
        <w:r>
          <w:rPr>
            <w:rStyle w:val="Hyperlink"/>
            <w:sz w:val="16"/>
          </w:rPr>
          <w:t>lex</w:t>
        </w:r>
        <w:r>
          <w:rPr>
            <w:rStyle w:val="Hyperlink"/>
            <w:sz w:val="16"/>
            <w:lang w:val="ru-RU"/>
          </w:rPr>
          <w:t>.</w:t>
        </w:r>
        <w:r>
          <w:rPr>
            <w:rStyle w:val="Hyperlink"/>
            <w:sz w:val="16"/>
          </w:rPr>
          <w:t>europa</w:t>
        </w:r>
        <w:r>
          <w:rPr>
            <w:rStyle w:val="Hyperlink"/>
            <w:sz w:val="16"/>
            <w:lang w:val="ru-RU"/>
          </w:rPr>
          <w:t>.</w:t>
        </w:r>
        <w:r>
          <w:rPr>
            <w:rStyle w:val="Hyperlink"/>
            <w:sz w:val="16"/>
          </w:rPr>
          <w:t>eu</w:t>
        </w:r>
        <w:r>
          <w:rPr>
            <w:rStyle w:val="Hyperlink"/>
            <w:sz w:val="16"/>
            <w:lang w:val="ru-RU"/>
          </w:rPr>
          <w:t>/</w:t>
        </w:r>
        <w:r>
          <w:rPr>
            <w:rStyle w:val="Hyperlink"/>
            <w:sz w:val="16"/>
          </w:rPr>
          <w:t>legal</w:t>
        </w:r>
        <w:r>
          <w:rPr>
            <w:rStyle w:val="Hyperlink"/>
            <w:sz w:val="16"/>
            <w:lang w:val="ru-RU"/>
          </w:rPr>
          <w:t>-</w:t>
        </w:r>
        <w:r>
          <w:rPr>
            <w:rStyle w:val="Hyperlink"/>
            <w:sz w:val="16"/>
          </w:rPr>
          <w:t>content</w:t>
        </w:r>
        <w:r>
          <w:rPr>
            <w:rStyle w:val="Hyperlink"/>
            <w:sz w:val="16"/>
            <w:lang w:val="ru-RU"/>
          </w:rPr>
          <w:t>/</w:t>
        </w:r>
        <w:r>
          <w:rPr>
            <w:rStyle w:val="Hyperlink"/>
            <w:sz w:val="16"/>
          </w:rPr>
          <w:t>EN</w:t>
        </w:r>
        <w:r>
          <w:rPr>
            <w:rStyle w:val="Hyperlink"/>
            <w:sz w:val="16"/>
            <w:lang w:val="ru-RU"/>
          </w:rPr>
          <w:t>/</w:t>
        </w:r>
        <w:r>
          <w:rPr>
            <w:rStyle w:val="Hyperlink"/>
            <w:sz w:val="16"/>
          </w:rPr>
          <w:t>TXT</w:t>
        </w:r>
        <w:r>
          <w:rPr>
            <w:rStyle w:val="Hyperlink"/>
            <w:sz w:val="16"/>
            <w:lang w:val="ru-RU"/>
          </w:rPr>
          <w:t>/?</w:t>
        </w:r>
        <w:r>
          <w:rPr>
            <w:rStyle w:val="Hyperlink"/>
            <w:sz w:val="16"/>
          </w:rPr>
          <w:t>u</w:t>
        </w:r>
        <w:r>
          <w:rPr>
            <w:rStyle w:val="Hyperlink"/>
            <w:sz w:val="16"/>
          </w:rPr>
          <w:t>ri</w:t>
        </w:r>
        <w:r>
          <w:rPr>
            <w:rStyle w:val="Hyperlink"/>
            <w:sz w:val="16"/>
            <w:lang w:val="ru-RU"/>
          </w:rPr>
          <w:t>=</w:t>
        </w:r>
        <w:r>
          <w:rPr>
            <w:rStyle w:val="Hyperlink"/>
            <w:sz w:val="16"/>
          </w:rPr>
          <w:t>CELEX</w:t>
        </w:r>
        <w:r>
          <w:rPr>
            <w:rStyle w:val="Hyperlink"/>
            <w:sz w:val="16"/>
            <w:lang w:val="ru-RU"/>
          </w:rPr>
          <w:t>:32010</w:t>
        </w:r>
        <w:r>
          <w:rPr>
            <w:rStyle w:val="Hyperlink"/>
            <w:sz w:val="16"/>
          </w:rPr>
          <w:t>L</w:t>
        </w:r>
        <w:r>
          <w:rPr>
            <w:rStyle w:val="Hyperlink"/>
            <w:sz w:val="16"/>
            <w:lang w:val="ru-RU"/>
          </w:rPr>
          <w:t>0063</w:t>
        </w:r>
      </w:hyperlink>
    </w:p>
  </w:footnote>
  <w:footnote w:id="3">
    <w:p w:rsidR="00450368" w:rsidRDefault="006B55A0">
      <w:pPr>
        <w:pStyle w:val="FootnoteText"/>
        <w:spacing w:after="0"/>
        <w:ind w:left="0" w:firstLine="0"/>
        <w:rPr>
          <w:sz w:val="16"/>
          <w:szCs w:val="16"/>
          <w:lang w:val="ru-RU"/>
        </w:rPr>
      </w:pPr>
      <w:r>
        <w:rPr>
          <w:rStyle w:val="FootnoteReference"/>
          <w:sz w:val="16"/>
          <w:szCs w:val="16"/>
        </w:rPr>
        <w:footnoteRef/>
      </w:r>
      <w:r>
        <w:rPr>
          <w:sz w:val="16"/>
          <w:lang w:val="bg-BG"/>
        </w:rPr>
        <w:t> </w:t>
      </w:r>
      <w:r>
        <w:rPr>
          <w:sz w:val="16"/>
          <w:lang w:val="ru-RU"/>
        </w:rPr>
        <w:t>Пълният текст на инициативата е достъпен на следния адрес:</w:t>
      </w:r>
      <w:r>
        <w:rPr>
          <w:sz w:val="16"/>
          <w:lang w:val="pt-PT"/>
        </w:rPr>
        <w:t> </w:t>
      </w:r>
      <w:hyperlink r:id="rId2">
        <w:r>
          <w:rPr>
            <w:rStyle w:val="Hyperlink"/>
            <w:sz w:val="16"/>
            <w:lang w:val="pt-PT"/>
          </w:rPr>
          <w:t>http</w:t>
        </w:r>
        <w:r>
          <w:rPr>
            <w:rStyle w:val="Hyperlink"/>
            <w:sz w:val="16"/>
            <w:lang w:val="ru-RU"/>
          </w:rPr>
          <w:t>://</w:t>
        </w:r>
        <w:r>
          <w:rPr>
            <w:rStyle w:val="Hyperlink"/>
            <w:sz w:val="16"/>
            <w:lang w:val="pt-PT"/>
          </w:rPr>
          <w:t>ec</w:t>
        </w:r>
        <w:r>
          <w:rPr>
            <w:rStyle w:val="Hyperlink"/>
            <w:sz w:val="16"/>
            <w:lang w:val="ru-RU"/>
          </w:rPr>
          <w:t>.</w:t>
        </w:r>
        <w:r>
          <w:rPr>
            <w:rStyle w:val="Hyperlink"/>
            <w:sz w:val="16"/>
            <w:lang w:val="pt-PT"/>
          </w:rPr>
          <w:t>europa</w:t>
        </w:r>
        <w:r>
          <w:rPr>
            <w:rStyle w:val="Hyperlink"/>
            <w:sz w:val="16"/>
            <w:lang w:val="ru-RU"/>
          </w:rPr>
          <w:t>.</w:t>
        </w:r>
        <w:r>
          <w:rPr>
            <w:rStyle w:val="Hyperlink"/>
            <w:sz w:val="16"/>
            <w:lang w:val="pt-PT"/>
          </w:rPr>
          <w:t>eu</w:t>
        </w:r>
        <w:r>
          <w:rPr>
            <w:rStyle w:val="Hyperlink"/>
            <w:sz w:val="16"/>
            <w:lang w:val="ru-RU"/>
          </w:rPr>
          <w:t>/</w:t>
        </w:r>
        <w:r>
          <w:rPr>
            <w:rStyle w:val="Hyperlink"/>
            <w:sz w:val="16"/>
            <w:lang w:val="pt-PT"/>
          </w:rPr>
          <w:t>citizens</w:t>
        </w:r>
        <w:r>
          <w:rPr>
            <w:rStyle w:val="Hyperlink"/>
            <w:sz w:val="16"/>
            <w:lang w:val="ru-RU"/>
          </w:rPr>
          <w:t>-</w:t>
        </w:r>
        <w:r>
          <w:rPr>
            <w:rStyle w:val="Hyperlink"/>
            <w:sz w:val="16"/>
            <w:lang w:val="pt-PT"/>
          </w:rPr>
          <w:t>initiative</w:t>
        </w:r>
        <w:r>
          <w:rPr>
            <w:rStyle w:val="Hyperlink"/>
            <w:sz w:val="16"/>
            <w:lang w:val="ru-RU"/>
          </w:rPr>
          <w:t>/</w:t>
        </w:r>
        <w:r>
          <w:rPr>
            <w:rStyle w:val="Hyperlink"/>
            <w:sz w:val="16"/>
            <w:lang w:val="pt-PT"/>
          </w:rPr>
          <w:t>public</w:t>
        </w:r>
        <w:r>
          <w:rPr>
            <w:rStyle w:val="Hyperlink"/>
            <w:sz w:val="16"/>
            <w:lang w:val="ru-RU"/>
          </w:rPr>
          <w:t>/</w:t>
        </w:r>
        <w:r>
          <w:rPr>
            <w:rStyle w:val="Hyperlink"/>
            <w:sz w:val="16"/>
            <w:lang w:val="pt-PT"/>
          </w:rPr>
          <w:t>initiatives</w:t>
        </w:r>
        <w:r>
          <w:rPr>
            <w:rStyle w:val="Hyperlink"/>
            <w:sz w:val="16"/>
            <w:lang w:val="ru-RU"/>
          </w:rPr>
          <w:t>/</w:t>
        </w:r>
        <w:r>
          <w:rPr>
            <w:rStyle w:val="Hyperlink"/>
            <w:sz w:val="16"/>
            <w:lang w:val="pt-PT"/>
          </w:rPr>
          <w:t>finalised</w:t>
        </w:r>
        <w:r>
          <w:rPr>
            <w:rStyle w:val="Hyperlink"/>
            <w:sz w:val="16"/>
            <w:lang w:val="ru-RU"/>
          </w:rPr>
          <w:t>/</w:t>
        </w:r>
        <w:r>
          <w:rPr>
            <w:rStyle w:val="Hyperlink"/>
            <w:sz w:val="16"/>
            <w:lang w:val="pt-PT"/>
          </w:rPr>
          <w:t>details</w:t>
        </w:r>
        <w:r>
          <w:rPr>
            <w:rStyle w:val="Hyperlink"/>
            <w:sz w:val="16"/>
            <w:lang w:val="ru-RU"/>
          </w:rPr>
          <w:t>/2012/000007</w:t>
        </w:r>
      </w:hyperlink>
    </w:p>
  </w:footnote>
  <w:footnote w:id="4">
    <w:p w:rsidR="00450368" w:rsidRDefault="006B55A0">
      <w:pPr>
        <w:pStyle w:val="FootnoteText"/>
        <w:spacing w:after="0"/>
        <w:ind w:left="360" w:hanging="360"/>
        <w:rPr>
          <w:lang w:val="ru-RU"/>
        </w:rPr>
      </w:pPr>
      <w:r>
        <w:rPr>
          <w:rStyle w:val="FootnoteReference"/>
          <w:sz w:val="16"/>
        </w:rPr>
        <w:footnoteRef/>
      </w:r>
      <w:r>
        <w:rPr>
          <w:lang w:val="ru-RU"/>
        </w:rPr>
        <w:t xml:space="preserve"> </w:t>
      </w:r>
      <w:r>
        <w:rPr>
          <w:sz w:val="16"/>
          <w:lang w:val="ru-RU"/>
        </w:rPr>
        <w:t>В приложение</w:t>
      </w:r>
      <w:r>
        <w:rPr>
          <w:sz w:val="16"/>
          <w:lang w:val="pt-PT"/>
        </w:rPr>
        <w:t> </w:t>
      </w:r>
      <w:r>
        <w:rPr>
          <w:sz w:val="16"/>
          <w:lang w:val="ru-RU"/>
        </w:rPr>
        <w:t>І е дадена допълнителна информация относно процедурните аспекти на гражданската инициатива.</w:t>
      </w:r>
    </w:p>
  </w:footnote>
  <w:footnote w:id="5">
    <w:p w:rsidR="00450368" w:rsidRDefault="006B55A0">
      <w:pPr>
        <w:autoSpaceDE w:val="0"/>
        <w:autoSpaceDN w:val="0"/>
        <w:adjustRightInd w:val="0"/>
        <w:spacing w:after="0"/>
        <w:ind w:left="360" w:hanging="360"/>
        <w:jc w:val="left"/>
        <w:rPr>
          <w:sz w:val="16"/>
          <w:szCs w:val="16"/>
          <w:lang w:val="ru-RU" w:eastAsia="en-GB"/>
        </w:rPr>
      </w:pPr>
      <w:r>
        <w:rPr>
          <w:rStyle w:val="FootnoteReference"/>
          <w:sz w:val="16"/>
        </w:rPr>
        <w:footnoteRef/>
      </w:r>
      <w:r>
        <w:rPr>
          <w:lang w:val="ru-RU"/>
        </w:rPr>
        <w:t xml:space="preserve"> </w:t>
      </w:r>
      <w:r>
        <w:rPr>
          <w:sz w:val="16"/>
          <w:lang w:val="ru-RU"/>
        </w:rPr>
        <w:t>Регламент</w:t>
      </w:r>
      <w:r>
        <w:rPr>
          <w:sz w:val="16"/>
          <w:lang w:val="pt-PT"/>
        </w:rPr>
        <w:t> </w:t>
      </w:r>
      <w:r>
        <w:rPr>
          <w:sz w:val="16"/>
          <w:lang w:val="ru-RU"/>
        </w:rPr>
        <w:t xml:space="preserve"> (ЕС) №</w:t>
      </w:r>
      <w:r>
        <w:rPr>
          <w:sz w:val="16"/>
          <w:lang w:val="pt-PT"/>
        </w:rPr>
        <w:t> </w:t>
      </w:r>
      <w:r>
        <w:rPr>
          <w:sz w:val="16"/>
          <w:lang w:val="ru-RU"/>
        </w:rPr>
        <w:t xml:space="preserve">211/2011 относно гражданската инициатива </w:t>
      </w:r>
    </w:p>
    <w:p w:rsidR="00450368" w:rsidRDefault="006B55A0">
      <w:pPr>
        <w:autoSpaceDE w:val="0"/>
        <w:autoSpaceDN w:val="0"/>
        <w:adjustRightInd w:val="0"/>
        <w:spacing w:after="0"/>
        <w:ind w:left="360" w:hanging="360"/>
        <w:jc w:val="left"/>
        <w:rPr>
          <w:lang w:val="ru-RU"/>
        </w:rPr>
      </w:pPr>
      <w:r>
        <w:rPr>
          <w:sz w:val="16"/>
          <w:lang w:val="ru-RU"/>
        </w:rPr>
        <w:t>(ОВ</w:t>
      </w:r>
      <w:r>
        <w:rPr>
          <w:sz w:val="16"/>
          <w:lang w:val="pt-PT"/>
        </w:rPr>
        <w:t> L </w:t>
      </w:r>
      <w:r>
        <w:rPr>
          <w:sz w:val="16"/>
          <w:lang w:val="ru-RU"/>
        </w:rPr>
        <w:t>65, 11.3.2011</w:t>
      </w:r>
      <w:r>
        <w:rPr>
          <w:sz w:val="16"/>
          <w:lang w:val="pt-PT"/>
        </w:rPr>
        <w:t> </w:t>
      </w:r>
      <w:r>
        <w:rPr>
          <w:sz w:val="16"/>
          <w:lang w:val="ru-RU"/>
        </w:rPr>
        <w:t>г., стр.</w:t>
      </w:r>
      <w:r>
        <w:rPr>
          <w:sz w:val="16"/>
          <w:lang w:val="pt-PT"/>
        </w:rPr>
        <w:t> </w:t>
      </w:r>
      <w:r>
        <w:rPr>
          <w:sz w:val="16"/>
          <w:lang w:val="ru-RU"/>
        </w:rPr>
        <w:t xml:space="preserve">1). Официален регистър: </w:t>
      </w:r>
      <w:hyperlink r:id="rId3">
        <w:r>
          <w:rPr>
            <w:rStyle w:val="Hyperlink"/>
            <w:color w:val="auto"/>
            <w:sz w:val="16"/>
            <w:lang w:val="pt-PT"/>
          </w:rPr>
          <w:t>http</w:t>
        </w:r>
        <w:r>
          <w:rPr>
            <w:rStyle w:val="Hyperlink"/>
            <w:color w:val="auto"/>
            <w:sz w:val="16"/>
            <w:lang w:val="ru-RU"/>
          </w:rPr>
          <w:t>://</w:t>
        </w:r>
        <w:r>
          <w:rPr>
            <w:rStyle w:val="Hyperlink"/>
            <w:color w:val="auto"/>
            <w:sz w:val="16"/>
            <w:lang w:val="pt-PT"/>
          </w:rPr>
          <w:t>ec</w:t>
        </w:r>
        <w:r>
          <w:rPr>
            <w:rStyle w:val="Hyperlink"/>
            <w:color w:val="auto"/>
            <w:sz w:val="16"/>
            <w:lang w:val="ru-RU"/>
          </w:rPr>
          <w:t>.</w:t>
        </w:r>
        <w:r>
          <w:rPr>
            <w:rStyle w:val="Hyperlink"/>
            <w:color w:val="auto"/>
            <w:sz w:val="16"/>
            <w:lang w:val="pt-PT"/>
          </w:rPr>
          <w:t>europa</w:t>
        </w:r>
        <w:r>
          <w:rPr>
            <w:rStyle w:val="Hyperlink"/>
            <w:color w:val="auto"/>
            <w:sz w:val="16"/>
            <w:lang w:val="ru-RU"/>
          </w:rPr>
          <w:t>.</w:t>
        </w:r>
        <w:r>
          <w:rPr>
            <w:rStyle w:val="Hyperlink"/>
            <w:color w:val="auto"/>
            <w:sz w:val="16"/>
            <w:lang w:val="pt-PT"/>
          </w:rPr>
          <w:t>eu</w:t>
        </w:r>
        <w:r>
          <w:rPr>
            <w:rStyle w:val="Hyperlink"/>
            <w:color w:val="auto"/>
            <w:sz w:val="16"/>
            <w:lang w:val="ru-RU"/>
          </w:rPr>
          <w:t>/</w:t>
        </w:r>
        <w:r>
          <w:rPr>
            <w:rStyle w:val="Hyperlink"/>
            <w:color w:val="auto"/>
            <w:sz w:val="16"/>
            <w:lang w:val="pt-PT"/>
          </w:rPr>
          <w:t>citizens</w:t>
        </w:r>
        <w:r>
          <w:rPr>
            <w:rStyle w:val="Hyperlink"/>
            <w:color w:val="auto"/>
            <w:sz w:val="16"/>
            <w:lang w:val="ru-RU"/>
          </w:rPr>
          <w:t>-</w:t>
        </w:r>
        <w:r>
          <w:rPr>
            <w:rStyle w:val="Hyperlink"/>
            <w:color w:val="auto"/>
            <w:sz w:val="16"/>
            <w:lang w:val="pt-PT"/>
          </w:rPr>
          <w:t>initiative</w:t>
        </w:r>
        <w:r>
          <w:rPr>
            <w:rStyle w:val="Hyperlink"/>
            <w:color w:val="auto"/>
            <w:sz w:val="16"/>
            <w:lang w:val="ru-RU"/>
          </w:rPr>
          <w:t>/</w:t>
        </w:r>
        <w:r>
          <w:rPr>
            <w:rStyle w:val="Hyperlink"/>
            <w:color w:val="auto"/>
            <w:sz w:val="16"/>
            <w:lang w:val="pt-PT"/>
          </w:rPr>
          <w:t>public</w:t>
        </w:r>
        <w:r>
          <w:rPr>
            <w:rStyle w:val="Hyperlink"/>
            <w:color w:val="auto"/>
            <w:sz w:val="16"/>
            <w:lang w:val="ru-RU"/>
          </w:rPr>
          <w:t>/</w:t>
        </w:r>
        <w:r>
          <w:rPr>
            <w:rStyle w:val="Hyperlink"/>
            <w:color w:val="auto"/>
            <w:sz w:val="16"/>
            <w:lang w:val="pt-PT"/>
          </w:rPr>
          <w:t>welcome</w:t>
        </w:r>
      </w:hyperlink>
      <w:r>
        <w:rPr>
          <w:rStyle w:val="Hyperlink"/>
          <w:color w:val="auto"/>
          <w:sz w:val="16"/>
          <w:lang w:val="ru-RU"/>
        </w:rPr>
        <w:t xml:space="preserve"> </w:t>
      </w:r>
    </w:p>
  </w:footnote>
  <w:footnote w:id="6">
    <w:p w:rsidR="00450368" w:rsidRDefault="006B55A0">
      <w:pPr>
        <w:pStyle w:val="FootnoteText"/>
        <w:spacing w:after="0"/>
        <w:ind w:left="360" w:hanging="360"/>
        <w:rPr>
          <w:sz w:val="16"/>
          <w:szCs w:val="16"/>
          <w:lang w:val="ru-RU"/>
        </w:rPr>
      </w:pPr>
      <w:r>
        <w:rPr>
          <w:rStyle w:val="FootnoteReference"/>
          <w:sz w:val="16"/>
        </w:rPr>
        <w:footnoteRef/>
      </w:r>
      <w:r>
        <w:rPr>
          <w:sz w:val="16"/>
          <w:lang w:val="ru-RU"/>
        </w:rPr>
        <w:t xml:space="preserve"> Член</w:t>
      </w:r>
      <w:r>
        <w:rPr>
          <w:sz w:val="16"/>
          <w:lang w:val="pt-PT"/>
        </w:rPr>
        <w:t> </w:t>
      </w:r>
      <w:r>
        <w:rPr>
          <w:sz w:val="16"/>
          <w:lang w:val="ru-RU"/>
        </w:rPr>
        <w:t xml:space="preserve">13 от Договора </w:t>
      </w:r>
      <w:r>
        <w:rPr>
          <w:rStyle w:val="Hyperlink"/>
          <w:sz w:val="16"/>
          <w:lang w:val="pt-PT"/>
        </w:rPr>
        <w:t>http</w:t>
      </w:r>
      <w:r>
        <w:rPr>
          <w:rStyle w:val="Hyperlink"/>
          <w:sz w:val="16"/>
          <w:lang w:val="ru-RU"/>
        </w:rPr>
        <w:t>://</w:t>
      </w:r>
      <w:r>
        <w:rPr>
          <w:rStyle w:val="Hyperlink"/>
          <w:sz w:val="16"/>
          <w:lang w:val="pt-PT"/>
        </w:rPr>
        <w:t>eur</w:t>
      </w:r>
      <w:r>
        <w:rPr>
          <w:rStyle w:val="Hyperlink"/>
          <w:sz w:val="16"/>
          <w:lang w:val="ru-RU"/>
        </w:rPr>
        <w:t>-</w:t>
      </w:r>
      <w:r>
        <w:rPr>
          <w:rStyle w:val="Hyperlink"/>
          <w:sz w:val="16"/>
          <w:lang w:val="pt-PT"/>
        </w:rPr>
        <w:t>lex</w:t>
      </w:r>
      <w:r>
        <w:rPr>
          <w:rStyle w:val="Hyperlink"/>
          <w:sz w:val="16"/>
          <w:lang w:val="ru-RU"/>
        </w:rPr>
        <w:t>.</w:t>
      </w:r>
      <w:r>
        <w:rPr>
          <w:rStyle w:val="Hyperlink"/>
          <w:sz w:val="16"/>
          <w:lang w:val="pt-PT"/>
        </w:rPr>
        <w:t>europa</w:t>
      </w:r>
      <w:r>
        <w:rPr>
          <w:rStyle w:val="Hyperlink"/>
          <w:sz w:val="16"/>
          <w:lang w:val="ru-RU"/>
        </w:rPr>
        <w:t>.</w:t>
      </w:r>
      <w:r>
        <w:rPr>
          <w:rStyle w:val="Hyperlink"/>
          <w:sz w:val="16"/>
          <w:lang w:val="pt-PT"/>
        </w:rPr>
        <w:t>eu</w:t>
      </w:r>
      <w:r>
        <w:rPr>
          <w:rStyle w:val="Hyperlink"/>
          <w:sz w:val="16"/>
          <w:lang w:val="ru-RU"/>
        </w:rPr>
        <w:t>/</w:t>
      </w:r>
      <w:r>
        <w:rPr>
          <w:rStyle w:val="Hyperlink"/>
          <w:sz w:val="16"/>
          <w:lang w:val="pt-PT"/>
        </w:rPr>
        <w:t>legal</w:t>
      </w:r>
      <w:r>
        <w:rPr>
          <w:rStyle w:val="Hyperlink"/>
          <w:sz w:val="16"/>
          <w:lang w:val="ru-RU"/>
        </w:rPr>
        <w:t>-</w:t>
      </w:r>
      <w:r>
        <w:rPr>
          <w:rStyle w:val="Hyperlink"/>
          <w:sz w:val="16"/>
          <w:lang w:val="pt-PT"/>
        </w:rPr>
        <w:t>content</w:t>
      </w:r>
      <w:r>
        <w:rPr>
          <w:rStyle w:val="Hyperlink"/>
          <w:sz w:val="16"/>
          <w:lang w:val="ru-RU"/>
        </w:rPr>
        <w:t>/</w:t>
      </w:r>
      <w:r>
        <w:rPr>
          <w:rStyle w:val="Hyperlink"/>
          <w:sz w:val="16"/>
          <w:lang w:val="pt-PT"/>
        </w:rPr>
        <w:t>EN</w:t>
      </w:r>
      <w:r>
        <w:rPr>
          <w:rStyle w:val="Hyperlink"/>
          <w:sz w:val="16"/>
          <w:lang w:val="ru-RU"/>
        </w:rPr>
        <w:t>/</w:t>
      </w:r>
      <w:r>
        <w:rPr>
          <w:rStyle w:val="Hyperlink"/>
          <w:sz w:val="16"/>
          <w:lang w:val="pt-PT"/>
        </w:rPr>
        <w:t>TXT</w:t>
      </w:r>
      <w:r>
        <w:rPr>
          <w:rStyle w:val="Hyperlink"/>
          <w:sz w:val="16"/>
          <w:lang w:val="ru-RU"/>
        </w:rPr>
        <w:t>/?</w:t>
      </w:r>
      <w:r>
        <w:rPr>
          <w:rStyle w:val="Hyperlink"/>
          <w:sz w:val="16"/>
          <w:lang w:val="pt-PT"/>
        </w:rPr>
        <w:t>uri</w:t>
      </w:r>
      <w:r>
        <w:rPr>
          <w:rStyle w:val="Hyperlink"/>
          <w:sz w:val="16"/>
          <w:lang w:val="ru-RU"/>
        </w:rPr>
        <w:t>=</w:t>
      </w:r>
      <w:r>
        <w:rPr>
          <w:rStyle w:val="Hyperlink"/>
          <w:sz w:val="16"/>
          <w:lang w:val="pt-PT"/>
        </w:rPr>
        <w:t>CELEX</w:t>
      </w:r>
      <w:r>
        <w:rPr>
          <w:rStyle w:val="Hyperlink"/>
          <w:sz w:val="16"/>
          <w:lang w:val="ru-RU"/>
        </w:rPr>
        <w:t>:12012</w:t>
      </w:r>
      <w:r>
        <w:rPr>
          <w:rStyle w:val="Hyperlink"/>
          <w:sz w:val="16"/>
          <w:lang w:val="pt-PT"/>
        </w:rPr>
        <w:t>E</w:t>
      </w:r>
      <w:r>
        <w:rPr>
          <w:rStyle w:val="Hyperlink"/>
          <w:sz w:val="16"/>
          <w:lang w:val="ru-RU"/>
        </w:rPr>
        <w:t>/</w:t>
      </w:r>
      <w:r>
        <w:rPr>
          <w:rStyle w:val="Hyperlink"/>
          <w:sz w:val="16"/>
          <w:lang w:val="pt-PT"/>
        </w:rPr>
        <w:t>TXT</w:t>
      </w:r>
    </w:p>
  </w:footnote>
  <w:footnote w:id="7">
    <w:p w:rsidR="00450368" w:rsidRDefault="006B55A0">
      <w:pPr>
        <w:pStyle w:val="FootnoteText"/>
        <w:spacing w:after="0"/>
        <w:ind w:left="0" w:firstLine="0"/>
        <w:rPr>
          <w:rStyle w:val="Hyperlink"/>
          <w:sz w:val="16"/>
          <w:szCs w:val="16"/>
          <w:lang w:val="ru-RU"/>
        </w:rPr>
      </w:pPr>
      <w:r>
        <w:rPr>
          <w:rStyle w:val="FootnoteReference"/>
          <w:sz w:val="16"/>
        </w:rPr>
        <w:footnoteRef/>
      </w:r>
      <w:r>
        <w:rPr>
          <w:sz w:val="16"/>
          <w:lang w:val="bg-BG"/>
        </w:rPr>
        <w:t> </w:t>
      </w:r>
      <w:r>
        <w:rPr>
          <w:sz w:val="16"/>
          <w:lang w:val="ru-RU"/>
        </w:rPr>
        <w:t>Регламент</w:t>
      </w:r>
      <w:r>
        <w:rPr>
          <w:sz w:val="16"/>
          <w:lang w:val="pt-PT"/>
        </w:rPr>
        <w:t> </w:t>
      </w:r>
      <w:r>
        <w:rPr>
          <w:sz w:val="16"/>
          <w:lang w:val="ru-RU"/>
        </w:rPr>
        <w:t>(ЕО)</w:t>
      </w:r>
      <w:r>
        <w:rPr>
          <w:sz w:val="16"/>
          <w:lang w:val="pt-PT"/>
        </w:rPr>
        <w:t> </w:t>
      </w:r>
      <w:r>
        <w:rPr>
          <w:sz w:val="16"/>
          <w:lang w:val="ru-RU"/>
        </w:rPr>
        <w:t>№</w:t>
      </w:r>
      <w:r>
        <w:rPr>
          <w:sz w:val="16"/>
          <w:lang w:val="pt-PT"/>
        </w:rPr>
        <w:t> </w:t>
      </w:r>
      <w:r>
        <w:rPr>
          <w:sz w:val="16"/>
          <w:lang w:val="ru-RU"/>
        </w:rPr>
        <w:t xml:space="preserve">1223/2009 относно козметичните продукти </w:t>
      </w:r>
      <w:r>
        <w:rPr>
          <w:rStyle w:val="Hyperlink"/>
          <w:sz w:val="16"/>
          <w:lang w:val="pt-PT"/>
        </w:rPr>
        <w:t>http</w:t>
      </w:r>
      <w:r>
        <w:rPr>
          <w:rStyle w:val="Hyperlink"/>
          <w:sz w:val="16"/>
          <w:lang w:val="ru-RU"/>
        </w:rPr>
        <w:t>://</w:t>
      </w:r>
      <w:r>
        <w:rPr>
          <w:rStyle w:val="Hyperlink"/>
          <w:sz w:val="16"/>
          <w:lang w:val="pt-PT"/>
        </w:rPr>
        <w:t>eur</w:t>
      </w:r>
      <w:r>
        <w:rPr>
          <w:rStyle w:val="Hyperlink"/>
          <w:sz w:val="16"/>
          <w:lang w:val="ru-RU"/>
        </w:rPr>
        <w:t>-</w:t>
      </w:r>
      <w:r>
        <w:rPr>
          <w:rStyle w:val="Hyperlink"/>
          <w:sz w:val="16"/>
          <w:lang w:val="pt-PT"/>
        </w:rPr>
        <w:t>lex</w:t>
      </w:r>
      <w:r>
        <w:rPr>
          <w:rStyle w:val="Hyperlink"/>
          <w:sz w:val="16"/>
          <w:lang w:val="ru-RU"/>
        </w:rPr>
        <w:t>.</w:t>
      </w:r>
      <w:r>
        <w:rPr>
          <w:rStyle w:val="Hyperlink"/>
          <w:sz w:val="16"/>
          <w:lang w:val="pt-PT"/>
        </w:rPr>
        <w:t>europa</w:t>
      </w:r>
      <w:r>
        <w:rPr>
          <w:rStyle w:val="Hyperlink"/>
          <w:sz w:val="16"/>
          <w:lang w:val="ru-RU"/>
        </w:rPr>
        <w:t>.</w:t>
      </w:r>
      <w:r>
        <w:rPr>
          <w:rStyle w:val="Hyperlink"/>
          <w:sz w:val="16"/>
          <w:lang w:val="pt-PT"/>
        </w:rPr>
        <w:t>eu</w:t>
      </w:r>
      <w:r>
        <w:rPr>
          <w:rStyle w:val="Hyperlink"/>
          <w:sz w:val="16"/>
          <w:lang w:val="ru-RU"/>
        </w:rPr>
        <w:t>/</w:t>
      </w:r>
      <w:r>
        <w:rPr>
          <w:rStyle w:val="Hyperlink"/>
          <w:sz w:val="16"/>
          <w:lang w:val="pt-PT"/>
        </w:rPr>
        <w:t>legal</w:t>
      </w:r>
      <w:r>
        <w:rPr>
          <w:rStyle w:val="Hyperlink"/>
          <w:sz w:val="16"/>
          <w:lang w:val="ru-RU"/>
        </w:rPr>
        <w:t>-</w:t>
      </w:r>
      <w:r>
        <w:rPr>
          <w:rStyle w:val="Hyperlink"/>
          <w:sz w:val="16"/>
          <w:lang w:val="pt-PT"/>
        </w:rPr>
        <w:t>content</w:t>
      </w:r>
      <w:r>
        <w:rPr>
          <w:rStyle w:val="Hyperlink"/>
          <w:sz w:val="16"/>
          <w:lang w:val="ru-RU"/>
        </w:rPr>
        <w:t>/</w:t>
      </w:r>
      <w:r>
        <w:rPr>
          <w:rStyle w:val="Hyperlink"/>
          <w:sz w:val="16"/>
          <w:lang w:val="pt-PT"/>
        </w:rPr>
        <w:t>EN</w:t>
      </w:r>
      <w:r>
        <w:rPr>
          <w:rStyle w:val="Hyperlink"/>
          <w:sz w:val="16"/>
          <w:lang w:val="ru-RU"/>
        </w:rPr>
        <w:t>/</w:t>
      </w:r>
      <w:r>
        <w:rPr>
          <w:rStyle w:val="Hyperlink"/>
          <w:sz w:val="16"/>
          <w:lang w:val="pt-PT"/>
        </w:rPr>
        <w:t>ALL</w:t>
      </w:r>
      <w:r>
        <w:rPr>
          <w:rStyle w:val="Hyperlink"/>
          <w:sz w:val="16"/>
          <w:lang w:val="ru-RU"/>
        </w:rPr>
        <w:t>/?</w:t>
      </w:r>
      <w:r>
        <w:rPr>
          <w:rStyle w:val="Hyperlink"/>
          <w:sz w:val="16"/>
          <w:lang w:val="pt-PT"/>
        </w:rPr>
        <w:t>uri</w:t>
      </w:r>
      <w:r>
        <w:rPr>
          <w:rStyle w:val="Hyperlink"/>
          <w:sz w:val="16"/>
          <w:lang w:val="ru-RU"/>
        </w:rPr>
        <w:t>=</w:t>
      </w:r>
      <w:r>
        <w:rPr>
          <w:rStyle w:val="Hyperlink"/>
          <w:sz w:val="16"/>
          <w:lang w:val="pt-PT"/>
        </w:rPr>
        <w:t>CELEX</w:t>
      </w:r>
      <w:r>
        <w:rPr>
          <w:rStyle w:val="Hyperlink"/>
          <w:sz w:val="16"/>
          <w:lang w:val="ru-RU"/>
        </w:rPr>
        <w:t>:32009</w:t>
      </w:r>
      <w:r>
        <w:rPr>
          <w:rStyle w:val="Hyperlink"/>
          <w:sz w:val="16"/>
          <w:lang w:val="pt-PT"/>
        </w:rPr>
        <w:t>R</w:t>
      </w:r>
      <w:r>
        <w:rPr>
          <w:rStyle w:val="Hyperlink"/>
          <w:sz w:val="16"/>
          <w:lang w:val="ru-RU"/>
        </w:rPr>
        <w:t>1223</w:t>
      </w:r>
    </w:p>
  </w:footnote>
  <w:footnote w:id="8">
    <w:p w:rsidR="00450368" w:rsidRDefault="006B55A0">
      <w:pPr>
        <w:pStyle w:val="FootnoteText"/>
        <w:spacing w:after="0"/>
        <w:ind w:left="0" w:firstLine="0"/>
        <w:rPr>
          <w:color w:val="0000FF"/>
          <w:sz w:val="16"/>
          <w:szCs w:val="16"/>
          <w:u w:val="single"/>
          <w:lang w:val="ru-RU" w:eastAsia="en-GB"/>
        </w:rPr>
      </w:pPr>
      <w:r>
        <w:rPr>
          <w:rStyle w:val="FootnoteReference"/>
          <w:sz w:val="16"/>
        </w:rPr>
        <w:footnoteRef/>
      </w:r>
      <w:r>
        <w:rPr>
          <w:sz w:val="16"/>
          <w:lang w:val="ru-RU"/>
        </w:rPr>
        <w:t xml:space="preserve"> Член</w:t>
      </w:r>
      <w:r>
        <w:rPr>
          <w:sz w:val="16"/>
          <w:lang w:val="pt-PT"/>
        </w:rPr>
        <w:t> </w:t>
      </w:r>
      <w:r>
        <w:rPr>
          <w:sz w:val="16"/>
          <w:lang w:val="ru-RU"/>
        </w:rPr>
        <w:t>168 и член</w:t>
      </w:r>
      <w:r>
        <w:rPr>
          <w:sz w:val="16"/>
          <w:lang w:val="pt-PT"/>
        </w:rPr>
        <w:t> </w:t>
      </w:r>
      <w:r>
        <w:rPr>
          <w:sz w:val="16"/>
          <w:lang w:val="ru-RU"/>
        </w:rPr>
        <w:t xml:space="preserve">191 от Договора </w:t>
      </w:r>
      <w:r>
        <w:rPr>
          <w:rStyle w:val="Hyperlink"/>
          <w:sz w:val="16"/>
          <w:lang w:val="pt-PT"/>
        </w:rPr>
        <w:t>http</w:t>
      </w:r>
      <w:r>
        <w:rPr>
          <w:rStyle w:val="Hyperlink"/>
          <w:sz w:val="16"/>
          <w:lang w:val="ru-RU"/>
        </w:rPr>
        <w:t>://</w:t>
      </w:r>
      <w:r>
        <w:rPr>
          <w:rStyle w:val="Hyperlink"/>
          <w:sz w:val="16"/>
          <w:lang w:val="pt-PT"/>
        </w:rPr>
        <w:t>eur</w:t>
      </w:r>
      <w:r>
        <w:rPr>
          <w:rStyle w:val="Hyperlink"/>
          <w:sz w:val="16"/>
          <w:lang w:val="ru-RU"/>
        </w:rPr>
        <w:t>-</w:t>
      </w:r>
      <w:r>
        <w:rPr>
          <w:rStyle w:val="Hyperlink"/>
          <w:sz w:val="16"/>
          <w:lang w:val="pt-PT"/>
        </w:rPr>
        <w:t>lex</w:t>
      </w:r>
      <w:r>
        <w:rPr>
          <w:rStyle w:val="Hyperlink"/>
          <w:sz w:val="16"/>
          <w:lang w:val="ru-RU"/>
        </w:rPr>
        <w:t>.</w:t>
      </w:r>
      <w:r>
        <w:rPr>
          <w:rStyle w:val="Hyperlink"/>
          <w:sz w:val="16"/>
          <w:lang w:val="pt-PT"/>
        </w:rPr>
        <w:t>europa</w:t>
      </w:r>
      <w:r>
        <w:rPr>
          <w:rStyle w:val="Hyperlink"/>
          <w:sz w:val="16"/>
          <w:lang w:val="ru-RU"/>
        </w:rPr>
        <w:t>.</w:t>
      </w:r>
      <w:r>
        <w:rPr>
          <w:rStyle w:val="Hyperlink"/>
          <w:sz w:val="16"/>
          <w:lang w:val="pt-PT"/>
        </w:rPr>
        <w:t>eu</w:t>
      </w:r>
      <w:r>
        <w:rPr>
          <w:rStyle w:val="Hyperlink"/>
          <w:sz w:val="16"/>
          <w:lang w:val="ru-RU"/>
        </w:rPr>
        <w:t>/</w:t>
      </w:r>
      <w:r>
        <w:rPr>
          <w:rStyle w:val="Hyperlink"/>
          <w:sz w:val="16"/>
          <w:lang w:val="pt-PT"/>
        </w:rPr>
        <w:t>legal</w:t>
      </w:r>
      <w:r>
        <w:rPr>
          <w:rStyle w:val="Hyperlink"/>
          <w:sz w:val="16"/>
          <w:lang w:val="ru-RU"/>
        </w:rPr>
        <w:t>-</w:t>
      </w:r>
      <w:r>
        <w:rPr>
          <w:rStyle w:val="Hyperlink"/>
          <w:sz w:val="16"/>
          <w:lang w:val="pt-PT"/>
        </w:rPr>
        <w:t>content</w:t>
      </w:r>
      <w:r>
        <w:rPr>
          <w:rStyle w:val="Hyperlink"/>
          <w:sz w:val="16"/>
          <w:lang w:val="ru-RU"/>
        </w:rPr>
        <w:t>/</w:t>
      </w:r>
      <w:r>
        <w:rPr>
          <w:rStyle w:val="Hyperlink"/>
          <w:sz w:val="16"/>
          <w:lang w:val="pt-PT"/>
        </w:rPr>
        <w:t>EN</w:t>
      </w:r>
      <w:r>
        <w:rPr>
          <w:rStyle w:val="Hyperlink"/>
          <w:sz w:val="16"/>
          <w:lang w:val="ru-RU"/>
        </w:rPr>
        <w:t>/</w:t>
      </w:r>
      <w:r>
        <w:rPr>
          <w:rStyle w:val="Hyperlink"/>
          <w:sz w:val="16"/>
          <w:lang w:val="pt-PT"/>
        </w:rPr>
        <w:t>TXT</w:t>
      </w:r>
      <w:r>
        <w:rPr>
          <w:rStyle w:val="Hyperlink"/>
          <w:sz w:val="16"/>
          <w:lang w:val="ru-RU"/>
        </w:rPr>
        <w:t>/?</w:t>
      </w:r>
      <w:r>
        <w:rPr>
          <w:rStyle w:val="Hyperlink"/>
          <w:sz w:val="16"/>
          <w:lang w:val="pt-PT"/>
        </w:rPr>
        <w:t>uri</w:t>
      </w:r>
      <w:r>
        <w:rPr>
          <w:rStyle w:val="Hyperlink"/>
          <w:sz w:val="16"/>
          <w:lang w:val="ru-RU"/>
        </w:rPr>
        <w:t>=</w:t>
      </w:r>
      <w:r>
        <w:rPr>
          <w:rStyle w:val="Hyperlink"/>
          <w:sz w:val="16"/>
          <w:lang w:val="pt-PT"/>
        </w:rPr>
        <w:t>CELEX</w:t>
      </w:r>
      <w:r>
        <w:rPr>
          <w:rStyle w:val="Hyperlink"/>
          <w:sz w:val="16"/>
          <w:lang w:val="ru-RU"/>
        </w:rPr>
        <w:t>:12012</w:t>
      </w:r>
      <w:r>
        <w:rPr>
          <w:rStyle w:val="Hyperlink"/>
          <w:sz w:val="16"/>
          <w:lang w:val="pt-PT"/>
        </w:rPr>
        <w:t>E</w:t>
      </w:r>
      <w:r>
        <w:rPr>
          <w:rStyle w:val="Hyperlink"/>
          <w:sz w:val="16"/>
          <w:lang w:val="ru-RU"/>
        </w:rPr>
        <w:t>/</w:t>
      </w:r>
      <w:r>
        <w:rPr>
          <w:rStyle w:val="Hyperlink"/>
          <w:sz w:val="16"/>
          <w:lang w:val="pt-PT"/>
        </w:rPr>
        <w:t>TXT</w:t>
      </w:r>
    </w:p>
  </w:footnote>
  <w:footnote w:id="9">
    <w:p w:rsidR="00450368" w:rsidRDefault="006B55A0">
      <w:pPr>
        <w:pStyle w:val="FootnoteText"/>
        <w:spacing w:after="0"/>
        <w:ind w:left="0" w:firstLine="0"/>
        <w:rPr>
          <w:sz w:val="16"/>
          <w:szCs w:val="16"/>
          <w:lang w:val="ru-RU"/>
        </w:rPr>
      </w:pPr>
      <w:r>
        <w:rPr>
          <w:rStyle w:val="FootnoteReference"/>
          <w:sz w:val="16"/>
        </w:rPr>
        <w:footnoteRef/>
      </w:r>
      <w:r>
        <w:rPr>
          <w:sz w:val="16"/>
          <w:lang w:val="ru-RU"/>
        </w:rPr>
        <w:t xml:space="preserve"> </w:t>
      </w:r>
      <w:hyperlink r:id="rId4">
        <w:r>
          <w:rPr>
            <w:rStyle w:val="Hyperlink"/>
            <w:sz w:val="16"/>
            <w:lang w:val="pt-PT"/>
          </w:rPr>
          <w:t>http</w:t>
        </w:r>
        <w:r>
          <w:rPr>
            <w:rStyle w:val="Hyperlink"/>
            <w:sz w:val="16"/>
            <w:lang w:val="ru-RU"/>
          </w:rPr>
          <w:t>://</w:t>
        </w:r>
        <w:r>
          <w:rPr>
            <w:rStyle w:val="Hyperlink"/>
            <w:sz w:val="16"/>
            <w:lang w:val="pt-PT"/>
          </w:rPr>
          <w:t>ec</w:t>
        </w:r>
        <w:r>
          <w:rPr>
            <w:rStyle w:val="Hyperlink"/>
            <w:sz w:val="16"/>
            <w:lang w:val="ru-RU"/>
          </w:rPr>
          <w:t>.</w:t>
        </w:r>
        <w:r>
          <w:rPr>
            <w:rStyle w:val="Hyperlink"/>
            <w:sz w:val="16"/>
            <w:lang w:val="pt-PT"/>
          </w:rPr>
          <w:t>europa</w:t>
        </w:r>
        <w:r>
          <w:rPr>
            <w:rStyle w:val="Hyperlink"/>
            <w:sz w:val="16"/>
            <w:lang w:val="ru-RU"/>
          </w:rPr>
          <w:t>.</w:t>
        </w:r>
        <w:r>
          <w:rPr>
            <w:rStyle w:val="Hyperlink"/>
            <w:sz w:val="16"/>
            <w:lang w:val="pt-PT"/>
          </w:rPr>
          <w:t>eu</w:t>
        </w:r>
        <w:r>
          <w:rPr>
            <w:rStyle w:val="Hyperlink"/>
            <w:sz w:val="16"/>
            <w:lang w:val="ru-RU"/>
          </w:rPr>
          <w:t>/</w:t>
        </w:r>
        <w:r>
          <w:rPr>
            <w:rStyle w:val="Hyperlink"/>
            <w:sz w:val="16"/>
            <w:lang w:val="pt-PT"/>
          </w:rPr>
          <w:t>health</w:t>
        </w:r>
        <w:r>
          <w:rPr>
            <w:rStyle w:val="Hyperlink"/>
            <w:sz w:val="16"/>
            <w:lang w:val="ru-RU"/>
          </w:rPr>
          <w:t>/</w:t>
        </w:r>
        <w:r>
          <w:rPr>
            <w:rStyle w:val="Hyperlink"/>
            <w:sz w:val="16"/>
            <w:lang w:val="pt-PT"/>
          </w:rPr>
          <w:t>strategy</w:t>
        </w:r>
        <w:r>
          <w:rPr>
            <w:rStyle w:val="Hyperlink"/>
            <w:sz w:val="16"/>
            <w:lang w:val="ru-RU"/>
          </w:rPr>
          <w:t>/</w:t>
        </w:r>
        <w:r>
          <w:rPr>
            <w:rStyle w:val="Hyperlink"/>
            <w:sz w:val="16"/>
            <w:lang w:val="pt-PT"/>
          </w:rPr>
          <w:t>policy</w:t>
        </w:r>
        <w:r>
          <w:rPr>
            <w:rStyle w:val="Hyperlink"/>
            <w:sz w:val="16"/>
            <w:lang w:val="ru-RU"/>
          </w:rPr>
          <w:t>/</w:t>
        </w:r>
        <w:r>
          <w:rPr>
            <w:rStyle w:val="Hyperlink"/>
            <w:sz w:val="16"/>
            <w:lang w:val="pt-PT"/>
          </w:rPr>
          <w:t>index</w:t>
        </w:r>
        <w:r>
          <w:rPr>
            <w:rStyle w:val="Hyperlink"/>
            <w:sz w:val="16"/>
            <w:lang w:val="ru-RU"/>
          </w:rPr>
          <w:t>_</w:t>
        </w:r>
        <w:r>
          <w:rPr>
            <w:rStyle w:val="Hyperlink"/>
            <w:sz w:val="16"/>
            <w:lang w:val="pt-PT"/>
          </w:rPr>
          <w:t>en</w:t>
        </w:r>
        <w:r>
          <w:rPr>
            <w:rStyle w:val="Hyperlink"/>
            <w:sz w:val="16"/>
            <w:lang w:val="ru-RU"/>
          </w:rPr>
          <w:t>.</w:t>
        </w:r>
        <w:r>
          <w:rPr>
            <w:rStyle w:val="Hyperlink"/>
            <w:sz w:val="16"/>
            <w:lang w:val="pt-PT"/>
          </w:rPr>
          <w:t>htm</w:t>
        </w:r>
      </w:hyperlink>
    </w:p>
  </w:footnote>
  <w:footnote w:id="10">
    <w:p w:rsidR="00450368" w:rsidRDefault="006B55A0">
      <w:pPr>
        <w:pStyle w:val="FootnoteText"/>
        <w:spacing w:after="0"/>
        <w:ind w:left="0" w:firstLine="0"/>
        <w:rPr>
          <w:sz w:val="16"/>
          <w:szCs w:val="16"/>
          <w:lang w:val="ru-RU"/>
        </w:rPr>
      </w:pPr>
      <w:r>
        <w:rPr>
          <w:rStyle w:val="FootnoteReference"/>
          <w:sz w:val="16"/>
        </w:rPr>
        <w:footnoteRef/>
      </w:r>
      <w:r>
        <w:rPr>
          <w:sz w:val="16"/>
          <w:lang w:val="ru-RU"/>
        </w:rPr>
        <w:t xml:space="preserve"> </w:t>
      </w:r>
      <w:hyperlink r:id="rId5">
        <w:r>
          <w:rPr>
            <w:rStyle w:val="Hyperlink"/>
            <w:sz w:val="16"/>
            <w:lang w:val="pt-PT"/>
          </w:rPr>
          <w:t>http</w:t>
        </w:r>
        <w:r>
          <w:rPr>
            <w:rStyle w:val="Hyperlink"/>
            <w:sz w:val="16"/>
            <w:lang w:val="ru-RU"/>
          </w:rPr>
          <w:t>://</w:t>
        </w:r>
        <w:r>
          <w:rPr>
            <w:rStyle w:val="Hyperlink"/>
            <w:sz w:val="16"/>
            <w:lang w:val="pt-PT"/>
          </w:rPr>
          <w:t>ec</w:t>
        </w:r>
        <w:r>
          <w:rPr>
            <w:rStyle w:val="Hyperlink"/>
            <w:sz w:val="16"/>
            <w:lang w:val="ru-RU"/>
          </w:rPr>
          <w:t>.</w:t>
        </w:r>
        <w:r>
          <w:rPr>
            <w:rStyle w:val="Hyperlink"/>
            <w:sz w:val="16"/>
            <w:lang w:val="pt-PT"/>
          </w:rPr>
          <w:t>europa</w:t>
        </w:r>
        <w:r>
          <w:rPr>
            <w:rStyle w:val="Hyperlink"/>
            <w:sz w:val="16"/>
            <w:lang w:val="ru-RU"/>
          </w:rPr>
          <w:t>.</w:t>
        </w:r>
        <w:r>
          <w:rPr>
            <w:rStyle w:val="Hyperlink"/>
            <w:sz w:val="16"/>
            <w:lang w:val="pt-PT"/>
          </w:rPr>
          <w:t>eu</w:t>
        </w:r>
        <w:r>
          <w:rPr>
            <w:rStyle w:val="Hyperlink"/>
            <w:sz w:val="16"/>
            <w:lang w:val="ru-RU"/>
          </w:rPr>
          <w:t>/</w:t>
        </w:r>
        <w:r>
          <w:rPr>
            <w:rStyle w:val="Hyperlink"/>
            <w:sz w:val="16"/>
            <w:lang w:val="pt-PT"/>
          </w:rPr>
          <w:t>environment</w:t>
        </w:r>
        <w:r>
          <w:rPr>
            <w:rStyle w:val="Hyperlink"/>
            <w:sz w:val="16"/>
            <w:lang w:val="ru-RU"/>
          </w:rPr>
          <w:t>/</w:t>
        </w:r>
        <w:r>
          <w:rPr>
            <w:rStyle w:val="Hyperlink"/>
            <w:sz w:val="16"/>
            <w:lang w:val="pt-PT"/>
          </w:rPr>
          <w:t>newprg</w:t>
        </w:r>
        <w:r>
          <w:rPr>
            <w:rStyle w:val="Hyperlink"/>
            <w:sz w:val="16"/>
            <w:lang w:val="ru-RU"/>
          </w:rPr>
          <w:t>/</w:t>
        </w:r>
      </w:hyperlink>
    </w:p>
  </w:footnote>
  <w:footnote w:id="11">
    <w:p w:rsidR="00450368" w:rsidRDefault="006B55A0">
      <w:pPr>
        <w:pStyle w:val="FootnoteText"/>
        <w:spacing w:after="0"/>
        <w:ind w:left="0" w:firstLine="0"/>
        <w:jc w:val="left"/>
        <w:rPr>
          <w:rStyle w:val="Hyperlink"/>
          <w:sz w:val="16"/>
          <w:szCs w:val="16"/>
          <w:lang w:val="ru-RU" w:eastAsia="en-GB"/>
        </w:rPr>
      </w:pPr>
      <w:r>
        <w:rPr>
          <w:rStyle w:val="FootnoteReference"/>
          <w:sz w:val="16"/>
        </w:rPr>
        <w:footnoteRef/>
      </w:r>
      <w:r>
        <w:rPr>
          <w:sz w:val="16"/>
          <w:lang w:val="ru-RU"/>
        </w:rPr>
        <w:t xml:space="preserve"> Директива</w:t>
      </w:r>
      <w:r>
        <w:rPr>
          <w:sz w:val="16"/>
          <w:lang w:val="pt-PT"/>
        </w:rPr>
        <w:t> </w:t>
      </w:r>
      <w:r>
        <w:rPr>
          <w:sz w:val="16"/>
          <w:lang w:val="ru-RU"/>
        </w:rPr>
        <w:t>2010/63/</w:t>
      </w:r>
      <w:r>
        <w:rPr>
          <w:sz w:val="16"/>
          <w:lang w:val="pt-PT"/>
        </w:rPr>
        <w:t>E</w:t>
      </w:r>
      <w:r>
        <w:rPr>
          <w:sz w:val="16"/>
          <w:lang w:val="ru-RU"/>
        </w:rPr>
        <w:t xml:space="preserve">С, </w:t>
      </w:r>
      <w:r>
        <w:rPr>
          <w:sz w:val="16"/>
          <w:lang w:val="pt-PT"/>
        </w:rPr>
        <w:t>O</w:t>
      </w:r>
      <w:r>
        <w:rPr>
          <w:sz w:val="16"/>
          <w:lang w:val="ru-RU"/>
        </w:rPr>
        <w:t>В</w:t>
      </w:r>
      <w:r>
        <w:rPr>
          <w:sz w:val="16"/>
          <w:lang w:val="pt-PT"/>
        </w:rPr>
        <w:t> L </w:t>
      </w:r>
      <w:r>
        <w:rPr>
          <w:sz w:val="16"/>
          <w:lang w:val="ru-RU"/>
        </w:rPr>
        <w:t>276, 20.10.2010</w:t>
      </w:r>
      <w:r>
        <w:rPr>
          <w:sz w:val="16"/>
          <w:lang w:val="pt-PT"/>
        </w:rPr>
        <w:t> </w:t>
      </w:r>
      <w:r>
        <w:rPr>
          <w:sz w:val="16"/>
          <w:lang w:val="ru-RU"/>
        </w:rPr>
        <w:t xml:space="preserve">г., стр. 33—79  </w:t>
      </w:r>
      <w:r>
        <w:rPr>
          <w:rStyle w:val="Hyperlink"/>
          <w:sz w:val="16"/>
          <w:lang w:val="pt-PT"/>
        </w:rPr>
        <w:t>http</w:t>
      </w:r>
      <w:r>
        <w:rPr>
          <w:rStyle w:val="Hyperlink"/>
          <w:sz w:val="16"/>
          <w:lang w:val="ru-RU"/>
        </w:rPr>
        <w:t>://</w:t>
      </w:r>
      <w:r>
        <w:rPr>
          <w:rStyle w:val="Hyperlink"/>
          <w:sz w:val="16"/>
          <w:lang w:val="pt-PT"/>
        </w:rPr>
        <w:t>eur</w:t>
      </w:r>
      <w:r>
        <w:rPr>
          <w:rStyle w:val="Hyperlink"/>
          <w:sz w:val="16"/>
          <w:lang w:val="ru-RU"/>
        </w:rPr>
        <w:t>-</w:t>
      </w:r>
      <w:r>
        <w:rPr>
          <w:rStyle w:val="Hyperlink"/>
          <w:sz w:val="16"/>
          <w:lang w:val="pt-PT"/>
        </w:rPr>
        <w:t>lex</w:t>
      </w:r>
      <w:r>
        <w:rPr>
          <w:rStyle w:val="Hyperlink"/>
          <w:sz w:val="16"/>
          <w:lang w:val="ru-RU"/>
        </w:rPr>
        <w:t>.</w:t>
      </w:r>
      <w:r>
        <w:rPr>
          <w:rStyle w:val="Hyperlink"/>
          <w:sz w:val="16"/>
          <w:lang w:val="pt-PT"/>
        </w:rPr>
        <w:t>europa</w:t>
      </w:r>
      <w:r>
        <w:rPr>
          <w:rStyle w:val="Hyperlink"/>
          <w:sz w:val="16"/>
          <w:lang w:val="ru-RU"/>
        </w:rPr>
        <w:t>.</w:t>
      </w:r>
      <w:r>
        <w:rPr>
          <w:rStyle w:val="Hyperlink"/>
          <w:sz w:val="16"/>
          <w:lang w:val="pt-PT"/>
        </w:rPr>
        <w:t>eu</w:t>
      </w:r>
      <w:r>
        <w:rPr>
          <w:rStyle w:val="Hyperlink"/>
          <w:sz w:val="16"/>
          <w:lang w:val="ru-RU"/>
        </w:rPr>
        <w:t>/</w:t>
      </w:r>
      <w:r>
        <w:rPr>
          <w:rStyle w:val="Hyperlink"/>
          <w:sz w:val="16"/>
          <w:lang w:val="pt-PT"/>
        </w:rPr>
        <w:t>legal</w:t>
      </w:r>
      <w:r>
        <w:rPr>
          <w:rStyle w:val="Hyperlink"/>
          <w:sz w:val="16"/>
          <w:lang w:val="ru-RU"/>
        </w:rPr>
        <w:t>-</w:t>
      </w:r>
      <w:r>
        <w:rPr>
          <w:rStyle w:val="Hyperlink"/>
          <w:sz w:val="16"/>
          <w:lang w:val="pt-PT"/>
        </w:rPr>
        <w:t>content</w:t>
      </w:r>
      <w:r>
        <w:rPr>
          <w:rStyle w:val="Hyperlink"/>
          <w:sz w:val="16"/>
          <w:lang w:val="ru-RU"/>
        </w:rPr>
        <w:t>/</w:t>
      </w:r>
      <w:r>
        <w:rPr>
          <w:rStyle w:val="Hyperlink"/>
          <w:sz w:val="16"/>
          <w:lang w:val="pt-PT"/>
        </w:rPr>
        <w:t>EN</w:t>
      </w:r>
      <w:r>
        <w:rPr>
          <w:rStyle w:val="Hyperlink"/>
          <w:sz w:val="16"/>
          <w:lang w:val="ru-RU"/>
        </w:rPr>
        <w:t>/</w:t>
      </w:r>
      <w:r>
        <w:rPr>
          <w:rStyle w:val="Hyperlink"/>
          <w:sz w:val="16"/>
          <w:lang w:val="pt-PT"/>
        </w:rPr>
        <w:t>TXT</w:t>
      </w:r>
      <w:r>
        <w:rPr>
          <w:rStyle w:val="Hyperlink"/>
          <w:sz w:val="16"/>
          <w:lang w:val="ru-RU"/>
        </w:rPr>
        <w:t>/?</w:t>
      </w:r>
      <w:r>
        <w:rPr>
          <w:rStyle w:val="Hyperlink"/>
          <w:sz w:val="16"/>
          <w:lang w:val="pt-PT"/>
        </w:rPr>
        <w:t>uri</w:t>
      </w:r>
      <w:r>
        <w:rPr>
          <w:rStyle w:val="Hyperlink"/>
          <w:sz w:val="16"/>
          <w:lang w:val="ru-RU"/>
        </w:rPr>
        <w:t>=</w:t>
      </w:r>
      <w:r>
        <w:rPr>
          <w:rStyle w:val="Hyperlink"/>
          <w:sz w:val="16"/>
          <w:lang w:val="pt-PT"/>
        </w:rPr>
        <w:t>CELEX</w:t>
      </w:r>
      <w:r>
        <w:rPr>
          <w:rStyle w:val="Hyperlink"/>
          <w:sz w:val="16"/>
          <w:lang w:val="ru-RU"/>
        </w:rPr>
        <w:t>:32010</w:t>
      </w:r>
      <w:r>
        <w:rPr>
          <w:rStyle w:val="Hyperlink"/>
          <w:sz w:val="16"/>
          <w:lang w:val="pt-PT"/>
        </w:rPr>
        <w:t>L</w:t>
      </w:r>
      <w:r>
        <w:rPr>
          <w:rStyle w:val="Hyperlink"/>
          <w:sz w:val="16"/>
          <w:lang w:val="ru-RU"/>
        </w:rPr>
        <w:t>0063</w:t>
      </w:r>
    </w:p>
  </w:footnote>
  <w:footnote w:id="12">
    <w:p w:rsidR="00450368" w:rsidRDefault="006B55A0">
      <w:pPr>
        <w:spacing w:after="0"/>
        <w:rPr>
          <w:sz w:val="16"/>
          <w:szCs w:val="16"/>
          <w:lang w:val="ru-RU"/>
        </w:rPr>
      </w:pPr>
      <w:r>
        <w:rPr>
          <w:rStyle w:val="FootnoteReference"/>
          <w:sz w:val="16"/>
        </w:rPr>
        <w:footnoteRef/>
      </w:r>
      <w:r>
        <w:rPr>
          <w:sz w:val="16"/>
          <w:lang w:val="ru-RU"/>
        </w:rPr>
        <w:t xml:space="preserve"> Модел за проучване на биологията, поведението, спонтанните или индуцираните болести, имащи общи аспекти с феноменен еквивалент при хората или при други</w:t>
      </w:r>
      <w:r>
        <w:rPr>
          <w:sz w:val="16"/>
          <w:lang w:val="ru-RU"/>
        </w:rPr>
        <w:t xml:space="preserve"> животински видове. </w:t>
      </w:r>
    </w:p>
  </w:footnote>
  <w:footnote w:id="13">
    <w:p w:rsidR="00450368" w:rsidRDefault="006B55A0">
      <w:pPr>
        <w:pStyle w:val="FootnoteText"/>
        <w:spacing w:after="0"/>
        <w:ind w:left="0" w:firstLine="0"/>
        <w:jc w:val="left"/>
        <w:rPr>
          <w:sz w:val="16"/>
          <w:szCs w:val="16"/>
          <w:lang w:val="ru-RU"/>
        </w:rPr>
      </w:pPr>
      <w:r>
        <w:rPr>
          <w:rStyle w:val="FootnoteReference"/>
          <w:sz w:val="16"/>
        </w:rPr>
        <w:footnoteRef/>
      </w:r>
      <w:r>
        <w:rPr>
          <w:sz w:val="16"/>
          <w:lang w:val="ru-RU"/>
        </w:rPr>
        <w:t xml:space="preserve"> Специално издание — 34 публикации относно транслационната стойност на животинските модели в  </w:t>
      </w:r>
      <w:r>
        <w:rPr>
          <w:sz w:val="16"/>
          <w:lang w:val="pt-PT"/>
        </w:rPr>
        <w:t>European</w:t>
      </w:r>
      <w:r>
        <w:rPr>
          <w:sz w:val="16"/>
          <w:lang w:val="ru-RU"/>
        </w:rPr>
        <w:t xml:space="preserve"> </w:t>
      </w:r>
      <w:r>
        <w:rPr>
          <w:sz w:val="16"/>
          <w:lang w:val="pt-PT"/>
        </w:rPr>
        <w:t>Journal</w:t>
      </w:r>
      <w:r>
        <w:rPr>
          <w:sz w:val="16"/>
          <w:lang w:val="ru-RU"/>
        </w:rPr>
        <w:t xml:space="preserve"> </w:t>
      </w:r>
      <w:r>
        <w:rPr>
          <w:sz w:val="16"/>
          <w:lang w:val="pt-PT"/>
        </w:rPr>
        <w:t>of</w:t>
      </w:r>
      <w:r>
        <w:rPr>
          <w:sz w:val="16"/>
          <w:lang w:val="ru-RU"/>
        </w:rPr>
        <w:t xml:space="preserve"> </w:t>
      </w:r>
      <w:r>
        <w:rPr>
          <w:sz w:val="16"/>
          <w:lang w:val="pt-PT"/>
        </w:rPr>
        <w:t>Pharmacology</w:t>
      </w:r>
      <w:r>
        <w:rPr>
          <w:sz w:val="16"/>
          <w:lang w:val="ru-RU"/>
        </w:rPr>
        <w:t xml:space="preserve"> (Европейското списание за фармакология); </w:t>
      </w:r>
      <w:hyperlink r:id="rId6">
        <w:r>
          <w:rPr>
            <w:rStyle w:val="Hyperlink"/>
            <w:sz w:val="16"/>
            <w:lang w:val="pt-PT"/>
          </w:rPr>
          <w:t>http</w:t>
        </w:r>
        <w:r>
          <w:rPr>
            <w:rStyle w:val="Hyperlink"/>
            <w:sz w:val="16"/>
            <w:lang w:val="ru-RU"/>
          </w:rPr>
          <w:t>://</w:t>
        </w:r>
        <w:r>
          <w:rPr>
            <w:rStyle w:val="Hyperlink"/>
            <w:sz w:val="16"/>
            <w:lang w:val="pt-PT"/>
          </w:rPr>
          <w:t>www</w:t>
        </w:r>
        <w:r>
          <w:rPr>
            <w:rStyle w:val="Hyperlink"/>
            <w:sz w:val="16"/>
            <w:lang w:val="ru-RU"/>
          </w:rPr>
          <w:t>.</w:t>
        </w:r>
        <w:r>
          <w:rPr>
            <w:rStyle w:val="Hyperlink"/>
            <w:sz w:val="16"/>
            <w:lang w:val="pt-PT"/>
          </w:rPr>
          <w:t>sciencedirect</w:t>
        </w:r>
        <w:r>
          <w:rPr>
            <w:rStyle w:val="Hyperlink"/>
            <w:sz w:val="16"/>
            <w:lang w:val="ru-RU"/>
          </w:rPr>
          <w:t>.</w:t>
        </w:r>
        <w:r>
          <w:rPr>
            <w:rStyle w:val="Hyperlink"/>
            <w:sz w:val="16"/>
            <w:lang w:val="pt-PT"/>
          </w:rPr>
          <w:t>com</w:t>
        </w:r>
        <w:r>
          <w:rPr>
            <w:rStyle w:val="Hyperlink"/>
            <w:sz w:val="16"/>
            <w:lang w:val="ru-RU"/>
          </w:rPr>
          <w:t>/</w:t>
        </w:r>
        <w:r>
          <w:rPr>
            <w:rStyle w:val="Hyperlink"/>
            <w:sz w:val="16"/>
            <w:lang w:val="pt-PT"/>
          </w:rPr>
          <w:t>science</w:t>
        </w:r>
        <w:r>
          <w:rPr>
            <w:rStyle w:val="Hyperlink"/>
            <w:sz w:val="16"/>
            <w:lang w:val="ru-RU"/>
          </w:rPr>
          <w:t>/</w:t>
        </w:r>
        <w:r>
          <w:rPr>
            <w:rStyle w:val="Hyperlink"/>
            <w:sz w:val="16"/>
            <w:lang w:val="pt-PT"/>
          </w:rPr>
          <w:t>article</w:t>
        </w:r>
        <w:r>
          <w:rPr>
            <w:rStyle w:val="Hyperlink"/>
            <w:sz w:val="16"/>
            <w:lang w:val="ru-RU"/>
          </w:rPr>
          <w:t>/</w:t>
        </w:r>
        <w:r>
          <w:rPr>
            <w:rStyle w:val="Hyperlink"/>
            <w:sz w:val="16"/>
            <w:lang w:val="pt-PT"/>
          </w:rPr>
          <w:t>pii</w:t>
        </w:r>
        <w:r>
          <w:rPr>
            <w:rStyle w:val="Hyperlink"/>
            <w:sz w:val="16"/>
            <w:lang w:val="ru-RU"/>
          </w:rPr>
          <w:t>/</w:t>
        </w:r>
        <w:r>
          <w:rPr>
            <w:rStyle w:val="Hyperlink"/>
            <w:sz w:val="16"/>
            <w:lang w:val="pt-PT"/>
          </w:rPr>
          <w:t>S</w:t>
        </w:r>
        <w:r>
          <w:rPr>
            <w:rStyle w:val="Hyperlink"/>
            <w:sz w:val="16"/>
            <w:lang w:val="ru-RU"/>
          </w:rPr>
          <w:t>0014299915002678</w:t>
        </w:r>
      </w:hyperlink>
      <w:r>
        <w:rPr>
          <w:sz w:val="16"/>
          <w:lang w:val="ru-RU"/>
        </w:rPr>
        <w:t>).</w:t>
      </w:r>
    </w:p>
  </w:footnote>
  <w:footnote w:id="14">
    <w:p w:rsidR="00450368" w:rsidRDefault="006B55A0">
      <w:pPr>
        <w:pStyle w:val="FootnoteText"/>
        <w:spacing w:after="0"/>
        <w:ind w:left="0" w:firstLine="0"/>
        <w:jc w:val="left"/>
        <w:rPr>
          <w:sz w:val="16"/>
          <w:szCs w:val="16"/>
          <w:lang w:val="ru-RU"/>
        </w:rPr>
      </w:pPr>
      <w:r>
        <w:rPr>
          <w:rStyle w:val="FootnoteReference"/>
          <w:sz w:val="16"/>
        </w:rPr>
        <w:footnoteRef/>
      </w:r>
      <w:r>
        <w:rPr>
          <w:sz w:val="16"/>
          <w:lang w:val="ru-RU"/>
        </w:rPr>
        <w:t xml:space="preserve"> Информация за концепцията за трите </w:t>
      </w:r>
      <w:r>
        <w:rPr>
          <w:sz w:val="16"/>
          <w:lang w:val="pt-PT"/>
        </w:rPr>
        <w:t>R</w:t>
      </w:r>
      <w:r>
        <w:rPr>
          <w:sz w:val="16"/>
          <w:lang w:val="ru-RU"/>
        </w:rPr>
        <w:t xml:space="preserve">: </w:t>
      </w:r>
      <w:r>
        <w:rPr>
          <w:sz w:val="16"/>
          <w:lang w:val="pt-PT"/>
        </w:rPr>
        <w:t>http</w:t>
      </w:r>
      <w:r>
        <w:rPr>
          <w:sz w:val="16"/>
          <w:lang w:val="ru-RU"/>
        </w:rPr>
        <w:t>://</w:t>
      </w:r>
      <w:r>
        <w:rPr>
          <w:sz w:val="16"/>
          <w:lang w:val="pt-PT"/>
        </w:rPr>
        <w:t>ec</w:t>
      </w:r>
      <w:r>
        <w:rPr>
          <w:sz w:val="16"/>
          <w:lang w:val="ru-RU"/>
        </w:rPr>
        <w:t>.</w:t>
      </w:r>
      <w:r>
        <w:rPr>
          <w:sz w:val="16"/>
          <w:lang w:val="pt-PT"/>
        </w:rPr>
        <w:t>europa</w:t>
      </w:r>
      <w:r>
        <w:rPr>
          <w:sz w:val="16"/>
          <w:lang w:val="ru-RU"/>
        </w:rPr>
        <w:t>.</w:t>
      </w:r>
      <w:r>
        <w:rPr>
          <w:sz w:val="16"/>
          <w:lang w:val="pt-PT"/>
        </w:rPr>
        <w:t>eu</w:t>
      </w:r>
      <w:r>
        <w:rPr>
          <w:sz w:val="16"/>
          <w:lang w:val="ru-RU"/>
        </w:rPr>
        <w:t>/</w:t>
      </w:r>
      <w:r>
        <w:rPr>
          <w:sz w:val="16"/>
          <w:lang w:val="pt-PT"/>
        </w:rPr>
        <w:t>environment</w:t>
      </w:r>
      <w:r>
        <w:rPr>
          <w:sz w:val="16"/>
          <w:lang w:val="ru-RU"/>
        </w:rPr>
        <w:t>/</w:t>
      </w:r>
      <w:r>
        <w:rPr>
          <w:sz w:val="16"/>
          <w:lang w:val="pt-PT"/>
        </w:rPr>
        <w:t>chemicals</w:t>
      </w:r>
      <w:r>
        <w:rPr>
          <w:sz w:val="16"/>
          <w:lang w:val="ru-RU"/>
        </w:rPr>
        <w:t>/</w:t>
      </w:r>
      <w:r>
        <w:rPr>
          <w:sz w:val="16"/>
          <w:lang w:val="pt-PT"/>
        </w:rPr>
        <w:t>lab</w:t>
      </w:r>
      <w:r>
        <w:rPr>
          <w:sz w:val="16"/>
          <w:lang w:val="ru-RU"/>
        </w:rPr>
        <w:t>_</w:t>
      </w:r>
      <w:r>
        <w:rPr>
          <w:sz w:val="16"/>
          <w:lang w:val="pt-PT"/>
        </w:rPr>
        <w:t>animals</w:t>
      </w:r>
      <w:r>
        <w:rPr>
          <w:sz w:val="16"/>
          <w:lang w:val="ru-RU"/>
        </w:rPr>
        <w:t>/3</w:t>
      </w:r>
      <w:r>
        <w:rPr>
          <w:sz w:val="16"/>
          <w:lang w:val="pt-PT"/>
        </w:rPr>
        <w:t>r</w:t>
      </w:r>
      <w:r>
        <w:rPr>
          <w:sz w:val="16"/>
          <w:lang w:val="ru-RU"/>
        </w:rPr>
        <w:t>/</w:t>
      </w:r>
      <w:r>
        <w:rPr>
          <w:sz w:val="16"/>
          <w:lang w:val="pt-PT"/>
        </w:rPr>
        <w:t>alternative</w:t>
      </w:r>
      <w:r>
        <w:rPr>
          <w:sz w:val="16"/>
          <w:lang w:val="ru-RU"/>
        </w:rPr>
        <w:t>_</w:t>
      </w:r>
      <w:r>
        <w:rPr>
          <w:sz w:val="16"/>
          <w:lang w:val="pt-PT"/>
        </w:rPr>
        <w:t>en</w:t>
      </w:r>
      <w:r>
        <w:rPr>
          <w:sz w:val="16"/>
          <w:lang w:val="ru-RU"/>
        </w:rPr>
        <w:t>.</w:t>
      </w:r>
      <w:r>
        <w:rPr>
          <w:sz w:val="16"/>
          <w:lang w:val="pt-PT"/>
        </w:rPr>
        <w:t>htm</w:t>
      </w:r>
    </w:p>
  </w:footnote>
  <w:footnote w:id="15">
    <w:p w:rsidR="00450368" w:rsidRDefault="006B55A0">
      <w:pPr>
        <w:pStyle w:val="FootnoteText"/>
        <w:spacing w:after="0"/>
        <w:ind w:left="0" w:firstLine="0"/>
        <w:jc w:val="left"/>
        <w:rPr>
          <w:rStyle w:val="Hyperlink"/>
          <w:sz w:val="16"/>
          <w:szCs w:val="16"/>
          <w:lang w:val="ru-RU"/>
        </w:rPr>
      </w:pPr>
      <w:r>
        <w:rPr>
          <w:rStyle w:val="FootnoteReference"/>
          <w:sz w:val="16"/>
        </w:rPr>
        <w:footnoteRef/>
      </w:r>
      <w:r>
        <w:rPr>
          <w:sz w:val="16"/>
          <w:lang w:val="ru-RU"/>
        </w:rPr>
        <w:t xml:space="preserve"> Информация за Директива</w:t>
      </w:r>
      <w:r>
        <w:rPr>
          <w:sz w:val="16"/>
          <w:lang w:val="pt-PT"/>
        </w:rPr>
        <w:t> </w:t>
      </w:r>
      <w:r>
        <w:rPr>
          <w:sz w:val="16"/>
          <w:lang w:val="ru-RU"/>
        </w:rPr>
        <w:t xml:space="preserve">2010/63 и разпоредбите в нея: </w:t>
      </w:r>
      <w:hyperlink r:id="rId7">
        <w:r>
          <w:rPr>
            <w:rStyle w:val="Hyperlink"/>
            <w:sz w:val="16"/>
            <w:lang w:val="pt-PT"/>
          </w:rPr>
          <w:t>http</w:t>
        </w:r>
        <w:r>
          <w:rPr>
            <w:rStyle w:val="Hyperlink"/>
            <w:sz w:val="16"/>
            <w:lang w:val="ru-RU"/>
          </w:rPr>
          <w:t>://</w:t>
        </w:r>
        <w:r>
          <w:rPr>
            <w:rStyle w:val="Hyperlink"/>
            <w:sz w:val="16"/>
            <w:lang w:val="pt-PT"/>
          </w:rPr>
          <w:t>ec</w:t>
        </w:r>
        <w:r>
          <w:rPr>
            <w:rStyle w:val="Hyperlink"/>
            <w:sz w:val="16"/>
            <w:lang w:val="ru-RU"/>
          </w:rPr>
          <w:t>.</w:t>
        </w:r>
        <w:r>
          <w:rPr>
            <w:rStyle w:val="Hyperlink"/>
            <w:sz w:val="16"/>
            <w:lang w:val="pt-PT"/>
          </w:rPr>
          <w:t>europa</w:t>
        </w:r>
        <w:r>
          <w:rPr>
            <w:rStyle w:val="Hyperlink"/>
            <w:sz w:val="16"/>
            <w:lang w:val="ru-RU"/>
          </w:rPr>
          <w:t>.</w:t>
        </w:r>
        <w:r>
          <w:rPr>
            <w:rStyle w:val="Hyperlink"/>
            <w:sz w:val="16"/>
            <w:lang w:val="pt-PT"/>
          </w:rPr>
          <w:t>eu</w:t>
        </w:r>
        <w:r>
          <w:rPr>
            <w:rStyle w:val="Hyperlink"/>
            <w:sz w:val="16"/>
            <w:lang w:val="ru-RU"/>
          </w:rPr>
          <w:t>/</w:t>
        </w:r>
        <w:r>
          <w:rPr>
            <w:rStyle w:val="Hyperlink"/>
            <w:sz w:val="16"/>
            <w:lang w:val="pt-PT"/>
          </w:rPr>
          <w:t>environment</w:t>
        </w:r>
        <w:r>
          <w:rPr>
            <w:rStyle w:val="Hyperlink"/>
            <w:sz w:val="16"/>
            <w:lang w:val="ru-RU"/>
          </w:rPr>
          <w:t>/</w:t>
        </w:r>
        <w:r>
          <w:rPr>
            <w:rStyle w:val="Hyperlink"/>
            <w:sz w:val="16"/>
            <w:lang w:val="pt-PT"/>
          </w:rPr>
          <w:t>chemicals</w:t>
        </w:r>
        <w:r>
          <w:rPr>
            <w:rStyle w:val="Hyperlink"/>
            <w:sz w:val="16"/>
            <w:lang w:val="ru-RU"/>
          </w:rPr>
          <w:t>/</w:t>
        </w:r>
        <w:r>
          <w:rPr>
            <w:rStyle w:val="Hyperlink"/>
            <w:sz w:val="16"/>
            <w:lang w:val="pt-PT"/>
          </w:rPr>
          <w:t>lab</w:t>
        </w:r>
        <w:r>
          <w:rPr>
            <w:rStyle w:val="Hyperlink"/>
            <w:sz w:val="16"/>
            <w:lang w:val="ru-RU"/>
          </w:rPr>
          <w:t>_</w:t>
        </w:r>
        <w:r>
          <w:rPr>
            <w:rStyle w:val="Hyperlink"/>
            <w:sz w:val="16"/>
            <w:lang w:val="pt-PT"/>
          </w:rPr>
          <w:t>animals</w:t>
        </w:r>
        <w:r>
          <w:rPr>
            <w:rStyle w:val="Hyperlink"/>
            <w:sz w:val="16"/>
            <w:lang w:val="ru-RU"/>
          </w:rPr>
          <w:t>/</w:t>
        </w:r>
        <w:r>
          <w:rPr>
            <w:rStyle w:val="Hyperlink"/>
            <w:sz w:val="16"/>
            <w:lang w:val="pt-PT"/>
          </w:rPr>
          <w:t>home</w:t>
        </w:r>
        <w:r>
          <w:rPr>
            <w:rStyle w:val="Hyperlink"/>
            <w:sz w:val="16"/>
            <w:lang w:val="ru-RU"/>
          </w:rPr>
          <w:t>_</w:t>
        </w:r>
        <w:r>
          <w:rPr>
            <w:rStyle w:val="Hyperlink"/>
            <w:sz w:val="16"/>
            <w:lang w:val="pt-PT"/>
          </w:rPr>
          <w:t>en</w:t>
        </w:r>
        <w:r>
          <w:rPr>
            <w:rStyle w:val="Hyperlink"/>
            <w:sz w:val="16"/>
            <w:lang w:val="ru-RU"/>
          </w:rPr>
          <w:t>.</w:t>
        </w:r>
        <w:r>
          <w:rPr>
            <w:rStyle w:val="Hyperlink"/>
            <w:sz w:val="16"/>
            <w:lang w:val="pt-PT"/>
          </w:rPr>
          <w:t>htm</w:t>
        </w:r>
      </w:hyperlink>
      <w:r>
        <w:rPr>
          <w:rStyle w:val="Hyperlink"/>
          <w:sz w:val="16"/>
          <w:lang w:val="ru-RU"/>
        </w:rPr>
        <w:t xml:space="preserve"> </w:t>
      </w:r>
    </w:p>
  </w:footnote>
  <w:footnote w:id="16">
    <w:p w:rsidR="00450368" w:rsidRDefault="006B55A0">
      <w:pPr>
        <w:pStyle w:val="FootnoteText"/>
        <w:spacing w:after="0"/>
        <w:ind w:left="0" w:firstLine="0"/>
        <w:jc w:val="left"/>
        <w:rPr>
          <w:sz w:val="16"/>
          <w:szCs w:val="16"/>
          <w:lang w:val="ru-RU"/>
        </w:rPr>
      </w:pPr>
      <w:r>
        <w:rPr>
          <w:rStyle w:val="FootnoteReference"/>
          <w:sz w:val="16"/>
        </w:rPr>
        <w:footnoteRef/>
      </w:r>
      <w:r>
        <w:rPr>
          <w:sz w:val="16"/>
          <w:lang w:val="ru-RU"/>
        </w:rPr>
        <w:t xml:space="preserve"> Общ формуляр за подаване на информация съгласно Директива</w:t>
      </w:r>
      <w:r>
        <w:rPr>
          <w:sz w:val="16"/>
          <w:lang w:val="pt-PT"/>
        </w:rPr>
        <w:t> </w:t>
      </w:r>
      <w:r>
        <w:rPr>
          <w:sz w:val="16"/>
          <w:lang w:val="ru-RU"/>
        </w:rPr>
        <w:t>2010/63/ЕС</w:t>
      </w:r>
      <w:r>
        <w:rPr>
          <w:rStyle w:val="Strong"/>
          <w:rFonts w:ascii="Lucida Sans Unicode" w:hAnsi="Lucida Sans Unicode"/>
          <w:b w:val="0"/>
          <w:color w:val="444444"/>
          <w:sz w:val="16"/>
          <w:lang w:val="ru-RU"/>
        </w:rPr>
        <w:t xml:space="preserve"> </w:t>
      </w:r>
      <w:hyperlink r:id="rId8">
        <w:r>
          <w:rPr>
            <w:rStyle w:val="Hyperlink"/>
            <w:sz w:val="16"/>
            <w:lang w:val="pt-PT"/>
          </w:rPr>
          <w:t>http</w:t>
        </w:r>
        <w:r>
          <w:rPr>
            <w:rStyle w:val="Hyperlink"/>
            <w:sz w:val="16"/>
            <w:lang w:val="ru-RU"/>
          </w:rPr>
          <w:t>://</w:t>
        </w:r>
        <w:r>
          <w:rPr>
            <w:rStyle w:val="Hyperlink"/>
            <w:sz w:val="16"/>
            <w:lang w:val="pt-PT"/>
          </w:rPr>
          <w:t>eur</w:t>
        </w:r>
        <w:r>
          <w:rPr>
            <w:rStyle w:val="Hyperlink"/>
            <w:sz w:val="16"/>
            <w:lang w:val="ru-RU"/>
          </w:rPr>
          <w:t>-</w:t>
        </w:r>
        <w:r>
          <w:rPr>
            <w:rStyle w:val="Hyperlink"/>
            <w:sz w:val="16"/>
            <w:lang w:val="pt-PT"/>
          </w:rPr>
          <w:t>lex</w:t>
        </w:r>
        <w:r>
          <w:rPr>
            <w:rStyle w:val="Hyperlink"/>
            <w:sz w:val="16"/>
            <w:lang w:val="ru-RU"/>
          </w:rPr>
          <w:t>.</w:t>
        </w:r>
        <w:r>
          <w:rPr>
            <w:rStyle w:val="Hyperlink"/>
            <w:sz w:val="16"/>
            <w:lang w:val="pt-PT"/>
          </w:rPr>
          <w:t>europa</w:t>
        </w:r>
        <w:r>
          <w:rPr>
            <w:rStyle w:val="Hyperlink"/>
            <w:sz w:val="16"/>
            <w:lang w:val="ru-RU"/>
          </w:rPr>
          <w:t>.</w:t>
        </w:r>
        <w:r>
          <w:rPr>
            <w:rStyle w:val="Hyperlink"/>
            <w:sz w:val="16"/>
            <w:lang w:val="pt-PT"/>
          </w:rPr>
          <w:t>eu</w:t>
        </w:r>
        <w:r>
          <w:rPr>
            <w:rStyle w:val="Hyperlink"/>
            <w:sz w:val="16"/>
            <w:lang w:val="ru-RU"/>
          </w:rPr>
          <w:t>/</w:t>
        </w:r>
        <w:r>
          <w:rPr>
            <w:rStyle w:val="Hyperlink"/>
            <w:sz w:val="16"/>
            <w:lang w:val="pt-PT"/>
          </w:rPr>
          <w:t>legal</w:t>
        </w:r>
        <w:r>
          <w:rPr>
            <w:rStyle w:val="Hyperlink"/>
            <w:sz w:val="16"/>
            <w:lang w:val="ru-RU"/>
          </w:rPr>
          <w:t>-</w:t>
        </w:r>
        <w:r>
          <w:rPr>
            <w:rStyle w:val="Hyperlink"/>
            <w:sz w:val="16"/>
            <w:lang w:val="pt-PT"/>
          </w:rPr>
          <w:t>content</w:t>
        </w:r>
        <w:r>
          <w:rPr>
            <w:rStyle w:val="Hyperlink"/>
            <w:sz w:val="16"/>
            <w:lang w:val="ru-RU"/>
          </w:rPr>
          <w:t>/</w:t>
        </w:r>
        <w:r>
          <w:rPr>
            <w:rStyle w:val="Hyperlink"/>
            <w:sz w:val="16"/>
            <w:lang w:val="pt-PT"/>
          </w:rPr>
          <w:t>EN</w:t>
        </w:r>
        <w:r>
          <w:rPr>
            <w:rStyle w:val="Hyperlink"/>
            <w:sz w:val="16"/>
            <w:lang w:val="ru-RU"/>
          </w:rPr>
          <w:t>/</w:t>
        </w:r>
        <w:r>
          <w:rPr>
            <w:rStyle w:val="Hyperlink"/>
            <w:sz w:val="16"/>
            <w:lang w:val="pt-PT"/>
          </w:rPr>
          <w:t>TXT</w:t>
        </w:r>
        <w:r>
          <w:rPr>
            <w:rStyle w:val="Hyperlink"/>
            <w:sz w:val="16"/>
            <w:lang w:val="ru-RU"/>
          </w:rPr>
          <w:t>/?</w:t>
        </w:r>
        <w:r>
          <w:rPr>
            <w:rStyle w:val="Hyperlink"/>
            <w:sz w:val="16"/>
            <w:lang w:val="pt-PT"/>
          </w:rPr>
          <w:t>uri</w:t>
        </w:r>
        <w:r>
          <w:rPr>
            <w:rStyle w:val="Hyperlink"/>
            <w:sz w:val="16"/>
            <w:lang w:val="ru-RU"/>
          </w:rPr>
          <w:t>=</w:t>
        </w:r>
        <w:r>
          <w:rPr>
            <w:rStyle w:val="Hyperlink"/>
            <w:sz w:val="16"/>
            <w:lang w:val="pt-PT"/>
          </w:rPr>
          <w:t>CELEX</w:t>
        </w:r>
        <w:r>
          <w:rPr>
            <w:rStyle w:val="Hyperlink"/>
            <w:sz w:val="16"/>
            <w:lang w:val="ru-RU"/>
          </w:rPr>
          <w:t>:02012</w:t>
        </w:r>
        <w:r>
          <w:rPr>
            <w:rStyle w:val="Hyperlink"/>
            <w:sz w:val="16"/>
            <w:lang w:val="pt-PT"/>
          </w:rPr>
          <w:t>D</w:t>
        </w:r>
        <w:r>
          <w:rPr>
            <w:rStyle w:val="Hyperlink"/>
            <w:sz w:val="16"/>
            <w:lang w:val="ru-RU"/>
          </w:rPr>
          <w:t>0707-20140115</w:t>
        </w:r>
      </w:hyperlink>
    </w:p>
  </w:footnote>
  <w:footnote w:id="17">
    <w:p w:rsidR="00450368" w:rsidRDefault="006B55A0">
      <w:pPr>
        <w:autoSpaceDE w:val="0"/>
        <w:autoSpaceDN w:val="0"/>
        <w:adjustRightInd w:val="0"/>
        <w:spacing w:after="0"/>
        <w:rPr>
          <w:sz w:val="16"/>
          <w:szCs w:val="16"/>
          <w:lang w:val="ru-RU"/>
        </w:rPr>
      </w:pPr>
      <w:r>
        <w:rPr>
          <w:rStyle w:val="FootnoteReference"/>
          <w:sz w:val="16"/>
        </w:rPr>
        <w:footnoteRef/>
      </w:r>
      <w:r>
        <w:rPr>
          <w:sz w:val="16"/>
          <w:lang w:val="ru-RU"/>
        </w:rPr>
        <w:t xml:space="preserve"> </w:t>
      </w:r>
      <w:r>
        <w:rPr>
          <w:b/>
          <w:sz w:val="16"/>
          <w:lang w:val="ru-RU"/>
        </w:rPr>
        <w:t xml:space="preserve">Процес на валидиране на алтернативни методи: </w:t>
      </w:r>
      <w:r>
        <w:rPr>
          <w:sz w:val="16"/>
          <w:lang w:val="ru-RU"/>
        </w:rPr>
        <w:t>Новите методи</w:t>
      </w:r>
      <w:r>
        <w:rPr>
          <w:sz w:val="16"/>
          <w:lang w:val="bg-BG"/>
        </w:rPr>
        <w:t xml:space="preserve"> за изпитване</w:t>
      </w:r>
      <w:r>
        <w:rPr>
          <w:sz w:val="16"/>
          <w:lang w:val="ru-RU"/>
        </w:rPr>
        <w:t xml:space="preserve">, заместващи </w:t>
      </w:r>
      <w:r>
        <w:rPr>
          <w:sz w:val="16"/>
          <w:lang w:val="ru-RU"/>
        </w:rPr>
        <w:t>метод с използването на животни, преди да могат да бъдат приети като съответстващи на нормативните изисквания за изпитване за безопасност или ефикасност на нов химикал или ново лекарство, е необходимо да бъдат валидирани. Това се прави, за да се гарантира,</w:t>
      </w:r>
      <w:r>
        <w:rPr>
          <w:sz w:val="16"/>
          <w:lang w:val="ru-RU"/>
        </w:rPr>
        <w:t xml:space="preserve"> че: 1) методът може вярно да предвиди съответните обезпокоителни ефекти, 2) резултатите могат да бъдат възпроизведени в други лаборатории и 3) методът е подходящ за всички видове вещества, които ще се изпитват с него. При процеса на валидиране се спазват </w:t>
      </w:r>
      <w:r>
        <w:rPr>
          <w:sz w:val="16"/>
          <w:lang w:val="ru-RU"/>
        </w:rPr>
        <w:t>принципите, определени на международно ниво от Организацията за икономическо сътрудничество и развитие.</w:t>
      </w:r>
    </w:p>
  </w:footnote>
  <w:footnote w:id="18">
    <w:p w:rsidR="00450368" w:rsidRDefault="006B55A0">
      <w:pPr>
        <w:pStyle w:val="FootnoteText"/>
        <w:spacing w:after="0"/>
        <w:ind w:left="0" w:firstLine="0"/>
        <w:rPr>
          <w:sz w:val="16"/>
          <w:szCs w:val="16"/>
          <w:lang w:val="ru-RU"/>
        </w:rPr>
      </w:pPr>
      <w:r>
        <w:rPr>
          <w:rStyle w:val="FootnoteReference"/>
          <w:sz w:val="16"/>
        </w:rPr>
        <w:footnoteRef/>
      </w:r>
      <w:r>
        <w:rPr>
          <w:sz w:val="16"/>
          <w:lang w:val="ru-RU"/>
        </w:rPr>
        <w:t xml:space="preserve"> </w:t>
      </w:r>
      <w:r>
        <w:rPr>
          <w:sz w:val="16"/>
          <w:lang w:val="pt-PT"/>
        </w:rPr>
        <w:t>EURL</w:t>
      </w:r>
      <w:r>
        <w:rPr>
          <w:sz w:val="16"/>
          <w:lang w:val="ru-RU"/>
        </w:rPr>
        <w:t>-</w:t>
      </w:r>
      <w:r>
        <w:rPr>
          <w:sz w:val="16"/>
          <w:lang w:val="pt-PT"/>
        </w:rPr>
        <w:t>ECVAM</w:t>
      </w:r>
      <w:r>
        <w:rPr>
          <w:sz w:val="16"/>
          <w:lang w:val="ru-RU"/>
        </w:rPr>
        <w:t xml:space="preserve"> е част от Съвместния изследователски център (</w:t>
      </w:r>
      <w:r>
        <w:rPr>
          <w:sz w:val="16"/>
          <w:lang w:val="pt-PT"/>
        </w:rPr>
        <w:t>JRC</w:t>
      </w:r>
      <w:r>
        <w:rPr>
          <w:sz w:val="16"/>
          <w:lang w:val="ru-RU"/>
        </w:rPr>
        <w:t>), Института за защита на здравето и потребителите (</w:t>
      </w:r>
      <w:r>
        <w:rPr>
          <w:sz w:val="16"/>
          <w:lang w:val="pt-PT"/>
        </w:rPr>
        <w:t>IHCP</w:t>
      </w:r>
      <w:r>
        <w:rPr>
          <w:sz w:val="16"/>
          <w:lang w:val="ru-RU"/>
        </w:rPr>
        <w:t>) към Европейската комисия и се нам</w:t>
      </w:r>
      <w:r>
        <w:rPr>
          <w:sz w:val="16"/>
          <w:lang w:val="ru-RU"/>
        </w:rPr>
        <w:t>ира в Испра, Италия.</w:t>
      </w:r>
    </w:p>
  </w:footnote>
  <w:footnote w:id="19">
    <w:p w:rsidR="00450368" w:rsidRDefault="006B55A0">
      <w:pPr>
        <w:pStyle w:val="FootnoteText"/>
        <w:spacing w:after="0"/>
        <w:ind w:left="0" w:firstLine="0"/>
        <w:jc w:val="left"/>
        <w:rPr>
          <w:rStyle w:val="Hyperlink"/>
          <w:sz w:val="16"/>
          <w:szCs w:val="16"/>
          <w:lang w:val="ru-RU"/>
        </w:rPr>
      </w:pPr>
      <w:r>
        <w:rPr>
          <w:rStyle w:val="FootnoteReference"/>
          <w:sz w:val="16"/>
        </w:rPr>
        <w:footnoteRef/>
      </w:r>
      <w:r>
        <w:rPr>
          <w:sz w:val="16"/>
          <w:lang w:val="ru-RU"/>
        </w:rPr>
        <w:t xml:space="preserve">Мрежата </w:t>
      </w:r>
      <w:r>
        <w:rPr>
          <w:sz w:val="16"/>
          <w:lang w:val="pt-PT"/>
        </w:rPr>
        <w:t>PARERE</w:t>
      </w:r>
      <w:r>
        <w:rPr>
          <w:sz w:val="16"/>
          <w:lang w:val="ru-RU"/>
        </w:rPr>
        <w:t xml:space="preserve"> за предварителна оценка на регулаторната релевантност (</w:t>
      </w:r>
      <w:r>
        <w:rPr>
          <w:sz w:val="16"/>
          <w:lang w:val="pt-PT"/>
        </w:rPr>
        <w:t>PARERE</w:t>
      </w:r>
      <w:r>
        <w:rPr>
          <w:sz w:val="16"/>
          <w:lang w:val="ru-RU"/>
        </w:rPr>
        <w:t xml:space="preserve"> </w:t>
      </w:r>
      <w:r>
        <w:rPr>
          <w:sz w:val="16"/>
          <w:lang w:val="pt-PT"/>
        </w:rPr>
        <w:t>Network</w:t>
      </w:r>
      <w:r>
        <w:rPr>
          <w:sz w:val="16"/>
          <w:lang w:val="ru-RU"/>
        </w:rPr>
        <w:t xml:space="preserve"> — </w:t>
      </w:r>
      <w:r>
        <w:rPr>
          <w:i/>
          <w:sz w:val="16"/>
          <w:lang w:val="pt-PT"/>
        </w:rPr>
        <w:t>P</w:t>
      </w:r>
      <w:r>
        <w:rPr>
          <w:sz w:val="16"/>
          <w:lang w:val="pt-PT"/>
        </w:rPr>
        <w:t>reliminary</w:t>
      </w:r>
      <w:r>
        <w:rPr>
          <w:sz w:val="16"/>
          <w:lang w:val="ru-RU"/>
        </w:rPr>
        <w:t xml:space="preserve"> </w:t>
      </w:r>
      <w:r>
        <w:rPr>
          <w:i/>
          <w:sz w:val="16"/>
          <w:lang w:val="pt-PT"/>
        </w:rPr>
        <w:t>A</w:t>
      </w:r>
      <w:r>
        <w:rPr>
          <w:sz w:val="16"/>
          <w:lang w:val="pt-PT"/>
        </w:rPr>
        <w:t>ssessment</w:t>
      </w:r>
      <w:r>
        <w:rPr>
          <w:sz w:val="16"/>
          <w:lang w:val="ru-RU"/>
        </w:rPr>
        <w:t xml:space="preserve"> </w:t>
      </w:r>
      <w:r>
        <w:rPr>
          <w:sz w:val="16"/>
          <w:lang w:val="pt-PT"/>
        </w:rPr>
        <w:t>of</w:t>
      </w:r>
      <w:r>
        <w:rPr>
          <w:sz w:val="16"/>
          <w:lang w:val="ru-RU"/>
        </w:rPr>
        <w:t xml:space="preserve"> </w:t>
      </w:r>
      <w:r>
        <w:rPr>
          <w:i/>
          <w:sz w:val="16"/>
          <w:lang w:val="pt-PT"/>
        </w:rPr>
        <w:t>RE</w:t>
      </w:r>
      <w:r>
        <w:rPr>
          <w:sz w:val="16"/>
          <w:lang w:val="pt-PT"/>
        </w:rPr>
        <w:t>gulatory</w:t>
      </w:r>
      <w:r>
        <w:rPr>
          <w:sz w:val="16"/>
          <w:lang w:val="ru-RU"/>
        </w:rPr>
        <w:t xml:space="preserve"> </w:t>
      </w:r>
      <w:r>
        <w:rPr>
          <w:i/>
          <w:sz w:val="16"/>
          <w:lang w:val="pt-PT"/>
        </w:rPr>
        <w:t>RE</w:t>
      </w:r>
      <w:r>
        <w:rPr>
          <w:sz w:val="16"/>
          <w:lang w:val="pt-PT"/>
        </w:rPr>
        <w:t>levance</w:t>
      </w:r>
      <w:r>
        <w:rPr>
          <w:sz w:val="16"/>
          <w:lang w:val="ru-RU"/>
        </w:rPr>
        <w:t>) по член</w:t>
      </w:r>
      <w:r>
        <w:rPr>
          <w:sz w:val="16"/>
          <w:lang w:val="pt-PT"/>
        </w:rPr>
        <w:t> </w:t>
      </w:r>
      <w:r>
        <w:rPr>
          <w:sz w:val="16"/>
          <w:lang w:val="ru-RU"/>
        </w:rPr>
        <w:t>47, параграф</w:t>
      </w:r>
      <w:r>
        <w:rPr>
          <w:sz w:val="16"/>
          <w:lang w:val="pt-PT"/>
        </w:rPr>
        <w:t> </w:t>
      </w:r>
      <w:r>
        <w:rPr>
          <w:sz w:val="16"/>
          <w:lang w:val="ru-RU"/>
        </w:rPr>
        <w:t>5 от Директива</w:t>
      </w:r>
      <w:r>
        <w:rPr>
          <w:sz w:val="16"/>
          <w:lang w:val="pt-PT"/>
        </w:rPr>
        <w:t> </w:t>
      </w:r>
      <w:r>
        <w:rPr>
          <w:sz w:val="16"/>
          <w:lang w:val="ru-RU"/>
        </w:rPr>
        <w:t xml:space="preserve">2010/63/ЕС </w:t>
      </w:r>
      <w:hyperlink r:id="rId9">
        <w:r>
          <w:rPr>
            <w:rStyle w:val="Hyperlink"/>
            <w:sz w:val="16"/>
            <w:lang w:val="pt-PT"/>
          </w:rPr>
          <w:t>http</w:t>
        </w:r>
        <w:r>
          <w:rPr>
            <w:rStyle w:val="Hyperlink"/>
            <w:sz w:val="16"/>
            <w:lang w:val="ru-RU"/>
          </w:rPr>
          <w:t>://</w:t>
        </w:r>
        <w:r>
          <w:rPr>
            <w:rStyle w:val="Hyperlink"/>
            <w:sz w:val="16"/>
            <w:lang w:val="pt-PT"/>
          </w:rPr>
          <w:t>ec</w:t>
        </w:r>
        <w:r>
          <w:rPr>
            <w:rStyle w:val="Hyperlink"/>
            <w:sz w:val="16"/>
            <w:lang w:val="ru-RU"/>
          </w:rPr>
          <w:t>.</w:t>
        </w:r>
        <w:r>
          <w:rPr>
            <w:rStyle w:val="Hyperlink"/>
            <w:sz w:val="16"/>
            <w:lang w:val="pt-PT"/>
          </w:rPr>
          <w:t>europa</w:t>
        </w:r>
        <w:r>
          <w:rPr>
            <w:rStyle w:val="Hyperlink"/>
            <w:sz w:val="16"/>
            <w:lang w:val="ru-RU"/>
          </w:rPr>
          <w:t>.</w:t>
        </w:r>
        <w:r>
          <w:rPr>
            <w:rStyle w:val="Hyperlink"/>
            <w:sz w:val="16"/>
            <w:lang w:val="pt-PT"/>
          </w:rPr>
          <w:t>eu</w:t>
        </w:r>
        <w:r>
          <w:rPr>
            <w:rStyle w:val="Hyperlink"/>
            <w:sz w:val="16"/>
            <w:lang w:val="ru-RU"/>
          </w:rPr>
          <w:t>/</w:t>
        </w:r>
        <w:r>
          <w:rPr>
            <w:rStyle w:val="Hyperlink"/>
            <w:sz w:val="16"/>
            <w:lang w:val="pt-PT"/>
          </w:rPr>
          <w:t>environment</w:t>
        </w:r>
        <w:r>
          <w:rPr>
            <w:rStyle w:val="Hyperlink"/>
            <w:sz w:val="16"/>
            <w:lang w:val="ru-RU"/>
          </w:rPr>
          <w:t>/</w:t>
        </w:r>
        <w:r>
          <w:rPr>
            <w:rStyle w:val="Hyperlink"/>
            <w:sz w:val="16"/>
            <w:lang w:val="pt-PT"/>
          </w:rPr>
          <w:t>chemicals</w:t>
        </w:r>
        <w:r>
          <w:rPr>
            <w:rStyle w:val="Hyperlink"/>
            <w:sz w:val="16"/>
            <w:lang w:val="ru-RU"/>
          </w:rPr>
          <w:t>/</w:t>
        </w:r>
        <w:r>
          <w:rPr>
            <w:rStyle w:val="Hyperlink"/>
            <w:sz w:val="16"/>
            <w:lang w:val="pt-PT"/>
          </w:rPr>
          <w:t>lab</w:t>
        </w:r>
        <w:r>
          <w:rPr>
            <w:rStyle w:val="Hyperlink"/>
            <w:sz w:val="16"/>
            <w:lang w:val="ru-RU"/>
          </w:rPr>
          <w:t>_</w:t>
        </w:r>
        <w:r>
          <w:rPr>
            <w:rStyle w:val="Hyperlink"/>
            <w:sz w:val="16"/>
            <w:lang w:val="pt-PT"/>
          </w:rPr>
          <w:t>animals</w:t>
        </w:r>
        <w:r>
          <w:rPr>
            <w:rStyle w:val="Hyperlink"/>
            <w:sz w:val="16"/>
            <w:lang w:val="ru-RU"/>
          </w:rPr>
          <w:t>/</w:t>
        </w:r>
        <w:r>
          <w:rPr>
            <w:rStyle w:val="Hyperlink"/>
            <w:sz w:val="16"/>
            <w:lang w:val="pt-PT"/>
          </w:rPr>
          <w:t>parere</w:t>
        </w:r>
        <w:r>
          <w:rPr>
            <w:rStyle w:val="Hyperlink"/>
            <w:sz w:val="16"/>
            <w:lang w:val="ru-RU"/>
          </w:rPr>
          <w:t>_</w:t>
        </w:r>
        <w:r>
          <w:rPr>
            <w:rStyle w:val="Hyperlink"/>
            <w:sz w:val="16"/>
            <w:lang w:val="pt-PT"/>
          </w:rPr>
          <w:t>en</w:t>
        </w:r>
        <w:r>
          <w:rPr>
            <w:rStyle w:val="Hyperlink"/>
            <w:sz w:val="16"/>
            <w:lang w:val="ru-RU"/>
          </w:rPr>
          <w:t>.</w:t>
        </w:r>
        <w:r>
          <w:rPr>
            <w:rStyle w:val="Hyperlink"/>
            <w:sz w:val="16"/>
            <w:lang w:val="pt-PT"/>
          </w:rPr>
          <w:t>htm</w:t>
        </w:r>
      </w:hyperlink>
      <w:r>
        <w:rPr>
          <w:rStyle w:val="Hyperlink"/>
          <w:sz w:val="16"/>
          <w:lang w:val="ru-RU"/>
        </w:rPr>
        <w:t xml:space="preserve"> </w:t>
      </w:r>
    </w:p>
  </w:footnote>
  <w:footnote w:id="20">
    <w:p w:rsidR="00450368" w:rsidRDefault="006B55A0">
      <w:pPr>
        <w:pStyle w:val="FootnoteText"/>
        <w:spacing w:after="0"/>
        <w:ind w:left="0" w:firstLine="0"/>
        <w:rPr>
          <w:sz w:val="16"/>
          <w:szCs w:val="16"/>
          <w:lang w:val="ru-RU"/>
        </w:rPr>
      </w:pPr>
      <w:r>
        <w:rPr>
          <w:rStyle w:val="FootnoteReference"/>
          <w:sz w:val="16"/>
        </w:rPr>
        <w:footnoteRef/>
      </w:r>
      <w:r>
        <w:rPr>
          <w:sz w:val="16"/>
          <w:lang w:val="ru-RU"/>
        </w:rPr>
        <w:t xml:space="preserve"> </w:t>
      </w:r>
      <w:r>
        <w:rPr>
          <w:sz w:val="16"/>
          <w:lang w:val="pt-PT"/>
        </w:rPr>
        <w:t>EU</w:t>
      </w:r>
      <w:r>
        <w:rPr>
          <w:sz w:val="16"/>
          <w:lang w:val="ru-RU"/>
        </w:rPr>
        <w:t xml:space="preserve"> </w:t>
      </w:r>
      <w:r>
        <w:rPr>
          <w:sz w:val="16"/>
          <w:lang w:val="pt-PT"/>
        </w:rPr>
        <w:t>NETVAL</w:t>
      </w:r>
      <w:r>
        <w:rPr>
          <w:sz w:val="16"/>
          <w:lang w:val="ru-RU"/>
        </w:rPr>
        <w:t xml:space="preserve">: </w:t>
      </w:r>
      <w:hyperlink r:id="rId10">
        <w:r>
          <w:rPr>
            <w:rStyle w:val="Hyperlink"/>
            <w:sz w:val="16"/>
            <w:lang w:val="pt-PT"/>
          </w:rPr>
          <w:t>https</w:t>
        </w:r>
        <w:r>
          <w:rPr>
            <w:rStyle w:val="Hyperlink"/>
            <w:sz w:val="16"/>
            <w:lang w:val="ru-RU"/>
          </w:rPr>
          <w:t>://</w:t>
        </w:r>
        <w:r>
          <w:rPr>
            <w:rStyle w:val="Hyperlink"/>
            <w:sz w:val="16"/>
            <w:lang w:val="pt-PT"/>
          </w:rPr>
          <w:t>eurl</w:t>
        </w:r>
        <w:r>
          <w:rPr>
            <w:rStyle w:val="Hyperlink"/>
            <w:sz w:val="16"/>
            <w:lang w:val="ru-RU"/>
          </w:rPr>
          <w:t>-</w:t>
        </w:r>
        <w:r>
          <w:rPr>
            <w:rStyle w:val="Hyperlink"/>
            <w:sz w:val="16"/>
            <w:lang w:val="pt-PT"/>
          </w:rPr>
          <w:t>ecvam</w:t>
        </w:r>
        <w:r>
          <w:rPr>
            <w:rStyle w:val="Hyperlink"/>
            <w:sz w:val="16"/>
            <w:lang w:val="ru-RU"/>
          </w:rPr>
          <w:t>.</w:t>
        </w:r>
        <w:r>
          <w:rPr>
            <w:rStyle w:val="Hyperlink"/>
            <w:sz w:val="16"/>
            <w:lang w:val="pt-PT"/>
          </w:rPr>
          <w:t>jrc</w:t>
        </w:r>
        <w:r>
          <w:rPr>
            <w:rStyle w:val="Hyperlink"/>
            <w:sz w:val="16"/>
            <w:lang w:val="ru-RU"/>
          </w:rPr>
          <w:t>.</w:t>
        </w:r>
        <w:r>
          <w:rPr>
            <w:rStyle w:val="Hyperlink"/>
            <w:sz w:val="16"/>
            <w:lang w:val="pt-PT"/>
          </w:rPr>
          <w:t>e</w:t>
        </w:r>
        <w:r>
          <w:rPr>
            <w:rStyle w:val="Hyperlink"/>
            <w:sz w:val="16"/>
            <w:lang w:val="pt-PT"/>
          </w:rPr>
          <w:t>c</w:t>
        </w:r>
        <w:r>
          <w:rPr>
            <w:rStyle w:val="Hyperlink"/>
            <w:sz w:val="16"/>
            <w:lang w:val="ru-RU"/>
          </w:rPr>
          <w:t>.</w:t>
        </w:r>
        <w:r>
          <w:rPr>
            <w:rStyle w:val="Hyperlink"/>
            <w:sz w:val="16"/>
            <w:lang w:val="pt-PT"/>
          </w:rPr>
          <w:t>europa</w:t>
        </w:r>
        <w:r>
          <w:rPr>
            <w:rStyle w:val="Hyperlink"/>
            <w:sz w:val="16"/>
            <w:lang w:val="ru-RU"/>
          </w:rPr>
          <w:t>.</w:t>
        </w:r>
        <w:r>
          <w:rPr>
            <w:rStyle w:val="Hyperlink"/>
            <w:sz w:val="16"/>
            <w:lang w:val="pt-PT"/>
          </w:rPr>
          <w:t>eu</w:t>
        </w:r>
        <w:r>
          <w:rPr>
            <w:rStyle w:val="Hyperlink"/>
            <w:sz w:val="16"/>
            <w:lang w:val="ru-RU"/>
          </w:rPr>
          <w:t>/</w:t>
        </w:r>
        <w:r>
          <w:rPr>
            <w:rStyle w:val="Hyperlink"/>
            <w:sz w:val="16"/>
            <w:lang w:val="pt-PT"/>
          </w:rPr>
          <w:t>eu</w:t>
        </w:r>
        <w:r>
          <w:rPr>
            <w:rStyle w:val="Hyperlink"/>
            <w:sz w:val="16"/>
            <w:lang w:val="ru-RU"/>
          </w:rPr>
          <w:t>-</w:t>
        </w:r>
        <w:r>
          <w:rPr>
            <w:rStyle w:val="Hyperlink"/>
            <w:sz w:val="16"/>
            <w:lang w:val="pt-PT"/>
          </w:rPr>
          <w:t>netval</w:t>
        </w:r>
      </w:hyperlink>
      <w:r>
        <w:rPr>
          <w:rStyle w:val="Hyperlink"/>
          <w:sz w:val="16"/>
          <w:lang w:val="ru-RU"/>
        </w:rPr>
        <w:t xml:space="preserve"> </w:t>
      </w:r>
    </w:p>
  </w:footnote>
  <w:footnote w:id="21">
    <w:p w:rsidR="00450368" w:rsidRDefault="006B55A0">
      <w:pPr>
        <w:pStyle w:val="FootnoteText"/>
        <w:spacing w:after="0"/>
        <w:ind w:left="0" w:firstLine="0"/>
        <w:rPr>
          <w:sz w:val="16"/>
          <w:szCs w:val="16"/>
          <w:lang w:val="ru-RU"/>
        </w:rPr>
      </w:pPr>
      <w:r>
        <w:rPr>
          <w:rStyle w:val="FootnoteReference"/>
          <w:sz w:val="16"/>
        </w:rPr>
        <w:footnoteRef/>
      </w:r>
      <w:r>
        <w:rPr>
          <w:rStyle w:val="Hyperlink"/>
          <w:sz w:val="16"/>
          <w:lang w:val="ru-RU"/>
        </w:rPr>
        <w:t xml:space="preserve"> </w:t>
      </w:r>
      <w:hyperlink r:id="rId11">
        <w:r>
          <w:rPr>
            <w:rStyle w:val="Hyperlink"/>
            <w:sz w:val="16"/>
            <w:lang w:val="pt-PT"/>
          </w:rPr>
          <w:t>http</w:t>
        </w:r>
        <w:r>
          <w:rPr>
            <w:rStyle w:val="Hyperlink"/>
            <w:sz w:val="16"/>
            <w:lang w:val="ru-RU"/>
          </w:rPr>
          <w:t>://</w:t>
        </w:r>
        <w:r>
          <w:rPr>
            <w:rStyle w:val="Hyperlink"/>
            <w:sz w:val="16"/>
            <w:lang w:val="pt-PT"/>
          </w:rPr>
          <w:t>www</w:t>
        </w:r>
        <w:r>
          <w:rPr>
            <w:rStyle w:val="Hyperlink"/>
            <w:sz w:val="16"/>
            <w:lang w:val="ru-RU"/>
          </w:rPr>
          <w:t>.</w:t>
        </w:r>
        <w:r>
          <w:rPr>
            <w:rStyle w:val="Hyperlink"/>
            <w:sz w:val="16"/>
            <w:lang w:val="pt-PT"/>
          </w:rPr>
          <w:t>imi</w:t>
        </w:r>
        <w:r>
          <w:rPr>
            <w:rStyle w:val="Hyperlink"/>
            <w:sz w:val="16"/>
            <w:lang w:val="ru-RU"/>
          </w:rPr>
          <w:t>.</w:t>
        </w:r>
        <w:r>
          <w:rPr>
            <w:rStyle w:val="Hyperlink"/>
            <w:sz w:val="16"/>
            <w:lang w:val="pt-PT"/>
          </w:rPr>
          <w:t>europa</w:t>
        </w:r>
        <w:r>
          <w:rPr>
            <w:rStyle w:val="Hyperlink"/>
            <w:sz w:val="16"/>
            <w:lang w:val="ru-RU"/>
          </w:rPr>
          <w:t>.</w:t>
        </w:r>
        <w:r>
          <w:rPr>
            <w:rStyle w:val="Hyperlink"/>
            <w:sz w:val="16"/>
            <w:lang w:val="pt-PT"/>
          </w:rPr>
          <w:t>eu</w:t>
        </w:r>
        <w:r>
          <w:rPr>
            <w:rStyle w:val="Hyperlink"/>
            <w:sz w:val="16"/>
            <w:lang w:val="ru-RU"/>
          </w:rPr>
          <w:t>/</w:t>
        </w:r>
        <w:r>
          <w:rPr>
            <w:rStyle w:val="Hyperlink"/>
            <w:sz w:val="16"/>
            <w:lang w:val="pt-PT"/>
          </w:rPr>
          <w:t>sites</w:t>
        </w:r>
        <w:r>
          <w:rPr>
            <w:rStyle w:val="Hyperlink"/>
            <w:sz w:val="16"/>
            <w:lang w:val="ru-RU"/>
          </w:rPr>
          <w:t>/</w:t>
        </w:r>
        <w:r>
          <w:rPr>
            <w:rStyle w:val="Hyperlink"/>
            <w:sz w:val="16"/>
            <w:lang w:val="pt-PT"/>
          </w:rPr>
          <w:t>default</w:t>
        </w:r>
        <w:r>
          <w:rPr>
            <w:rStyle w:val="Hyperlink"/>
            <w:sz w:val="16"/>
            <w:lang w:val="ru-RU"/>
          </w:rPr>
          <w:t>/</w:t>
        </w:r>
        <w:r>
          <w:rPr>
            <w:rStyle w:val="Hyperlink"/>
            <w:sz w:val="16"/>
            <w:lang w:val="pt-PT"/>
          </w:rPr>
          <w:t>files</w:t>
        </w:r>
        <w:r>
          <w:rPr>
            <w:rStyle w:val="Hyperlink"/>
            <w:sz w:val="16"/>
            <w:lang w:val="ru-RU"/>
          </w:rPr>
          <w:t>/</w:t>
        </w:r>
        <w:r>
          <w:rPr>
            <w:rStyle w:val="Hyperlink"/>
            <w:sz w:val="16"/>
            <w:lang w:val="pt-PT"/>
          </w:rPr>
          <w:t>uploads</w:t>
        </w:r>
        <w:r>
          <w:rPr>
            <w:rStyle w:val="Hyperlink"/>
            <w:sz w:val="16"/>
            <w:lang w:val="ru-RU"/>
          </w:rPr>
          <w:t>/</w:t>
        </w:r>
        <w:r>
          <w:rPr>
            <w:rStyle w:val="Hyperlink"/>
            <w:sz w:val="16"/>
            <w:lang w:val="pt-PT"/>
          </w:rPr>
          <w:t>documents</w:t>
        </w:r>
        <w:r>
          <w:rPr>
            <w:rStyle w:val="Hyperlink"/>
            <w:sz w:val="16"/>
            <w:lang w:val="ru-RU"/>
          </w:rPr>
          <w:t>/</w:t>
        </w:r>
        <w:r>
          <w:rPr>
            <w:rStyle w:val="Hyperlink"/>
            <w:sz w:val="16"/>
            <w:lang w:val="pt-PT"/>
          </w:rPr>
          <w:t>IMI</w:t>
        </w:r>
        <w:r>
          <w:rPr>
            <w:rStyle w:val="Hyperlink"/>
            <w:sz w:val="16"/>
            <w:lang w:val="ru-RU"/>
          </w:rPr>
          <w:t>2</w:t>
        </w:r>
        <w:r>
          <w:rPr>
            <w:rStyle w:val="Hyperlink"/>
            <w:sz w:val="16"/>
            <w:lang w:val="pt-PT"/>
          </w:rPr>
          <w:t>Call</w:t>
        </w:r>
        <w:r>
          <w:rPr>
            <w:rStyle w:val="Hyperlink"/>
            <w:sz w:val="16"/>
            <w:lang w:val="ru-RU"/>
          </w:rPr>
          <w:t>3/</w:t>
        </w:r>
        <w:r>
          <w:rPr>
            <w:rStyle w:val="Hyperlink"/>
            <w:sz w:val="16"/>
            <w:lang w:val="pt-PT"/>
          </w:rPr>
          <w:t>IMI</w:t>
        </w:r>
        <w:r>
          <w:rPr>
            <w:rStyle w:val="Hyperlink"/>
            <w:sz w:val="16"/>
            <w:lang w:val="ru-RU"/>
          </w:rPr>
          <w:t>2</w:t>
        </w:r>
        <w:r>
          <w:rPr>
            <w:rStyle w:val="Hyperlink"/>
            <w:sz w:val="16"/>
            <w:lang w:val="pt-PT"/>
          </w:rPr>
          <w:t>Call</w:t>
        </w:r>
        <w:r>
          <w:rPr>
            <w:rStyle w:val="Hyperlink"/>
            <w:sz w:val="16"/>
            <w:lang w:val="ru-RU"/>
          </w:rPr>
          <w:t>3_</w:t>
        </w:r>
        <w:r>
          <w:rPr>
            <w:rStyle w:val="Hyperlink"/>
            <w:sz w:val="16"/>
            <w:lang w:val="pt-PT"/>
          </w:rPr>
          <w:t>TopicTextWebFINAL</w:t>
        </w:r>
        <w:r>
          <w:rPr>
            <w:rStyle w:val="Hyperlink"/>
            <w:sz w:val="16"/>
            <w:lang w:val="ru-RU"/>
          </w:rPr>
          <w:t>.</w:t>
        </w:r>
        <w:r>
          <w:rPr>
            <w:rStyle w:val="Hyperlink"/>
            <w:sz w:val="16"/>
            <w:lang w:val="pt-PT"/>
          </w:rPr>
          <w:t>pdf</w:t>
        </w:r>
      </w:hyperlink>
      <w:r>
        <w:rPr>
          <w:rStyle w:val="Hyperlink"/>
          <w:sz w:val="16"/>
          <w:lang w:val="ru-RU"/>
        </w:rPr>
        <w:t xml:space="preserve"> </w:t>
      </w:r>
    </w:p>
  </w:footnote>
  <w:footnote w:id="22">
    <w:p w:rsidR="00450368" w:rsidRDefault="006B55A0">
      <w:pPr>
        <w:pStyle w:val="FootnoteText"/>
        <w:spacing w:after="0"/>
        <w:ind w:left="0" w:firstLine="0"/>
        <w:rPr>
          <w:sz w:val="16"/>
          <w:szCs w:val="16"/>
          <w:lang w:val="ru-RU"/>
        </w:rPr>
      </w:pPr>
      <w:r>
        <w:rPr>
          <w:rStyle w:val="FootnoteReference"/>
          <w:sz w:val="16"/>
        </w:rPr>
        <w:footnoteRef/>
      </w:r>
      <w:r>
        <w:rPr>
          <w:sz w:val="16"/>
          <w:lang w:val="ru-RU"/>
        </w:rPr>
        <w:t xml:space="preserve"> </w:t>
      </w:r>
      <w:hyperlink r:id="rId12">
        <w:r>
          <w:rPr>
            <w:rStyle w:val="Hyperlink"/>
            <w:sz w:val="16"/>
            <w:lang w:val="pt-PT"/>
          </w:rPr>
          <w:t>https</w:t>
        </w:r>
        <w:r>
          <w:rPr>
            <w:rStyle w:val="Hyperlink"/>
            <w:sz w:val="16"/>
            <w:lang w:val="ru-RU"/>
          </w:rPr>
          <w:t>://</w:t>
        </w:r>
        <w:r>
          <w:rPr>
            <w:rStyle w:val="Hyperlink"/>
            <w:sz w:val="16"/>
            <w:lang w:val="pt-PT"/>
          </w:rPr>
          <w:t>eurl</w:t>
        </w:r>
        <w:r>
          <w:rPr>
            <w:rStyle w:val="Hyperlink"/>
            <w:sz w:val="16"/>
            <w:lang w:val="ru-RU"/>
          </w:rPr>
          <w:t>-</w:t>
        </w:r>
        <w:r>
          <w:rPr>
            <w:rStyle w:val="Hyperlink"/>
            <w:sz w:val="16"/>
            <w:lang w:val="pt-PT"/>
          </w:rPr>
          <w:t>ecvam</w:t>
        </w:r>
        <w:r>
          <w:rPr>
            <w:rStyle w:val="Hyperlink"/>
            <w:sz w:val="16"/>
            <w:lang w:val="ru-RU"/>
          </w:rPr>
          <w:t>.</w:t>
        </w:r>
        <w:r>
          <w:rPr>
            <w:rStyle w:val="Hyperlink"/>
            <w:sz w:val="16"/>
            <w:lang w:val="pt-PT"/>
          </w:rPr>
          <w:t>jrc</w:t>
        </w:r>
        <w:r>
          <w:rPr>
            <w:rStyle w:val="Hyperlink"/>
            <w:sz w:val="16"/>
            <w:lang w:val="ru-RU"/>
          </w:rPr>
          <w:t>.</w:t>
        </w:r>
        <w:r>
          <w:rPr>
            <w:rStyle w:val="Hyperlink"/>
            <w:sz w:val="16"/>
            <w:lang w:val="pt-PT"/>
          </w:rPr>
          <w:t>ec</w:t>
        </w:r>
        <w:r>
          <w:rPr>
            <w:rStyle w:val="Hyperlink"/>
            <w:sz w:val="16"/>
            <w:lang w:val="ru-RU"/>
          </w:rPr>
          <w:t>.</w:t>
        </w:r>
        <w:r>
          <w:rPr>
            <w:rStyle w:val="Hyperlink"/>
            <w:sz w:val="16"/>
            <w:lang w:val="pt-PT"/>
          </w:rPr>
          <w:t>europa</w:t>
        </w:r>
        <w:r>
          <w:rPr>
            <w:rStyle w:val="Hyperlink"/>
            <w:sz w:val="16"/>
            <w:lang w:val="ru-RU"/>
          </w:rPr>
          <w:t>.</w:t>
        </w:r>
        <w:r>
          <w:rPr>
            <w:rStyle w:val="Hyperlink"/>
            <w:sz w:val="16"/>
            <w:lang w:val="pt-PT"/>
          </w:rPr>
          <w:t>eu</w:t>
        </w:r>
        <w:r>
          <w:rPr>
            <w:rStyle w:val="Hyperlink"/>
            <w:sz w:val="16"/>
            <w:lang w:val="ru-RU"/>
          </w:rPr>
          <w:t>/</w:t>
        </w:r>
        <w:r>
          <w:rPr>
            <w:rStyle w:val="Hyperlink"/>
            <w:sz w:val="16"/>
            <w:lang w:val="pt-PT"/>
          </w:rPr>
          <w:t>eurl</w:t>
        </w:r>
        <w:r>
          <w:rPr>
            <w:rStyle w:val="Hyperlink"/>
            <w:sz w:val="16"/>
            <w:lang w:val="ru-RU"/>
          </w:rPr>
          <w:t>-</w:t>
        </w:r>
        <w:r>
          <w:rPr>
            <w:rStyle w:val="Hyperlink"/>
            <w:sz w:val="16"/>
            <w:lang w:val="pt-PT"/>
          </w:rPr>
          <w:t>ecvam</w:t>
        </w:r>
        <w:r>
          <w:rPr>
            <w:rStyle w:val="Hyperlink"/>
            <w:sz w:val="16"/>
            <w:lang w:val="ru-RU"/>
          </w:rPr>
          <w:t>-</w:t>
        </w:r>
        <w:r>
          <w:rPr>
            <w:rStyle w:val="Hyperlink"/>
            <w:sz w:val="16"/>
            <w:lang w:val="pt-PT"/>
          </w:rPr>
          <w:t>strategy</w:t>
        </w:r>
        <w:r>
          <w:rPr>
            <w:rStyle w:val="Hyperlink"/>
            <w:sz w:val="16"/>
            <w:lang w:val="ru-RU"/>
          </w:rPr>
          <w:t>-</w:t>
        </w:r>
        <w:r>
          <w:rPr>
            <w:rStyle w:val="Hyperlink"/>
            <w:sz w:val="16"/>
            <w:lang w:val="pt-PT"/>
          </w:rPr>
          <w:t>papers</w:t>
        </w:r>
      </w:hyperlink>
      <w:r>
        <w:rPr>
          <w:rStyle w:val="Hyperlink"/>
          <w:sz w:val="16"/>
          <w:lang w:val="ru-RU"/>
        </w:rPr>
        <w:t xml:space="preserve"> </w:t>
      </w:r>
    </w:p>
  </w:footnote>
  <w:footnote w:id="23">
    <w:p w:rsidR="00450368" w:rsidRDefault="006B55A0">
      <w:pPr>
        <w:pStyle w:val="FootnoteText"/>
        <w:spacing w:after="0"/>
        <w:rPr>
          <w:sz w:val="16"/>
          <w:szCs w:val="16"/>
          <w:lang w:val="ru-RU"/>
        </w:rPr>
      </w:pPr>
      <w:r>
        <w:rPr>
          <w:rStyle w:val="FootnoteReference"/>
          <w:sz w:val="16"/>
        </w:rPr>
        <w:footnoteRef/>
      </w:r>
      <w:r>
        <w:rPr>
          <w:sz w:val="16"/>
          <w:lang w:val="ru-RU"/>
        </w:rPr>
        <w:t xml:space="preserve"> </w:t>
      </w:r>
      <w:r>
        <w:rPr>
          <w:lang w:val="ru-RU"/>
        </w:rPr>
        <w:t>Регламент</w:t>
      </w:r>
      <w:r>
        <w:rPr>
          <w:sz w:val="16"/>
          <w:lang w:val="pt-PT"/>
        </w:rPr>
        <w:t> </w:t>
      </w:r>
      <w:r>
        <w:rPr>
          <w:sz w:val="16"/>
          <w:lang w:val="ru-RU"/>
        </w:rPr>
        <w:t>(ЕО)</w:t>
      </w:r>
      <w:r>
        <w:rPr>
          <w:sz w:val="16"/>
          <w:lang w:val="pt-PT"/>
        </w:rPr>
        <w:t> </w:t>
      </w:r>
      <w:r>
        <w:rPr>
          <w:sz w:val="16"/>
          <w:lang w:val="ru-RU"/>
        </w:rPr>
        <w:t>№</w:t>
      </w:r>
      <w:r>
        <w:rPr>
          <w:sz w:val="16"/>
          <w:lang w:val="pt-PT"/>
        </w:rPr>
        <w:t> </w:t>
      </w:r>
      <w:r>
        <w:rPr>
          <w:sz w:val="16"/>
          <w:lang w:val="ru-RU"/>
        </w:rPr>
        <w:t>440/2008 за определяне на методи за изпитване в съответствие с Регламент</w:t>
      </w:r>
      <w:r>
        <w:rPr>
          <w:sz w:val="16"/>
          <w:lang w:val="pt-PT"/>
        </w:rPr>
        <w:t> </w:t>
      </w:r>
      <w:r>
        <w:rPr>
          <w:sz w:val="16"/>
          <w:lang w:val="ru-RU"/>
        </w:rPr>
        <w:t>(ЕО)</w:t>
      </w:r>
      <w:r>
        <w:rPr>
          <w:sz w:val="16"/>
          <w:lang w:val="pt-PT"/>
        </w:rPr>
        <w:t> </w:t>
      </w:r>
      <w:r>
        <w:rPr>
          <w:sz w:val="16"/>
          <w:lang w:val="ru-RU"/>
        </w:rPr>
        <w:t>№</w:t>
      </w:r>
      <w:r>
        <w:rPr>
          <w:sz w:val="16"/>
          <w:lang w:val="pt-PT"/>
        </w:rPr>
        <w:t> </w:t>
      </w:r>
      <w:r>
        <w:rPr>
          <w:sz w:val="16"/>
          <w:lang w:val="ru-RU"/>
        </w:rPr>
        <w:t>1907/2007</w:t>
      </w:r>
      <w:r>
        <w:rPr>
          <w:sz w:val="16"/>
          <w:lang w:val="pt-PT"/>
        </w:rPr>
        <w:t> </w:t>
      </w:r>
      <w:r>
        <w:rPr>
          <w:sz w:val="16"/>
          <w:lang w:val="ru-RU"/>
        </w:rPr>
        <w:t>(</w:t>
      </w:r>
      <w:r>
        <w:rPr>
          <w:sz w:val="16"/>
          <w:lang w:val="pt-PT"/>
        </w:rPr>
        <w:t>REACH</w:t>
      </w:r>
      <w:r>
        <w:rPr>
          <w:sz w:val="16"/>
          <w:lang w:val="ru-RU"/>
        </w:rPr>
        <w:t>)</w:t>
      </w:r>
      <w:r>
        <w:rPr>
          <w:lang w:val="ru-RU"/>
        </w:rPr>
        <w:t xml:space="preserve">. </w:t>
      </w:r>
      <w:r>
        <w:rPr>
          <w:sz w:val="16"/>
          <w:lang w:val="pt-PT"/>
        </w:rPr>
        <w:t>O</w:t>
      </w:r>
      <w:r>
        <w:rPr>
          <w:sz w:val="16"/>
          <w:lang w:val="ru-RU"/>
        </w:rPr>
        <w:t>В</w:t>
      </w:r>
      <w:r>
        <w:rPr>
          <w:sz w:val="16"/>
          <w:lang w:val="pt-PT"/>
        </w:rPr>
        <w:t> L </w:t>
      </w:r>
      <w:r>
        <w:rPr>
          <w:sz w:val="16"/>
          <w:lang w:val="ru-RU"/>
        </w:rPr>
        <w:t>142:1—739.</w:t>
      </w:r>
    </w:p>
  </w:footnote>
  <w:footnote w:id="24">
    <w:p w:rsidR="00450368" w:rsidRDefault="006B55A0">
      <w:pPr>
        <w:pStyle w:val="FootnoteText"/>
        <w:spacing w:after="0"/>
        <w:ind w:left="0" w:firstLine="0"/>
        <w:jc w:val="left"/>
        <w:rPr>
          <w:sz w:val="16"/>
          <w:szCs w:val="16"/>
          <w:lang w:val="ru-RU"/>
        </w:rPr>
      </w:pPr>
      <w:r>
        <w:rPr>
          <w:rStyle w:val="FootnoteReference"/>
          <w:sz w:val="16"/>
        </w:rPr>
        <w:footnoteRef/>
      </w:r>
      <w:r>
        <w:rPr>
          <w:sz w:val="16"/>
          <w:lang w:val="ru-RU"/>
        </w:rPr>
        <w:t xml:space="preserve">  Доклад за състоянието от </w:t>
      </w:r>
      <w:r>
        <w:rPr>
          <w:sz w:val="16"/>
          <w:lang w:val="pt-PT"/>
        </w:rPr>
        <w:t>EURL</w:t>
      </w:r>
      <w:r>
        <w:rPr>
          <w:sz w:val="16"/>
          <w:lang w:val="ru-RU"/>
        </w:rPr>
        <w:t xml:space="preserve"> </w:t>
      </w:r>
      <w:r>
        <w:rPr>
          <w:sz w:val="16"/>
          <w:lang w:val="pt-PT"/>
        </w:rPr>
        <w:t>ECVAM</w:t>
      </w:r>
      <w:r>
        <w:rPr>
          <w:sz w:val="16"/>
          <w:lang w:val="ru-RU"/>
        </w:rPr>
        <w:t xml:space="preserve"> относно разработването, валидирането и регулаторното приемане на алтернативни методи и подходи (2013</w:t>
      </w:r>
      <w:r>
        <w:rPr>
          <w:sz w:val="16"/>
          <w:lang w:val="pt-PT"/>
        </w:rPr>
        <w:t> </w:t>
      </w:r>
      <w:r>
        <w:rPr>
          <w:sz w:val="16"/>
          <w:lang w:val="ru-RU"/>
        </w:rPr>
        <w:t>г.</w:t>
      </w:r>
      <w:r>
        <w:rPr>
          <w:sz w:val="16"/>
          <w:lang w:val="pt-PT"/>
        </w:rPr>
        <w:t> </w:t>
      </w:r>
      <w:r>
        <w:rPr>
          <w:sz w:val="16"/>
          <w:lang w:val="ru-RU"/>
        </w:rPr>
        <w:t>—</w:t>
      </w:r>
      <w:r>
        <w:rPr>
          <w:sz w:val="16"/>
          <w:lang w:val="pt-PT"/>
        </w:rPr>
        <w:t> </w:t>
      </w:r>
      <w:r>
        <w:rPr>
          <w:sz w:val="16"/>
          <w:lang w:val="ru-RU"/>
        </w:rPr>
        <w:t>април</w:t>
      </w:r>
      <w:r>
        <w:rPr>
          <w:sz w:val="16"/>
          <w:lang w:val="pt-PT"/>
        </w:rPr>
        <w:t> </w:t>
      </w:r>
      <w:r>
        <w:rPr>
          <w:sz w:val="16"/>
          <w:lang w:val="ru-RU"/>
        </w:rPr>
        <w:t>2014</w:t>
      </w:r>
      <w:r>
        <w:rPr>
          <w:sz w:val="16"/>
          <w:lang w:val="pt-PT"/>
        </w:rPr>
        <w:t> </w:t>
      </w:r>
      <w:r>
        <w:rPr>
          <w:sz w:val="16"/>
          <w:lang w:val="ru-RU"/>
        </w:rPr>
        <w:t>г.). Доклад на Съвместния изследователски център (</w:t>
      </w:r>
      <w:r>
        <w:rPr>
          <w:sz w:val="16"/>
          <w:lang w:val="pt-PT"/>
        </w:rPr>
        <w:t>JRC</w:t>
      </w:r>
      <w:r>
        <w:rPr>
          <w:sz w:val="16"/>
          <w:lang w:val="ru-RU"/>
        </w:rPr>
        <w:t xml:space="preserve">) </w:t>
      </w:r>
      <w:r>
        <w:rPr>
          <w:sz w:val="16"/>
          <w:lang w:val="pt-PT"/>
        </w:rPr>
        <w:t>EUR </w:t>
      </w:r>
      <w:r>
        <w:rPr>
          <w:sz w:val="16"/>
          <w:lang w:val="ru-RU"/>
        </w:rPr>
        <w:t>26702</w:t>
      </w:r>
      <w:r>
        <w:rPr>
          <w:sz w:val="16"/>
          <w:lang w:val="pt-PT"/>
        </w:rPr>
        <w:t> EN</w:t>
      </w:r>
      <w:r>
        <w:rPr>
          <w:sz w:val="16"/>
          <w:lang w:val="ru-RU"/>
        </w:rPr>
        <w:t xml:space="preserve">. </w:t>
      </w:r>
      <w:hyperlink r:id="rId13">
        <w:r>
          <w:rPr>
            <w:rStyle w:val="Hyperlink"/>
            <w:sz w:val="16"/>
            <w:lang w:val="pt-PT"/>
          </w:rPr>
          <w:t>http</w:t>
        </w:r>
        <w:r>
          <w:rPr>
            <w:rStyle w:val="Hyperlink"/>
            <w:sz w:val="16"/>
            <w:lang w:val="ru-RU"/>
          </w:rPr>
          <w:t>://</w:t>
        </w:r>
        <w:r>
          <w:rPr>
            <w:rStyle w:val="Hyperlink"/>
            <w:sz w:val="16"/>
            <w:lang w:val="pt-PT"/>
          </w:rPr>
          <w:t>publications</w:t>
        </w:r>
        <w:r>
          <w:rPr>
            <w:rStyle w:val="Hyperlink"/>
            <w:sz w:val="16"/>
            <w:lang w:val="ru-RU"/>
          </w:rPr>
          <w:t>.</w:t>
        </w:r>
        <w:r>
          <w:rPr>
            <w:rStyle w:val="Hyperlink"/>
            <w:sz w:val="16"/>
            <w:lang w:val="pt-PT"/>
          </w:rPr>
          <w:t>jrc</w:t>
        </w:r>
        <w:r>
          <w:rPr>
            <w:rStyle w:val="Hyperlink"/>
            <w:sz w:val="16"/>
            <w:lang w:val="ru-RU"/>
          </w:rPr>
          <w:t>.</w:t>
        </w:r>
        <w:r>
          <w:rPr>
            <w:rStyle w:val="Hyperlink"/>
            <w:sz w:val="16"/>
            <w:lang w:val="pt-PT"/>
          </w:rPr>
          <w:t>ec</w:t>
        </w:r>
        <w:r>
          <w:rPr>
            <w:rStyle w:val="Hyperlink"/>
            <w:sz w:val="16"/>
            <w:lang w:val="ru-RU"/>
          </w:rPr>
          <w:t>.</w:t>
        </w:r>
        <w:r>
          <w:rPr>
            <w:rStyle w:val="Hyperlink"/>
            <w:sz w:val="16"/>
            <w:lang w:val="pt-PT"/>
          </w:rPr>
          <w:t>europa</w:t>
        </w:r>
        <w:r>
          <w:rPr>
            <w:rStyle w:val="Hyperlink"/>
            <w:sz w:val="16"/>
            <w:lang w:val="ru-RU"/>
          </w:rPr>
          <w:t>.</w:t>
        </w:r>
        <w:r>
          <w:rPr>
            <w:rStyle w:val="Hyperlink"/>
            <w:sz w:val="16"/>
            <w:lang w:val="pt-PT"/>
          </w:rPr>
          <w:t>eu</w:t>
        </w:r>
        <w:r>
          <w:rPr>
            <w:rStyle w:val="Hyperlink"/>
            <w:sz w:val="16"/>
            <w:lang w:val="ru-RU"/>
          </w:rPr>
          <w:t>/</w:t>
        </w:r>
        <w:r>
          <w:rPr>
            <w:rStyle w:val="Hyperlink"/>
            <w:sz w:val="16"/>
            <w:lang w:val="pt-PT"/>
          </w:rPr>
          <w:t>repository</w:t>
        </w:r>
        <w:r>
          <w:rPr>
            <w:rStyle w:val="Hyperlink"/>
            <w:sz w:val="16"/>
            <w:lang w:val="ru-RU"/>
          </w:rPr>
          <w:t>/</w:t>
        </w:r>
        <w:r>
          <w:rPr>
            <w:rStyle w:val="Hyperlink"/>
            <w:sz w:val="16"/>
            <w:lang w:val="pt-PT"/>
          </w:rPr>
          <w:t>handle</w:t>
        </w:r>
        <w:r>
          <w:rPr>
            <w:rStyle w:val="Hyperlink"/>
            <w:sz w:val="16"/>
            <w:lang w:val="ru-RU"/>
          </w:rPr>
          <w:t>/</w:t>
        </w:r>
        <w:r>
          <w:rPr>
            <w:rStyle w:val="Hyperlink"/>
            <w:sz w:val="16"/>
            <w:lang w:val="pt-PT"/>
          </w:rPr>
          <w:t>JRC</w:t>
        </w:r>
        <w:r>
          <w:rPr>
            <w:rStyle w:val="Hyperlink"/>
            <w:sz w:val="16"/>
            <w:lang w:val="ru-RU"/>
          </w:rPr>
          <w:t>90989</w:t>
        </w:r>
      </w:hyperlink>
      <w:r>
        <w:rPr>
          <w:rStyle w:val="HTMLCode"/>
          <w:rFonts w:ascii="Times New Roman" w:hAnsi="Times New Roman"/>
          <w:color w:val="auto"/>
          <w:sz w:val="16"/>
          <w:lang w:val="ru-RU"/>
        </w:rPr>
        <w:t xml:space="preserve"> </w:t>
      </w:r>
    </w:p>
    <w:p w:rsidR="00450368" w:rsidRDefault="006B55A0">
      <w:pPr>
        <w:pStyle w:val="FootnoteText"/>
        <w:spacing w:after="0"/>
        <w:ind w:left="0" w:firstLine="0"/>
        <w:jc w:val="left"/>
        <w:rPr>
          <w:sz w:val="16"/>
          <w:szCs w:val="16"/>
          <w:lang w:val="ru-RU"/>
        </w:rPr>
      </w:pPr>
      <w:r>
        <w:rPr>
          <w:sz w:val="16"/>
          <w:lang w:val="ru-RU"/>
        </w:rPr>
        <w:t>Алтернативни методи за регулаторна токсикология —</w:t>
      </w:r>
      <w:r>
        <w:rPr>
          <w:sz w:val="16"/>
          <w:lang w:val="pt-PT"/>
        </w:rPr>
        <w:t> </w:t>
      </w:r>
      <w:r>
        <w:rPr>
          <w:sz w:val="16"/>
          <w:lang w:val="ru-RU"/>
        </w:rPr>
        <w:t>преглед на състоянието. Доклад на Съвместния изследователски</w:t>
      </w:r>
      <w:r>
        <w:rPr>
          <w:sz w:val="16"/>
          <w:lang w:val="ru-RU"/>
        </w:rPr>
        <w:t xml:space="preserve"> център (</w:t>
      </w:r>
      <w:r>
        <w:rPr>
          <w:sz w:val="16"/>
          <w:lang w:val="pt-PT"/>
        </w:rPr>
        <w:t>JRC</w:t>
      </w:r>
      <w:r>
        <w:rPr>
          <w:sz w:val="16"/>
          <w:lang w:val="ru-RU"/>
        </w:rPr>
        <w:t xml:space="preserve">) </w:t>
      </w:r>
      <w:r>
        <w:rPr>
          <w:sz w:val="16"/>
          <w:lang w:val="pt-PT"/>
        </w:rPr>
        <w:t>EUR </w:t>
      </w:r>
      <w:r>
        <w:rPr>
          <w:sz w:val="16"/>
          <w:lang w:val="ru-RU"/>
        </w:rPr>
        <w:t>26797</w:t>
      </w:r>
      <w:r>
        <w:rPr>
          <w:sz w:val="16"/>
          <w:lang w:val="pt-PT"/>
        </w:rPr>
        <w:t> EN</w:t>
      </w:r>
      <w:r>
        <w:rPr>
          <w:sz w:val="16"/>
          <w:lang w:val="ru-RU"/>
        </w:rPr>
        <w:t xml:space="preserve">. </w:t>
      </w:r>
      <w:hyperlink r:id="rId14">
        <w:r>
          <w:rPr>
            <w:rStyle w:val="Hyperlink"/>
            <w:sz w:val="16"/>
            <w:lang w:val="pt-PT"/>
          </w:rPr>
          <w:t>http</w:t>
        </w:r>
        <w:r>
          <w:rPr>
            <w:rStyle w:val="Hyperlink"/>
            <w:sz w:val="16"/>
            <w:lang w:val="ru-RU"/>
          </w:rPr>
          <w:t>://</w:t>
        </w:r>
        <w:r>
          <w:rPr>
            <w:rStyle w:val="Hyperlink"/>
            <w:sz w:val="16"/>
            <w:lang w:val="pt-PT"/>
          </w:rPr>
          <w:t>publications</w:t>
        </w:r>
        <w:r>
          <w:rPr>
            <w:rStyle w:val="Hyperlink"/>
            <w:sz w:val="16"/>
            <w:lang w:val="ru-RU"/>
          </w:rPr>
          <w:t>.</w:t>
        </w:r>
        <w:r>
          <w:rPr>
            <w:rStyle w:val="Hyperlink"/>
            <w:sz w:val="16"/>
            <w:lang w:val="pt-PT"/>
          </w:rPr>
          <w:t>jrc</w:t>
        </w:r>
        <w:r>
          <w:rPr>
            <w:rStyle w:val="Hyperlink"/>
            <w:sz w:val="16"/>
            <w:lang w:val="ru-RU"/>
          </w:rPr>
          <w:t>.</w:t>
        </w:r>
        <w:r>
          <w:rPr>
            <w:rStyle w:val="Hyperlink"/>
            <w:sz w:val="16"/>
            <w:lang w:val="pt-PT"/>
          </w:rPr>
          <w:t>ec</w:t>
        </w:r>
        <w:r>
          <w:rPr>
            <w:rStyle w:val="Hyperlink"/>
            <w:sz w:val="16"/>
            <w:lang w:val="ru-RU"/>
          </w:rPr>
          <w:t>.</w:t>
        </w:r>
        <w:r>
          <w:rPr>
            <w:rStyle w:val="Hyperlink"/>
            <w:sz w:val="16"/>
            <w:lang w:val="pt-PT"/>
          </w:rPr>
          <w:t>europa</w:t>
        </w:r>
        <w:r>
          <w:rPr>
            <w:rStyle w:val="Hyperlink"/>
            <w:sz w:val="16"/>
            <w:lang w:val="ru-RU"/>
          </w:rPr>
          <w:t>.</w:t>
        </w:r>
        <w:r>
          <w:rPr>
            <w:rStyle w:val="Hyperlink"/>
            <w:sz w:val="16"/>
            <w:lang w:val="pt-PT"/>
          </w:rPr>
          <w:t>eu</w:t>
        </w:r>
        <w:r>
          <w:rPr>
            <w:rStyle w:val="Hyperlink"/>
            <w:sz w:val="16"/>
            <w:lang w:val="ru-RU"/>
          </w:rPr>
          <w:t>/</w:t>
        </w:r>
        <w:r>
          <w:rPr>
            <w:rStyle w:val="Hyperlink"/>
            <w:sz w:val="16"/>
            <w:lang w:val="pt-PT"/>
          </w:rPr>
          <w:t>repository</w:t>
        </w:r>
        <w:r>
          <w:rPr>
            <w:rStyle w:val="Hyperlink"/>
            <w:sz w:val="16"/>
            <w:lang w:val="ru-RU"/>
          </w:rPr>
          <w:t>/</w:t>
        </w:r>
        <w:r>
          <w:rPr>
            <w:rStyle w:val="Hyperlink"/>
            <w:sz w:val="16"/>
            <w:lang w:val="pt-PT"/>
          </w:rPr>
          <w:t>handle</w:t>
        </w:r>
        <w:r>
          <w:rPr>
            <w:rStyle w:val="Hyperlink"/>
            <w:sz w:val="16"/>
            <w:lang w:val="ru-RU"/>
          </w:rPr>
          <w:t>/</w:t>
        </w:r>
        <w:r>
          <w:rPr>
            <w:rStyle w:val="Hyperlink"/>
            <w:sz w:val="16"/>
            <w:lang w:val="pt-PT"/>
          </w:rPr>
          <w:t>JRC</w:t>
        </w:r>
        <w:r>
          <w:rPr>
            <w:rStyle w:val="Hyperlink"/>
            <w:sz w:val="16"/>
            <w:lang w:val="ru-RU"/>
          </w:rPr>
          <w:t>91361</w:t>
        </w:r>
      </w:hyperlink>
      <w:r>
        <w:rPr>
          <w:rStyle w:val="HTMLCode"/>
          <w:rFonts w:ascii="Times New Roman" w:hAnsi="Times New Roman"/>
          <w:color w:val="auto"/>
          <w:sz w:val="16"/>
          <w:lang w:val="ru-RU"/>
        </w:rPr>
        <w:t xml:space="preserve"> </w:t>
      </w:r>
    </w:p>
  </w:footnote>
  <w:footnote w:id="25">
    <w:p w:rsidR="00450368" w:rsidRDefault="006B55A0">
      <w:pPr>
        <w:pStyle w:val="FootnoteText"/>
        <w:spacing w:after="0"/>
        <w:rPr>
          <w:sz w:val="16"/>
          <w:szCs w:val="16"/>
          <w:lang w:val="ru-RU"/>
        </w:rPr>
      </w:pPr>
      <w:r>
        <w:rPr>
          <w:rStyle w:val="FootnoteReference"/>
          <w:sz w:val="16"/>
        </w:rPr>
        <w:footnoteRef/>
      </w:r>
      <w:r>
        <w:rPr>
          <w:sz w:val="16"/>
          <w:lang w:val="ru-RU"/>
        </w:rPr>
        <w:t xml:space="preserve"> </w:t>
      </w:r>
      <w:hyperlink r:id="rId15">
        <w:r>
          <w:rPr>
            <w:rStyle w:val="Hyperlink"/>
            <w:sz w:val="16"/>
            <w:lang w:val="pt-PT"/>
          </w:rPr>
          <w:t>http</w:t>
        </w:r>
        <w:r>
          <w:rPr>
            <w:rStyle w:val="Hyperlink"/>
            <w:sz w:val="16"/>
            <w:lang w:val="ru-RU"/>
          </w:rPr>
          <w:t>://</w:t>
        </w:r>
        <w:r>
          <w:rPr>
            <w:rStyle w:val="Hyperlink"/>
            <w:sz w:val="16"/>
            <w:lang w:val="pt-PT"/>
          </w:rPr>
          <w:t>ec</w:t>
        </w:r>
        <w:r>
          <w:rPr>
            <w:rStyle w:val="Hyperlink"/>
            <w:sz w:val="16"/>
            <w:lang w:val="pt-PT"/>
          </w:rPr>
          <w:t>ha</w:t>
        </w:r>
        <w:r>
          <w:rPr>
            <w:rStyle w:val="Hyperlink"/>
            <w:sz w:val="16"/>
            <w:lang w:val="ru-RU"/>
          </w:rPr>
          <w:t>.</w:t>
        </w:r>
        <w:r>
          <w:rPr>
            <w:rStyle w:val="Hyperlink"/>
            <w:sz w:val="16"/>
            <w:lang w:val="pt-PT"/>
          </w:rPr>
          <w:t>europa</w:t>
        </w:r>
        <w:r>
          <w:rPr>
            <w:rStyle w:val="Hyperlink"/>
            <w:sz w:val="16"/>
            <w:lang w:val="ru-RU"/>
          </w:rPr>
          <w:t>.</w:t>
        </w:r>
        <w:r>
          <w:rPr>
            <w:rStyle w:val="Hyperlink"/>
            <w:sz w:val="16"/>
            <w:lang w:val="pt-PT"/>
          </w:rPr>
          <w:t>eu</w:t>
        </w:r>
        <w:r>
          <w:rPr>
            <w:rStyle w:val="Hyperlink"/>
            <w:sz w:val="16"/>
            <w:lang w:val="ru-RU"/>
          </w:rPr>
          <w:t>/</w:t>
        </w:r>
        <w:r>
          <w:rPr>
            <w:rStyle w:val="Hyperlink"/>
            <w:sz w:val="16"/>
            <w:lang w:val="pt-PT"/>
          </w:rPr>
          <w:t>support</w:t>
        </w:r>
        <w:r>
          <w:rPr>
            <w:rStyle w:val="Hyperlink"/>
            <w:sz w:val="16"/>
            <w:lang w:val="ru-RU"/>
          </w:rPr>
          <w:t>/</w:t>
        </w:r>
        <w:r>
          <w:rPr>
            <w:rStyle w:val="Hyperlink"/>
            <w:sz w:val="16"/>
            <w:lang w:val="pt-PT"/>
          </w:rPr>
          <w:t>information</w:t>
        </w:r>
        <w:r>
          <w:rPr>
            <w:rStyle w:val="Hyperlink"/>
            <w:sz w:val="16"/>
            <w:lang w:val="ru-RU"/>
          </w:rPr>
          <w:t>-</w:t>
        </w:r>
        <w:r>
          <w:rPr>
            <w:rStyle w:val="Hyperlink"/>
            <w:sz w:val="16"/>
            <w:lang w:val="pt-PT"/>
          </w:rPr>
          <w:t>toolkit</w:t>
        </w:r>
      </w:hyperlink>
    </w:p>
  </w:footnote>
  <w:footnote w:id="26">
    <w:p w:rsidR="00450368" w:rsidRDefault="006B55A0">
      <w:pPr>
        <w:pStyle w:val="FootnoteText"/>
        <w:spacing w:after="0"/>
        <w:ind w:left="0" w:firstLine="0"/>
        <w:rPr>
          <w:sz w:val="16"/>
          <w:szCs w:val="16"/>
          <w:lang w:val="ru-RU"/>
        </w:rPr>
      </w:pPr>
      <w:r>
        <w:rPr>
          <w:rStyle w:val="FootnoteReference"/>
          <w:sz w:val="16"/>
        </w:rPr>
        <w:footnoteRef/>
      </w:r>
      <w:r>
        <w:rPr>
          <w:sz w:val="16"/>
          <w:lang w:val="ru-RU"/>
        </w:rPr>
        <w:t xml:space="preserve"> </w:t>
      </w:r>
      <w:r>
        <w:rPr>
          <w:sz w:val="16"/>
          <w:lang w:val="pt-PT"/>
        </w:rPr>
        <w:t>ICH</w:t>
      </w:r>
      <w:r>
        <w:rPr>
          <w:sz w:val="16"/>
          <w:lang w:val="ru-RU"/>
        </w:rPr>
        <w:t xml:space="preserve"> — </w:t>
      </w:r>
      <w:r>
        <w:rPr>
          <w:color w:val="444444"/>
          <w:sz w:val="16"/>
          <w:lang w:val="ru-RU"/>
        </w:rPr>
        <w:t xml:space="preserve">Международна конференция по хармонизация на техническите изисквания при регистриране на лекарствени продукти за хуманна употреба </w:t>
      </w:r>
      <w:hyperlink r:id="rId16">
        <w:r>
          <w:rPr>
            <w:rStyle w:val="Hyperlink"/>
            <w:sz w:val="16"/>
            <w:lang w:val="pt-PT"/>
          </w:rPr>
          <w:t>http</w:t>
        </w:r>
        <w:r>
          <w:rPr>
            <w:rStyle w:val="Hyperlink"/>
            <w:sz w:val="16"/>
            <w:lang w:val="ru-RU"/>
          </w:rPr>
          <w:t>://</w:t>
        </w:r>
        <w:r>
          <w:rPr>
            <w:rStyle w:val="Hyperlink"/>
            <w:sz w:val="16"/>
            <w:lang w:val="pt-PT"/>
          </w:rPr>
          <w:t>www</w:t>
        </w:r>
        <w:r>
          <w:rPr>
            <w:rStyle w:val="Hyperlink"/>
            <w:sz w:val="16"/>
            <w:lang w:val="ru-RU"/>
          </w:rPr>
          <w:t>.</w:t>
        </w:r>
        <w:r>
          <w:rPr>
            <w:rStyle w:val="Hyperlink"/>
            <w:sz w:val="16"/>
            <w:lang w:val="pt-PT"/>
          </w:rPr>
          <w:t>ich</w:t>
        </w:r>
        <w:r>
          <w:rPr>
            <w:rStyle w:val="Hyperlink"/>
            <w:sz w:val="16"/>
            <w:lang w:val="ru-RU"/>
          </w:rPr>
          <w:t>.</w:t>
        </w:r>
        <w:r>
          <w:rPr>
            <w:rStyle w:val="Hyperlink"/>
            <w:sz w:val="16"/>
            <w:lang w:val="pt-PT"/>
          </w:rPr>
          <w:t>org</w:t>
        </w:r>
        <w:r>
          <w:rPr>
            <w:rStyle w:val="Hyperlink"/>
            <w:sz w:val="16"/>
            <w:lang w:val="ru-RU"/>
          </w:rPr>
          <w:t>/</w:t>
        </w:r>
        <w:r>
          <w:rPr>
            <w:rStyle w:val="Hyperlink"/>
            <w:sz w:val="16"/>
            <w:lang w:val="pt-PT"/>
          </w:rPr>
          <w:t>home</w:t>
        </w:r>
        <w:r>
          <w:rPr>
            <w:rStyle w:val="Hyperlink"/>
            <w:sz w:val="16"/>
            <w:lang w:val="ru-RU"/>
          </w:rPr>
          <w:t>.</w:t>
        </w:r>
        <w:r>
          <w:rPr>
            <w:rStyle w:val="Hyperlink"/>
            <w:sz w:val="16"/>
            <w:lang w:val="pt-PT"/>
          </w:rPr>
          <w:t>html</w:t>
        </w:r>
      </w:hyperlink>
      <w:r>
        <w:rPr>
          <w:rStyle w:val="Hyperlink"/>
          <w:sz w:val="16"/>
          <w:lang w:val="ru-RU"/>
        </w:rPr>
        <w:t xml:space="preserve"> </w:t>
      </w:r>
    </w:p>
  </w:footnote>
  <w:footnote w:id="27">
    <w:p w:rsidR="00450368" w:rsidRDefault="006B55A0">
      <w:pPr>
        <w:pStyle w:val="FootnoteText"/>
        <w:spacing w:after="0"/>
        <w:ind w:left="0" w:firstLine="0"/>
        <w:rPr>
          <w:sz w:val="16"/>
          <w:szCs w:val="16"/>
        </w:rPr>
      </w:pPr>
      <w:r>
        <w:rPr>
          <w:rStyle w:val="FootnoteReference"/>
          <w:sz w:val="16"/>
        </w:rPr>
        <w:footnoteRef/>
      </w:r>
      <w:r>
        <w:rPr>
          <w:sz w:val="16"/>
          <w:lang w:val="ru-RU"/>
        </w:rPr>
        <w:t xml:space="preserve"> </w:t>
      </w:r>
      <w:r>
        <w:rPr>
          <w:sz w:val="16"/>
          <w:lang w:val="pt-PT"/>
        </w:rPr>
        <w:t>VICH</w:t>
      </w:r>
      <w:r>
        <w:rPr>
          <w:sz w:val="16"/>
          <w:lang w:val="ru-RU"/>
        </w:rPr>
        <w:t xml:space="preserve"> - </w:t>
      </w:r>
      <w:r>
        <w:rPr>
          <w:color w:val="333333"/>
          <w:sz w:val="16"/>
          <w:lang w:val="ru-RU"/>
        </w:rPr>
        <w:t xml:space="preserve">Програма за международно сътрудничество за хармонизизация на техническите изисквания при регистриране на </w:t>
      </w:r>
      <w:r>
        <w:rPr>
          <w:sz w:val="16"/>
          <w:lang w:val="ru-RU"/>
        </w:rPr>
        <w:t>ветеринарно медицински продукти.</w:t>
      </w:r>
      <w:r>
        <w:rPr>
          <w:color w:val="333333"/>
          <w:sz w:val="16"/>
          <w:lang w:val="ru-RU"/>
        </w:rPr>
        <w:t xml:space="preserve"> </w:t>
      </w:r>
      <w:hyperlink r:id="rId17">
        <w:r>
          <w:rPr>
            <w:rStyle w:val="Hyperlink"/>
            <w:sz w:val="16"/>
          </w:rPr>
          <w:t>http://www.vichsec.org/</w:t>
        </w:r>
      </w:hyperlink>
      <w:r>
        <w:rPr>
          <w:rStyle w:val="Hyperlink"/>
          <w:sz w:val="16"/>
        </w:rPr>
        <w:t xml:space="preserve"> </w:t>
      </w:r>
    </w:p>
  </w:footnote>
  <w:footnote w:id="28">
    <w:p w:rsidR="00450368" w:rsidRDefault="006B55A0">
      <w:pPr>
        <w:pStyle w:val="FootnoteText"/>
        <w:spacing w:after="0"/>
        <w:jc w:val="left"/>
        <w:rPr>
          <w:sz w:val="16"/>
          <w:szCs w:val="16"/>
        </w:rPr>
      </w:pPr>
      <w:r>
        <w:rPr>
          <w:rStyle w:val="FootnoteReference"/>
          <w:sz w:val="16"/>
        </w:rPr>
        <w:footnoteRef/>
      </w:r>
      <w:r>
        <w:rPr>
          <w:sz w:val="16"/>
        </w:rPr>
        <w:t xml:space="preserve"> http://www.efsa.europa.eu/en/topics/top</w:t>
      </w:r>
      <w:r>
        <w:rPr>
          <w:sz w:val="16"/>
        </w:rPr>
        <w:t xml:space="preserve">ic/animalwelfare.htm  </w:t>
      </w:r>
    </w:p>
  </w:footnote>
  <w:footnote w:id="29">
    <w:p w:rsidR="00450368" w:rsidRDefault="006B55A0">
      <w:pPr>
        <w:pStyle w:val="FootnoteText"/>
        <w:spacing w:after="0"/>
        <w:jc w:val="left"/>
        <w:rPr>
          <w:color w:val="0000FF"/>
          <w:sz w:val="16"/>
          <w:szCs w:val="16"/>
          <w:u w:val="single"/>
          <w:lang w:val="ru-RU"/>
        </w:rPr>
      </w:pPr>
      <w:r>
        <w:rPr>
          <w:rStyle w:val="FootnoteReference"/>
          <w:sz w:val="16"/>
        </w:rPr>
        <w:footnoteRef/>
      </w:r>
      <w:r>
        <w:rPr>
          <w:sz w:val="16"/>
          <w:lang w:val="ru-RU"/>
        </w:rPr>
        <w:t xml:space="preserve"> Становища на Европейския орган за безопасност на храните (ЕОБХ):</w:t>
      </w:r>
      <w:r>
        <w:rPr>
          <w:sz w:val="16"/>
          <w:szCs w:val="16"/>
          <w:lang w:val="ru-RU"/>
        </w:rPr>
        <w:br/>
      </w:r>
      <w:r>
        <w:rPr>
          <w:sz w:val="16"/>
          <w:lang w:val="ru-RU"/>
        </w:rPr>
        <w:t>Бюлетин на ЕОБХ (</w:t>
      </w:r>
      <w:r>
        <w:rPr>
          <w:sz w:val="16"/>
        </w:rPr>
        <w:t>EFSA</w:t>
      </w:r>
      <w:r>
        <w:rPr>
          <w:sz w:val="16"/>
          <w:lang w:val="ru-RU"/>
        </w:rPr>
        <w:t xml:space="preserve"> </w:t>
      </w:r>
      <w:r>
        <w:rPr>
          <w:sz w:val="16"/>
        </w:rPr>
        <w:t>Journal</w:t>
      </w:r>
      <w:r>
        <w:rPr>
          <w:sz w:val="16"/>
          <w:lang w:val="ru-RU"/>
        </w:rPr>
        <w:t>) 2012; 10(6):2767.</w:t>
      </w:r>
      <w:r>
        <w:rPr>
          <w:sz w:val="16"/>
        </w:rPr>
        <w:t> </w:t>
      </w:r>
      <w:r>
        <w:rPr>
          <w:sz w:val="16"/>
          <w:lang w:val="ru-RU"/>
        </w:rPr>
        <w:t xml:space="preserve"> </w:t>
      </w:r>
      <w:hyperlink r:id="rId18">
        <w:r>
          <w:rPr>
            <w:rStyle w:val="Hyperlink"/>
            <w:sz w:val="16"/>
          </w:rPr>
          <w:t>http://www.efsa.europa.eu/it/efsajournal/do</w:t>
        </w:r>
        <w:r>
          <w:rPr>
            <w:rStyle w:val="Hyperlink"/>
            <w:sz w:val="16"/>
          </w:rPr>
          <w:t>c/2767.pdf</w:t>
        </w:r>
      </w:hyperlink>
      <w:r>
        <w:rPr>
          <w:rStyle w:val="Hyperlink"/>
          <w:sz w:val="16"/>
        </w:rPr>
        <w:t>;</w:t>
      </w:r>
      <w:r>
        <w:rPr>
          <w:rStyle w:val="Hyperlink"/>
          <w:sz w:val="16"/>
          <w:szCs w:val="16"/>
        </w:rPr>
        <w:br/>
      </w:r>
      <w:r>
        <w:rPr>
          <w:sz w:val="16"/>
        </w:rPr>
        <w:t xml:space="preserve">Бюлетин на ЕОБХ (EFSA Journal) (2009) 1052, 1-77.  </w:t>
      </w:r>
      <w:hyperlink r:id="rId19">
        <w:r>
          <w:rPr>
            <w:rStyle w:val="Hyperlink"/>
            <w:sz w:val="16"/>
          </w:rPr>
          <w:t>http://www.efsa.europa.eu/en/efsajournal/pub/2760.htm</w:t>
        </w:r>
      </w:hyperlink>
      <w:r>
        <w:rPr>
          <w:rStyle w:val="Hyperlink"/>
          <w:sz w:val="16"/>
        </w:rPr>
        <w:t>;</w:t>
      </w:r>
      <w:r>
        <w:rPr>
          <w:rStyle w:val="Hyperlink"/>
          <w:sz w:val="16"/>
          <w:szCs w:val="16"/>
        </w:rPr>
        <w:br/>
      </w:r>
      <w:r>
        <w:rPr>
          <w:sz w:val="16"/>
        </w:rPr>
        <w:t xml:space="preserve">Бюлетин на ЕОБХ (EFSA Journal) (2005) 292, 1-46.  </w:t>
      </w:r>
      <w:hyperlink r:id="rId20">
        <w:r>
          <w:rPr>
            <w:rStyle w:val="Hyperlink"/>
            <w:sz w:val="16"/>
          </w:rPr>
          <w:t>http</w:t>
        </w:r>
        <w:r>
          <w:rPr>
            <w:rStyle w:val="Hyperlink"/>
            <w:sz w:val="16"/>
            <w:lang w:val="ru-RU"/>
          </w:rPr>
          <w:t>://</w:t>
        </w:r>
        <w:r>
          <w:rPr>
            <w:rStyle w:val="Hyperlink"/>
            <w:sz w:val="16"/>
          </w:rPr>
          <w:t>www</w:t>
        </w:r>
        <w:r>
          <w:rPr>
            <w:rStyle w:val="Hyperlink"/>
            <w:sz w:val="16"/>
            <w:lang w:val="ru-RU"/>
          </w:rPr>
          <w:t>.</w:t>
        </w:r>
        <w:r>
          <w:rPr>
            <w:rStyle w:val="Hyperlink"/>
            <w:sz w:val="16"/>
          </w:rPr>
          <w:t>efsa</w:t>
        </w:r>
        <w:r>
          <w:rPr>
            <w:rStyle w:val="Hyperlink"/>
            <w:sz w:val="16"/>
            <w:lang w:val="ru-RU"/>
          </w:rPr>
          <w:t>.</w:t>
        </w:r>
        <w:r>
          <w:rPr>
            <w:rStyle w:val="Hyperlink"/>
            <w:sz w:val="16"/>
          </w:rPr>
          <w:t>europa</w:t>
        </w:r>
        <w:r>
          <w:rPr>
            <w:rStyle w:val="Hyperlink"/>
            <w:sz w:val="16"/>
            <w:lang w:val="ru-RU"/>
          </w:rPr>
          <w:t>.</w:t>
        </w:r>
        <w:r>
          <w:rPr>
            <w:rStyle w:val="Hyperlink"/>
            <w:sz w:val="16"/>
          </w:rPr>
          <w:t>eu</w:t>
        </w:r>
        <w:r>
          <w:rPr>
            <w:rStyle w:val="Hyperlink"/>
            <w:sz w:val="16"/>
            <w:lang w:val="ru-RU"/>
          </w:rPr>
          <w:t>/</w:t>
        </w:r>
        <w:r>
          <w:rPr>
            <w:rStyle w:val="Hyperlink"/>
            <w:sz w:val="16"/>
          </w:rPr>
          <w:t>en</w:t>
        </w:r>
        <w:r>
          <w:rPr>
            <w:rStyle w:val="Hyperlink"/>
            <w:sz w:val="16"/>
            <w:lang w:val="ru-RU"/>
          </w:rPr>
          <w:t>/</w:t>
        </w:r>
        <w:r>
          <w:rPr>
            <w:rStyle w:val="Hyperlink"/>
            <w:sz w:val="16"/>
          </w:rPr>
          <w:t>efsajournal</w:t>
        </w:r>
        <w:r>
          <w:rPr>
            <w:rStyle w:val="Hyperlink"/>
            <w:sz w:val="16"/>
            <w:lang w:val="ru-RU"/>
          </w:rPr>
          <w:t>/</w:t>
        </w:r>
        <w:r>
          <w:rPr>
            <w:rStyle w:val="Hyperlink"/>
            <w:sz w:val="16"/>
          </w:rPr>
          <w:t>doc</w:t>
        </w:r>
        <w:r>
          <w:rPr>
            <w:rStyle w:val="Hyperlink"/>
            <w:sz w:val="16"/>
            <w:lang w:val="ru-RU"/>
          </w:rPr>
          <w:t>/292.</w:t>
        </w:r>
        <w:r>
          <w:rPr>
            <w:rStyle w:val="Hyperlink"/>
            <w:sz w:val="16"/>
          </w:rPr>
          <w:t>pdf</w:t>
        </w:r>
      </w:hyperlink>
      <w:r>
        <w:rPr>
          <w:rStyle w:val="Hyperlink"/>
          <w:sz w:val="16"/>
          <w:lang w:val="ru-RU"/>
        </w:rPr>
        <w:t xml:space="preserve">; </w:t>
      </w:r>
      <w:r>
        <w:rPr>
          <w:rStyle w:val="Hyperlink"/>
          <w:sz w:val="16"/>
          <w:szCs w:val="16"/>
          <w:lang w:val="ru-RU"/>
        </w:rPr>
        <w:br/>
      </w:r>
      <w:r>
        <w:rPr>
          <w:lang w:val="ru-RU"/>
        </w:rPr>
        <w:t>Бюлетин на ЕОБХ (</w:t>
      </w:r>
      <w:r>
        <w:rPr>
          <w:sz w:val="16"/>
        </w:rPr>
        <w:t>EFSA</w:t>
      </w:r>
      <w:r>
        <w:rPr>
          <w:sz w:val="16"/>
          <w:lang w:val="ru-RU"/>
        </w:rPr>
        <w:t xml:space="preserve"> </w:t>
      </w:r>
      <w:r>
        <w:rPr>
          <w:sz w:val="16"/>
        </w:rPr>
        <w:t>Journal</w:t>
      </w:r>
      <w:r>
        <w:rPr>
          <w:sz w:val="16"/>
          <w:lang w:val="ru-RU"/>
        </w:rPr>
        <w:t xml:space="preserve">) 2014;12(4):36384 </w:t>
      </w:r>
      <w:hyperlink r:id="rId21">
        <w:r>
          <w:rPr>
            <w:rStyle w:val="Hyperlink"/>
            <w:sz w:val="16"/>
          </w:rPr>
          <w:t>http</w:t>
        </w:r>
        <w:r>
          <w:rPr>
            <w:rStyle w:val="Hyperlink"/>
            <w:sz w:val="16"/>
            <w:lang w:val="ru-RU"/>
          </w:rPr>
          <w:t>://</w:t>
        </w:r>
        <w:r>
          <w:rPr>
            <w:rStyle w:val="Hyperlink"/>
            <w:sz w:val="16"/>
          </w:rPr>
          <w:t>www</w:t>
        </w:r>
        <w:r>
          <w:rPr>
            <w:rStyle w:val="Hyperlink"/>
            <w:sz w:val="16"/>
            <w:lang w:val="ru-RU"/>
          </w:rPr>
          <w:t>.</w:t>
        </w:r>
        <w:r>
          <w:rPr>
            <w:rStyle w:val="Hyperlink"/>
            <w:sz w:val="16"/>
          </w:rPr>
          <w:t>efsa</w:t>
        </w:r>
        <w:r>
          <w:rPr>
            <w:rStyle w:val="Hyperlink"/>
            <w:sz w:val="16"/>
            <w:lang w:val="ru-RU"/>
          </w:rPr>
          <w:t>.</w:t>
        </w:r>
        <w:r>
          <w:rPr>
            <w:rStyle w:val="Hyperlink"/>
            <w:sz w:val="16"/>
          </w:rPr>
          <w:t>europa</w:t>
        </w:r>
        <w:r>
          <w:rPr>
            <w:rStyle w:val="Hyperlink"/>
            <w:sz w:val="16"/>
            <w:lang w:val="ru-RU"/>
          </w:rPr>
          <w:t>.</w:t>
        </w:r>
        <w:r>
          <w:rPr>
            <w:rStyle w:val="Hyperlink"/>
            <w:sz w:val="16"/>
          </w:rPr>
          <w:t>eu</w:t>
        </w:r>
        <w:r>
          <w:rPr>
            <w:rStyle w:val="Hyperlink"/>
            <w:sz w:val="16"/>
            <w:lang w:val="ru-RU"/>
          </w:rPr>
          <w:t>/</w:t>
        </w:r>
        <w:r>
          <w:rPr>
            <w:rStyle w:val="Hyperlink"/>
            <w:sz w:val="16"/>
          </w:rPr>
          <w:t>it</w:t>
        </w:r>
        <w:r>
          <w:rPr>
            <w:rStyle w:val="Hyperlink"/>
            <w:sz w:val="16"/>
            <w:lang w:val="ru-RU"/>
          </w:rPr>
          <w:t>/</w:t>
        </w:r>
        <w:r>
          <w:rPr>
            <w:rStyle w:val="Hyperlink"/>
            <w:sz w:val="16"/>
          </w:rPr>
          <w:t>efsajournal</w:t>
        </w:r>
        <w:r>
          <w:rPr>
            <w:rStyle w:val="Hyperlink"/>
            <w:sz w:val="16"/>
            <w:lang w:val="ru-RU"/>
          </w:rPr>
          <w:t>/</w:t>
        </w:r>
        <w:r>
          <w:rPr>
            <w:rStyle w:val="Hyperlink"/>
            <w:sz w:val="16"/>
          </w:rPr>
          <w:t>pub</w:t>
        </w:r>
        <w:r>
          <w:rPr>
            <w:rStyle w:val="Hyperlink"/>
            <w:sz w:val="16"/>
            <w:lang w:val="ru-RU"/>
          </w:rPr>
          <w:t>/3638.</w:t>
        </w:r>
        <w:r>
          <w:rPr>
            <w:rStyle w:val="Hyperlink"/>
            <w:sz w:val="16"/>
          </w:rPr>
          <w:t>htm</w:t>
        </w:r>
      </w:hyperlink>
      <w:r>
        <w:rPr>
          <w:rStyle w:val="Hyperlink"/>
          <w:sz w:val="16"/>
          <w:lang w:val="ru-RU"/>
        </w:rPr>
        <w:t>.</w:t>
      </w:r>
    </w:p>
  </w:footnote>
  <w:footnote w:id="30">
    <w:p w:rsidR="00450368" w:rsidRDefault="006B55A0">
      <w:pPr>
        <w:autoSpaceDE w:val="0"/>
        <w:autoSpaceDN w:val="0"/>
        <w:adjustRightInd w:val="0"/>
        <w:spacing w:after="0"/>
        <w:jc w:val="left"/>
        <w:rPr>
          <w:sz w:val="16"/>
          <w:szCs w:val="16"/>
          <w:lang w:val="ru-RU"/>
        </w:rPr>
      </w:pPr>
      <w:r>
        <w:rPr>
          <w:rStyle w:val="FootnoteReference"/>
          <w:sz w:val="16"/>
        </w:rPr>
        <w:footnoteRef/>
      </w:r>
      <w:r>
        <w:rPr>
          <w:sz w:val="16"/>
          <w:lang w:val="ru-RU"/>
        </w:rPr>
        <w:t xml:space="preserve"> </w:t>
      </w:r>
      <w:hyperlink r:id="rId22">
        <w:r>
          <w:rPr>
            <w:rStyle w:val="Hyperlink"/>
            <w:sz w:val="16"/>
          </w:rPr>
          <w:t>http</w:t>
        </w:r>
        <w:r>
          <w:rPr>
            <w:rStyle w:val="Hyperlink"/>
            <w:sz w:val="16"/>
            <w:lang w:val="ru-RU"/>
          </w:rPr>
          <w:t>://</w:t>
        </w:r>
        <w:r>
          <w:rPr>
            <w:rStyle w:val="Hyperlink"/>
            <w:sz w:val="16"/>
          </w:rPr>
          <w:t>ec</w:t>
        </w:r>
        <w:r>
          <w:rPr>
            <w:rStyle w:val="Hyperlink"/>
            <w:sz w:val="16"/>
            <w:lang w:val="ru-RU"/>
          </w:rPr>
          <w:t>.</w:t>
        </w:r>
        <w:r>
          <w:rPr>
            <w:rStyle w:val="Hyperlink"/>
            <w:sz w:val="16"/>
          </w:rPr>
          <w:t>europa</w:t>
        </w:r>
        <w:r>
          <w:rPr>
            <w:rStyle w:val="Hyperlink"/>
            <w:sz w:val="16"/>
            <w:lang w:val="ru-RU"/>
          </w:rPr>
          <w:t>.</w:t>
        </w:r>
        <w:r>
          <w:rPr>
            <w:rStyle w:val="Hyperlink"/>
            <w:sz w:val="16"/>
          </w:rPr>
          <w:t>eu</w:t>
        </w:r>
        <w:r>
          <w:rPr>
            <w:rStyle w:val="Hyperlink"/>
            <w:sz w:val="16"/>
            <w:lang w:val="ru-RU"/>
          </w:rPr>
          <w:t>/</w:t>
        </w:r>
        <w:r>
          <w:rPr>
            <w:rStyle w:val="Hyperlink"/>
            <w:sz w:val="16"/>
          </w:rPr>
          <w:t>enterprise</w:t>
        </w:r>
        <w:r>
          <w:rPr>
            <w:rStyle w:val="Hyperlink"/>
            <w:sz w:val="16"/>
            <w:lang w:val="ru-RU"/>
          </w:rPr>
          <w:t>/</w:t>
        </w:r>
        <w:r>
          <w:rPr>
            <w:rStyle w:val="Hyperlink"/>
            <w:sz w:val="16"/>
          </w:rPr>
          <w:t>epaa</w:t>
        </w:r>
        <w:r>
          <w:rPr>
            <w:rStyle w:val="Hyperlink"/>
            <w:sz w:val="16"/>
            <w:lang w:val="ru-RU"/>
          </w:rPr>
          <w:t>/</w:t>
        </w:r>
        <w:r>
          <w:rPr>
            <w:rStyle w:val="Hyperlink"/>
            <w:sz w:val="16"/>
          </w:rPr>
          <w:t>index</w:t>
        </w:r>
        <w:r>
          <w:rPr>
            <w:rStyle w:val="Hyperlink"/>
            <w:sz w:val="16"/>
            <w:lang w:val="ru-RU"/>
          </w:rPr>
          <w:t>_</w:t>
        </w:r>
        <w:r>
          <w:rPr>
            <w:rStyle w:val="Hyperlink"/>
            <w:sz w:val="16"/>
          </w:rPr>
          <w:t>en</w:t>
        </w:r>
        <w:r>
          <w:rPr>
            <w:rStyle w:val="Hyperlink"/>
            <w:sz w:val="16"/>
            <w:lang w:val="ru-RU"/>
          </w:rPr>
          <w:t>.</w:t>
        </w:r>
        <w:r>
          <w:rPr>
            <w:rStyle w:val="Hyperlink"/>
            <w:sz w:val="16"/>
          </w:rPr>
          <w:t>htm</w:t>
        </w:r>
      </w:hyperlink>
    </w:p>
  </w:footnote>
  <w:footnote w:id="31">
    <w:p w:rsidR="00450368" w:rsidRPr="006B55A0" w:rsidRDefault="006B55A0">
      <w:pPr>
        <w:pStyle w:val="FootnoteText"/>
        <w:spacing w:after="0"/>
        <w:rPr>
          <w:sz w:val="16"/>
          <w:szCs w:val="16"/>
          <w:lang w:val="ru-RU"/>
        </w:rPr>
      </w:pPr>
      <w:r>
        <w:rPr>
          <w:rStyle w:val="FootnoteReference"/>
          <w:sz w:val="16"/>
        </w:rPr>
        <w:footnoteRef/>
      </w:r>
      <w:r w:rsidRPr="006B55A0">
        <w:rPr>
          <w:sz w:val="16"/>
          <w:lang w:val="ru-RU"/>
        </w:rPr>
        <w:t xml:space="preserve"> </w:t>
      </w:r>
      <w:hyperlink r:id="rId23">
        <w:r>
          <w:rPr>
            <w:rStyle w:val="Hyperlink"/>
            <w:sz w:val="16"/>
          </w:rPr>
          <w:t>http</w:t>
        </w:r>
        <w:r w:rsidRPr="006B55A0">
          <w:rPr>
            <w:rStyle w:val="Hyperlink"/>
            <w:sz w:val="16"/>
            <w:lang w:val="ru-RU"/>
          </w:rPr>
          <w:t>://</w:t>
        </w:r>
        <w:r>
          <w:rPr>
            <w:rStyle w:val="Hyperlink"/>
            <w:sz w:val="16"/>
          </w:rPr>
          <w:t>www</w:t>
        </w:r>
        <w:r w:rsidRPr="006B55A0">
          <w:rPr>
            <w:rStyle w:val="Hyperlink"/>
            <w:sz w:val="16"/>
            <w:lang w:val="ru-RU"/>
          </w:rPr>
          <w:t>.</w:t>
        </w:r>
        <w:r>
          <w:rPr>
            <w:rStyle w:val="Hyperlink"/>
            <w:sz w:val="16"/>
          </w:rPr>
          <w:t>iccrnet</w:t>
        </w:r>
        <w:r w:rsidRPr="006B55A0">
          <w:rPr>
            <w:rStyle w:val="Hyperlink"/>
            <w:sz w:val="16"/>
            <w:lang w:val="ru-RU"/>
          </w:rPr>
          <w:t>.</w:t>
        </w:r>
        <w:r>
          <w:rPr>
            <w:rStyle w:val="Hyperlink"/>
            <w:sz w:val="16"/>
          </w:rPr>
          <w:t>org</w:t>
        </w:r>
        <w:r w:rsidRPr="006B55A0">
          <w:rPr>
            <w:rStyle w:val="Hyperlink"/>
            <w:sz w:val="16"/>
            <w:lang w:val="ru-RU"/>
          </w:rPr>
          <w:t>/</w:t>
        </w:r>
      </w:hyperlink>
      <w:r w:rsidRPr="006B55A0">
        <w:rPr>
          <w:sz w:val="16"/>
          <w:lang w:val="ru-RU"/>
        </w:rPr>
        <w:t xml:space="preserve"> </w:t>
      </w:r>
    </w:p>
  </w:footnote>
  <w:footnote w:id="32">
    <w:p w:rsidR="00450368" w:rsidRDefault="006B55A0">
      <w:pPr>
        <w:pStyle w:val="FootnoteText"/>
        <w:spacing w:after="0"/>
        <w:ind w:left="0" w:firstLine="0"/>
        <w:rPr>
          <w:sz w:val="16"/>
          <w:szCs w:val="16"/>
          <w:lang w:val="ru-RU"/>
        </w:rPr>
      </w:pPr>
      <w:r>
        <w:rPr>
          <w:rStyle w:val="FootnoteReference"/>
          <w:sz w:val="16"/>
        </w:rPr>
        <w:footnoteRef/>
      </w:r>
      <w:r>
        <w:rPr>
          <w:sz w:val="16"/>
          <w:lang w:val="ru-RU"/>
        </w:rPr>
        <w:t xml:space="preserve"> Организаторите се позовават на проучване на общественото мнение от 2006</w:t>
      </w:r>
      <w:r>
        <w:rPr>
          <w:sz w:val="16"/>
        </w:rPr>
        <w:t> </w:t>
      </w:r>
      <w:r>
        <w:rPr>
          <w:sz w:val="16"/>
          <w:lang w:val="ru-RU"/>
        </w:rPr>
        <w:t>г. Комисията отбелязва, че в доклада от 2006</w:t>
      </w:r>
      <w:r>
        <w:rPr>
          <w:sz w:val="16"/>
        </w:rPr>
        <w:t> </w:t>
      </w:r>
      <w:r>
        <w:rPr>
          <w:sz w:val="16"/>
          <w:lang w:val="ru-RU"/>
        </w:rPr>
        <w:t>г. не са засегнати етични възгледи във връзка с опитите с животни.  В него са включени въпросите дали е необходимо да се стори нещо повече</w:t>
      </w:r>
      <w:r>
        <w:rPr>
          <w:sz w:val="16"/>
          <w:lang w:val="ru-RU"/>
        </w:rPr>
        <w:t xml:space="preserve"> за хуманното отношение към животните, които все още се използват, какви животни следва да бъдат използвани и какъв вид изследвания следва да бъдат разрешени. В това проучване на общественото мнение мнозинството от респондентите са подкрепили допълнителни </w:t>
      </w:r>
      <w:r>
        <w:rPr>
          <w:sz w:val="16"/>
          <w:lang w:val="ru-RU"/>
        </w:rPr>
        <w:t>мерки на равнището на ЕС за подобряване на хуманното отношение към животните. Отговорът на ЕС се изрази в подобряване на съответните съществуващи стандарти в ЕС посредством приемането на Директива</w:t>
      </w:r>
      <w:r>
        <w:rPr>
          <w:sz w:val="16"/>
        </w:rPr>
        <w:t> </w:t>
      </w:r>
      <w:r>
        <w:rPr>
          <w:sz w:val="16"/>
          <w:lang w:val="ru-RU"/>
        </w:rPr>
        <w:t>2010/63/ЕС.</w:t>
      </w:r>
    </w:p>
  </w:footnote>
  <w:footnote w:id="33">
    <w:p w:rsidR="00450368" w:rsidRDefault="006B55A0">
      <w:pPr>
        <w:shd w:val="clear" w:color="auto" w:fill="FFFFFF"/>
        <w:spacing w:after="0"/>
        <w:rPr>
          <w:sz w:val="16"/>
          <w:szCs w:val="16"/>
          <w:lang w:val="ru-RU"/>
        </w:rPr>
      </w:pPr>
      <w:r>
        <w:rPr>
          <w:rStyle w:val="FootnoteReference"/>
          <w:sz w:val="16"/>
        </w:rPr>
        <w:footnoteRef/>
      </w:r>
      <w:r>
        <w:rPr>
          <w:sz w:val="16"/>
          <w:lang w:val="ru-RU"/>
        </w:rPr>
        <w:t xml:space="preserve"> Примерите за лечебни методи, разработени благ</w:t>
      </w:r>
      <w:r>
        <w:rPr>
          <w:sz w:val="16"/>
          <w:lang w:val="ru-RU"/>
        </w:rPr>
        <w:t>одарение на проучвания върху животни, включват анестетичните медикаменти, ваксините, пеницилина, инсулина, техниките за сканиране като компютърната томография и ядрено-магнитен резонанс (ЯМР), противоастматични лекарствени препарати, присаждането на органи</w:t>
      </w:r>
      <w:r>
        <w:rPr>
          <w:sz w:val="16"/>
          <w:lang w:val="ru-RU"/>
        </w:rPr>
        <w:t xml:space="preserve"> и различни лечения за увеличение на процента на преживяване при болните от рак и СПИН. Допълнителна информация има на следния линк: </w:t>
      </w:r>
      <w:hyperlink r:id="rId24">
        <w:r>
          <w:rPr>
            <w:rStyle w:val="Hyperlink"/>
            <w:sz w:val="16"/>
          </w:rPr>
          <w:t>http</w:t>
        </w:r>
        <w:r>
          <w:rPr>
            <w:rStyle w:val="Hyperlink"/>
            <w:sz w:val="16"/>
            <w:lang w:val="ru-RU"/>
          </w:rPr>
          <w:t>://</w:t>
        </w:r>
        <w:r>
          <w:rPr>
            <w:rStyle w:val="Hyperlink"/>
            <w:sz w:val="16"/>
          </w:rPr>
          <w:t>eara</w:t>
        </w:r>
        <w:r>
          <w:rPr>
            <w:rStyle w:val="Hyperlink"/>
            <w:sz w:val="16"/>
            <w:lang w:val="ru-RU"/>
          </w:rPr>
          <w:t>.</w:t>
        </w:r>
        <w:r>
          <w:rPr>
            <w:rStyle w:val="Hyperlink"/>
            <w:sz w:val="16"/>
          </w:rPr>
          <w:t>eu</w:t>
        </w:r>
        <w:r>
          <w:rPr>
            <w:rStyle w:val="Hyperlink"/>
            <w:sz w:val="16"/>
            <w:lang w:val="ru-RU"/>
          </w:rPr>
          <w:t>/</w:t>
        </w:r>
        <w:r>
          <w:rPr>
            <w:rStyle w:val="Hyperlink"/>
            <w:sz w:val="16"/>
          </w:rPr>
          <w:t>home</w:t>
        </w:r>
        <w:r>
          <w:rPr>
            <w:rStyle w:val="Hyperlink"/>
            <w:sz w:val="16"/>
            <w:lang w:val="ru-RU"/>
          </w:rPr>
          <w:t>/</w:t>
        </w:r>
      </w:hyperlink>
      <w:r>
        <w:rPr>
          <w:sz w:val="16"/>
          <w:lang w:val="ru-RU"/>
        </w:rPr>
        <w:t>.</w:t>
      </w:r>
    </w:p>
  </w:footnote>
  <w:footnote w:id="34">
    <w:p w:rsidR="00450368" w:rsidRDefault="006B55A0">
      <w:pPr>
        <w:pStyle w:val="FootnoteText"/>
        <w:rPr>
          <w:sz w:val="16"/>
          <w:szCs w:val="16"/>
          <w:lang w:val="ru-RU"/>
        </w:rPr>
      </w:pPr>
      <w:r>
        <w:rPr>
          <w:rStyle w:val="FootnoteReference"/>
          <w:sz w:val="16"/>
        </w:rPr>
        <w:footnoteRef/>
      </w:r>
      <w:r>
        <w:rPr>
          <w:sz w:val="16"/>
          <w:lang w:val="ru-RU"/>
        </w:rPr>
        <w:t xml:space="preserve"> </w:t>
      </w:r>
      <w:hyperlink r:id="rId25">
        <w:r>
          <w:rPr>
            <w:rStyle w:val="Hyperlink"/>
            <w:sz w:val="16"/>
          </w:rPr>
          <w:t>http</w:t>
        </w:r>
        <w:r>
          <w:rPr>
            <w:rStyle w:val="Hyperlink"/>
            <w:sz w:val="16"/>
            <w:lang w:val="ru-RU"/>
          </w:rPr>
          <w:t>://</w:t>
        </w:r>
        <w:r>
          <w:rPr>
            <w:rStyle w:val="Hyperlink"/>
            <w:sz w:val="16"/>
          </w:rPr>
          <w:t>ec</w:t>
        </w:r>
        <w:r>
          <w:rPr>
            <w:rStyle w:val="Hyperlink"/>
            <w:sz w:val="16"/>
            <w:lang w:val="ru-RU"/>
          </w:rPr>
          <w:t>.</w:t>
        </w:r>
        <w:r>
          <w:rPr>
            <w:rStyle w:val="Hyperlink"/>
            <w:sz w:val="16"/>
          </w:rPr>
          <w:t>europa</w:t>
        </w:r>
        <w:r>
          <w:rPr>
            <w:rStyle w:val="Hyperlink"/>
            <w:sz w:val="16"/>
            <w:lang w:val="ru-RU"/>
          </w:rPr>
          <w:t>.</w:t>
        </w:r>
        <w:r>
          <w:rPr>
            <w:rStyle w:val="Hyperlink"/>
            <w:sz w:val="16"/>
          </w:rPr>
          <w:t>eu</w:t>
        </w:r>
        <w:r>
          <w:rPr>
            <w:rStyle w:val="Hyperlink"/>
            <w:sz w:val="16"/>
            <w:lang w:val="ru-RU"/>
          </w:rPr>
          <w:t>/</w:t>
        </w:r>
        <w:r>
          <w:rPr>
            <w:rStyle w:val="Hyperlink"/>
            <w:sz w:val="16"/>
          </w:rPr>
          <w:t>atwork</w:t>
        </w:r>
        <w:r>
          <w:rPr>
            <w:rStyle w:val="Hyperlink"/>
            <w:sz w:val="16"/>
            <w:lang w:val="ru-RU"/>
          </w:rPr>
          <w:t>/</w:t>
        </w:r>
        <w:r>
          <w:rPr>
            <w:rStyle w:val="Hyperlink"/>
            <w:sz w:val="16"/>
          </w:rPr>
          <w:t>applying</w:t>
        </w:r>
        <w:r>
          <w:rPr>
            <w:rStyle w:val="Hyperlink"/>
            <w:sz w:val="16"/>
            <w:lang w:val="ru-RU"/>
          </w:rPr>
          <w:t>-</w:t>
        </w:r>
        <w:r>
          <w:rPr>
            <w:rStyle w:val="Hyperlink"/>
            <w:sz w:val="16"/>
          </w:rPr>
          <w:t>eu</w:t>
        </w:r>
        <w:r>
          <w:rPr>
            <w:rStyle w:val="Hyperlink"/>
            <w:sz w:val="16"/>
            <w:lang w:val="ru-RU"/>
          </w:rPr>
          <w:t>-</w:t>
        </w:r>
        <w:r>
          <w:rPr>
            <w:rStyle w:val="Hyperlink"/>
            <w:sz w:val="16"/>
          </w:rPr>
          <w:t>law</w:t>
        </w:r>
        <w:r>
          <w:rPr>
            <w:rStyle w:val="Hyperlink"/>
            <w:sz w:val="16"/>
            <w:lang w:val="ru-RU"/>
          </w:rPr>
          <w:t>/</w:t>
        </w:r>
        <w:r>
          <w:rPr>
            <w:rStyle w:val="Hyperlink"/>
            <w:sz w:val="16"/>
          </w:rPr>
          <w:t>infringements</w:t>
        </w:r>
        <w:r>
          <w:rPr>
            <w:rStyle w:val="Hyperlink"/>
            <w:sz w:val="16"/>
            <w:lang w:val="ru-RU"/>
          </w:rPr>
          <w:t>-</w:t>
        </w:r>
        <w:r>
          <w:rPr>
            <w:rStyle w:val="Hyperlink"/>
            <w:sz w:val="16"/>
          </w:rPr>
          <w:t>proceedings</w:t>
        </w:r>
        <w:r>
          <w:rPr>
            <w:rStyle w:val="Hyperlink"/>
            <w:sz w:val="16"/>
            <w:lang w:val="ru-RU"/>
          </w:rPr>
          <w:t>/</w:t>
        </w:r>
        <w:r>
          <w:rPr>
            <w:rStyle w:val="Hyperlink"/>
            <w:sz w:val="16"/>
          </w:rPr>
          <w:t>index</w:t>
        </w:r>
        <w:r>
          <w:rPr>
            <w:rStyle w:val="Hyperlink"/>
            <w:sz w:val="16"/>
            <w:lang w:val="ru-RU"/>
          </w:rPr>
          <w:t>_</w:t>
        </w:r>
        <w:r>
          <w:rPr>
            <w:rStyle w:val="Hyperlink"/>
            <w:sz w:val="16"/>
          </w:rPr>
          <w:t>en</w:t>
        </w:r>
        <w:r>
          <w:rPr>
            <w:rStyle w:val="Hyperlink"/>
            <w:sz w:val="16"/>
            <w:lang w:val="ru-RU"/>
          </w:rPr>
          <w:t>.</w:t>
        </w:r>
        <w:r>
          <w:rPr>
            <w:rStyle w:val="Hyperlink"/>
            <w:sz w:val="16"/>
          </w:rPr>
          <w:t>htm</w:t>
        </w:r>
      </w:hyperlink>
      <w:r>
        <w:rPr>
          <w:rStyle w:val="Hyperlink"/>
          <w:sz w:val="16"/>
          <w:lang w:val="ru-RU"/>
        </w:rPr>
        <w:t xml:space="preserve"> </w:t>
      </w:r>
      <w:r>
        <w:rPr>
          <w:sz w:val="16"/>
          <w:lang w:val="ru-RU"/>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5A0" w:rsidRPr="006B55A0" w:rsidRDefault="006B55A0" w:rsidP="006B55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5A0" w:rsidRPr="006B55A0" w:rsidRDefault="006B55A0" w:rsidP="006B55A0">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5A0" w:rsidRPr="006B55A0" w:rsidRDefault="006B55A0" w:rsidP="006B55A0">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368" w:rsidRDefault="0045036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368" w:rsidRDefault="0045036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368" w:rsidRDefault="004503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5114D780"/>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FFFFFF82"/>
    <w:multiLevelType w:val="singleLevel"/>
    <w:tmpl w:val="B5E47CBC"/>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3"/>
    <w:multiLevelType w:val="singleLevel"/>
    <w:tmpl w:val="DED895A8"/>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FFFFFF89"/>
    <w:multiLevelType w:val="singleLevel"/>
    <w:tmpl w:val="52E81D94"/>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0DFC2462"/>
    <w:multiLevelType w:val="hybridMultilevel"/>
    <w:tmpl w:val="89ACFAFC"/>
    <w:lvl w:ilvl="0" w:tplc="ED56BCD4">
      <w:start w:val="3"/>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B70745"/>
    <w:multiLevelType w:val="hybridMultilevel"/>
    <w:tmpl w:val="DE9C92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2D35ED6"/>
    <w:multiLevelType w:val="hybridMultilevel"/>
    <w:tmpl w:val="0C3CC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A920CB4"/>
    <w:multiLevelType w:val="hybridMultilevel"/>
    <w:tmpl w:val="FE326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12D6D30"/>
    <w:multiLevelType w:val="hybridMultilevel"/>
    <w:tmpl w:val="5366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619377E"/>
    <w:multiLevelType w:val="hybridMultilevel"/>
    <w:tmpl w:val="C37CF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7657E58"/>
    <w:multiLevelType w:val="hybridMultilevel"/>
    <w:tmpl w:val="E7FC72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2C14992"/>
    <w:multiLevelType w:val="hybridMultilevel"/>
    <w:tmpl w:val="41CA4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37545E0"/>
    <w:multiLevelType w:val="hybridMultilevel"/>
    <w:tmpl w:val="DDC6A23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nsid w:val="348A4BE8"/>
    <w:multiLevelType w:val="hybridMultilevel"/>
    <w:tmpl w:val="6E541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A342F1C"/>
    <w:multiLevelType w:val="multilevel"/>
    <w:tmpl w:val="22267F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541C65"/>
    <w:multiLevelType w:val="hybridMultilevel"/>
    <w:tmpl w:val="75E41C6A"/>
    <w:lvl w:ilvl="0" w:tplc="77906EDC">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45342F98"/>
    <w:multiLevelType w:val="hybridMultilevel"/>
    <w:tmpl w:val="F270689A"/>
    <w:lvl w:ilvl="0" w:tplc="FFFFFFFF">
      <w:numFmt w:val="bullet"/>
      <w:pStyle w:val="Tiretsstyle0"/>
      <w:lvlText w:val="–"/>
      <w:lvlJc w:val="left"/>
      <w:pPr>
        <w:tabs>
          <w:tab w:val="num" w:pos="567"/>
        </w:tabs>
        <w:ind w:left="567" w:hanging="567"/>
      </w:pPr>
      <w:rPr>
        <w:rFonts w:ascii="Times New Roman" w:eastAsia="Times New Roman" w:hAnsi="Times New Roman" w:cs="Times New Roman" w:hint="default"/>
      </w:rPr>
    </w:lvl>
    <w:lvl w:ilvl="1" w:tplc="FFFFFFFF">
      <w:start w:val="1"/>
      <w:numFmt w:val="bullet"/>
      <w:lvlText w:val="o"/>
      <w:lvlJc w:val="left"/>
      <w:pPr>
        <w:tabs>
          <w:tab w:val="num" w:pos="2148"/>
        </w:tabs>
        <w:ind w:left="2148" w:hanging="360"/>
      </w:pPr>
      <w:rPr>
        <w:rFonts w:ascii="Courier New" w:hAnsi="Courier New" w:cs="Times New Roman" w:hint="default"/>
      </w:rPr>
    </w:lvl>
    <w:lvl w:ilvl="2" w:tplc="FFFFFFFF">
      <w:start w:val="1"/>
      <w:numFmt w:val="bullet"/>
      <w:lvlText w:val=""/>
      <w:lvlJc w:val="left"/>
      <w:pPr>
        <w:tabs>
          <w:tab w:val="num" w:pos="2868"/>
        </w:tabs>
        <w:ind w:left="2868" w:hanging="360"/>
      </w:pPr>
      <w:rPr>
        <w:rFonts w:ascii="Wingdings" w:hAnsi="Wingdings" w:hint="default"/>
      </w:rPr>
    </w:lvl>
    <w:lvl w:ilvl="3" w:tplc="FFFFFFFF">
      <w:start w:val="1"/>
      <w:numFmt w:val="bullet"/>
      <w:lvlText w:val=""/>
      <w:lvlJc w:val="left"/>
      <w:pPr>
        <w:tabs>
          <w:tab w:val="num" w:pos="3588"/>
        </w:tabs>
        <w:ind w:left="3588" w:hanging="360"/>
      </w:pPr>
      <w:rPr>
        <w:rFonts w:ascii="Symbol" w:hAnsi="Symbol" w:hint="default"/>
      </w:rPr>
    </w:lvl>
    <w:lvl w:ilvl="4" w:tplc="FFFFFFFF">
      <w:start w:val="1"/>
      <w:numFmt w:val="bullet"/>
      <w:lvlText w:val="o"/>
      <w:lvlJc w:val="left"/>
      <w:pPr>
        <w:tabs>
          <w:tab w:val="num" w:pos="4308"/>
        </w:tabs>
        <w:ind w:left="4308" w:hanging="360"/>
      </w:pPr>
      <w:rPr>
        <w:rFonts w:ascii="Courier New" w:hAnsi="Courier New" w:cs="Times New Roman" w:hint="default"/>
      </w:rPr>
    </w:lvl>
    <w:lvl w:ilvl="5" w:tplc="FFFFFFFF">
      <w:start w:val="1"/>
      <w:numFmt w:val="bullet"/>
      <w:lvlText w:val=""/>
      <w:lvlJc w:val="left"/>
      <w:pPr>
        <w:tabs>
          <w:tab w:val="num" w:pos="5028"/>
        </w:tabs>
        <w:ind w:left="5028" w:hanging="360"/>
      </w:pPr>
      <w:rPr>
        <w:rFonts w:ascii="Wingdings" w:hAnsi="Wingdings" w:hint="default"/>
      </w:rPr>
    </w:lvl>
    <w:lvl w:ilvl="6" w:tplc="FFFFFFFF">
      <w:start w:val="1"/>
      <w:numFmt w:val="bullet"/>
      <w:lvlText w:val=""/>
      <w:lvlJc w:val="left"/>
      <w:pPr>
        <w:tabs>
          <w:tab w:val="num" w:pos="5748"/>
        </w:tabs>
        <w:ind w:left="5748" w:hanging="360"/>
      </w:pPr>
      <w:rPr>
        <w:rFonts w:ascii="Symbol" w:hAnsi="Symbol" w:hint="default"/>
      </w:rPr>
    </w:lvl>
    <w:lvl w:ilvl="7" w:tplc="FFFFFFFF">
      <w:start w:val="1"/>
      <w:numFmt w:val="bullet"/>
      <w:lvlText w:val="o"/>
      <w:lvlJc w:val="left"/>
      <w:pPr>
        <w:tabs>
          <w:tab w:val="num" w:pos="6468"/>
        </w:tabs>
        <w:ind w:left="6468" w:hanging="360"/>
      </w:pPr>
      <w:rPr>
        <w:rFonts w:ascii="Courier New" w:hAnsi="Courier New" w:cs="Times New Roman" w:hint="default"/>
      </w:rPr>
    </w:lvl>
    <w:lvl w:ilvl="8" w:tplc="FFFFFFFF">
      <w:start w:val="1"/>
      <w:numFmt w:val="bullet"/>
      <w:lvlText w:val=""/>
      <w:lvlJc w:val="left"/>
      <w:pPr>
        <w:tabs>
          <w:tab w:val="num" w:pos="7188"/>
        </w:tabs>
        <w:ind w:left="7188" w:hanging="360"/>
      </w:pPr>
      <w:rPr>
        <w:rFonts w:ascii="Wingdings" w:hAnsi="Wingdings" w:hint="default"/>
      </w:rPr>
    </w:lvl>
  </w:abstractNum>
  <w:abstractNum w:abstractNumId="17">
    <w:nsid w:val="4CDE33C9"/>
    <w:multiLevelType w:val="hybridMultilevel"/>
    <w:tmpl w:val="EB408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1183B05"/>
    <w:multiLevelType w:val="hybridMultilevel"/>
    <w:tmpl w:val="D2CEE8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CF974DC"/>
    <w:multiLevelType w:val="hybridMultilevel"/>
    <w:tmpl w:val="B67E8A3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0">
    <w:nsid w:val="615A00D1"/>
    <w:multiLevelType w:val="hybridMultilevel"/>
    <w:tmpl w:val="08B2E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2841C08"/>
    <w:multiLevelType w:val="hybridMultilevel"/>
    <w:tmpl w:val="13389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6DC5C6C"/>
    <w:multiLevelType w:val="hybridMultilevel"/>
    <w:tmpl w:val="DA6CE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9C866FF"/>
    <w:multiLevelType w:val="hybridMultilevel"/>
    <w:tmpl w:val="2F6CAF3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4">
    <w:nsid w:val="6E602B85"/>
    <w:multiLevelType w:val="hybridMultilevel"/>
    <w:tmpl w:val="4C222AF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5">
    <w:nsid w:val="6F2364BF"/>
    <w:multiLevelType w:val="hybridMultilevel"/>
    <w:tmpl w:val="5D9EC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0F07186"/>
    <w:multiLevelType w:val="hybridMultilevel"/>
    <w:tmpl w:val="1E3AE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7722CBF"/>
    <w:multiLevelType w:val="multilevel"/>
    <w:tmpl w:val="22267F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7927434"/>
    <w:multiLevelType w:val="hybridMultilevel"/>
    <w:tmpl w:val="8BAA8C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nsid w:val="7A6A05EC"/>
    <w:multiLevelType w:val="hybridMultilevel"/>
    <w:tmpl w:val="A1E2D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F633CFC"/>
    <w:multiLevelType w:val="multilevel"/>
    <w:tmpl w:val="22267F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FA11054"/>
    <w:multiLevelType w:val="multilevel"/>
    <w:tmpl w:val="1E8424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23"/>
  </w:num>
  <w:num w:numId="4">
    <w:abstractNumId w:val="19"/>
  </w:num>
  <w:num w:numId="5">
    <w:abstractNumId w:val="24"/>
  </w:num>
  <w:num w:numId="6">
    <w:abstractNumId w:val="10"/>
  </w:num>
  <w:num w:numId="7">
    <w:abstractNumId w:val="28"/>
  </w:num>
  <w:num w:numId="8">
    <w:abstractNumId w:val="15"/>
  </w:num>
  <w:num w:numId="9">
    <w:abstractNumId w:val="13"/>
  </w:num>
  <w:num w:numId="10">
    <w:abstractNumId w:val="17"/>
  </w:num>
  <w:num w:numId="11">
    <w:abstractNumId w:val="31"/>
  </w:num>
  <w:num w:numId="12">
    <w:abstractNumId w:val="14"/>
  </w:num>
  <w:num w:numId="13">
    <w:abstractNumId w:val="26"/>
  </w:num>
  <w:num w:numId="14">
    <w:abstractNumId w:val="4"/>
  </w:num>
  <w:num w:numId="15">
    <w:abstractNumId w:val="18"/>
  </w:num>
  <w:num w:numId="16">
    <w:abstractNumId w:val="25"/>
  </w:num>
  <w:num w:numId="17">
    <w:abstractNumId w:val="29"/>
  </w:num>
  <w:num w:numId="18">
    <w:abstractNumId w:val="22"/>
  </w:num>
  <w:num w:numId="19">
    <w:abstractNumId w:val="8"/>
  </w:num>
  <w:num w:numId="20">
    <w:abstractNumId w:val="16"/>
  </w:num>
  <w:num w:numId="21">
    <w:abstractNumId w:val="11"/>
  </w:num>
  <w:num w:numId="22">
    <w:abstractNumId w:val="9"/>
  </w:num>
  <w:num w:numId="23">
    <w:abstractNumId w:val="7"/>
  </w:num>
  <w:num w:numId="24">
    <w:abstractNumId w:val="21"/>
  </w:num>
  <w:num w:numId="25">
    <w:abstractNumId w:val="6"/>
  </w:num>
  <w:num w:numId="26">
    <w:abstractNumId w:val="20"/>
  </w:num>
  <w:num w:numId="27">
    <w:abstractNumId w:val="27"/>
  </w:num>
  <w:num w:numId="28">
    <w:abstractNumId w:val="30"/>
  </w:num>
  <w:num w:numId="29">
    <w:abstractNumId w:val="3"/>
  </w:num>
  <w:num w:numId="30">
    <w:abstractNumId w:val="2"/>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EU RESTRICTED"/>
    <w:docVar w:name="LW_CORRIGENDUM" w:val="&lt;UNUSED&gt;"/>
    <w:docVar w:name="LW_COVERPAGE_GUID" w:val="0C855F6B80E54987972F2A431FCC47E5"/>
    <w:docVar w:name="LW_CROSSREFERENCE" w:val="&lt;UNUSED&gt;"/>
    <w:docVar w:name="LW_DocType" w:val="NORMAL"/>
    <w:docVar w:name="LW_EMISSION" w:val="3.6.2015"/>
    <w:docVar w:name="LW_EMISSION_ISODATE" w:val="2015-06-03"/>
    <w:docVar w:name="LW_EMISSION_LOCATION" w:val="BRX"/>
    <w:docVar w:name="LW_EMISSION_PREFIX" w:val="\u1041?\u1088?\u1102?\u1082?\u1089?\u1077?\u1083?, "/>
    <w:docVar w:name="LW_EMISSION_SUFFIX" w:val=" \u1075?."/>
    <w:docVar w:name="LW_ID_DOCTYPE_NONLW" w:val="CP-001"/>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
    <w:docVar w:name="LW_REF.INST.NEW_ADOPTED" w:val="final"/>
    <w:docVar w:name="LW_REF.INST.NEW_TEXT" w:val="(2015) 3773"/>
    <w:docVar w:name="LW_REF.INTERNE" w:val="&lt;UNUSED&gt;"/>
    <w:docVar w:name="LW_SOUS.TITRE.OBJ.CP" w:val="&lt;UNUSED&gt;"/>
    <w:docVar w:name="LW_SUPERTITRE" w:val="&lt;UNUSED&gt;"/>
    <w:docVar w:name="LW_TITRE.OBJ.CP" w:val="\u1086?\u1090?\u1085?\u1086?\u1089?\u1085?\u1086? \u1045?\u1074?\u1088?\u1086?\u1087?\u1077?\u1081?\u1089?\u1082?\u1072?\u1090?\u1072? \u1075?\u1088?\u1072?\u1078?\u1076?\u1072?\u1085?\u1089?\u1082?\u1072? \u1080?\u1085?\u1080?\u1094?\u1080?\u1072?\u1090?\u1080?\u1074?\u1072? \u8222?\u1057?\u1087?\u1088?\u1077?\u1090?\u1077? \u1074?\u1080?\u1074?\u1080?\u1089?\u1077?\u1082?\u1094?\u1080?\u1103?\u1090?\u1072?\u8220?"/>
    <w:docVar w:name="LW_TYPE.DOC.CP" w:val="\u1057?\u1066?\u1054?\u1041?\u1065?\u1045?\u1053?\u1048?\u1045? \u1053?\u1040? \u1050?\u1054?\u1052?\u1048?\u1057?\u1048?\u1071?\u1058?\u1040?"/>
    <w:docVar w:name="LW_TYPE.DOC.CP.USERTEXT" w:val="&lt;EMPTY&gt;"/>
  </w:docVars>
  <w:rsids>
    <w:rsidRoot w:val="00450368"/>
    <w:rsid w:val="00450368"/>
    <w:rsid w:val="006B55A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Document Map" w:uiPriority="99"/>
    <w:lsdException w:name="Normal (Web)" w:uiPriority="99"/>
    <w:lsdException w:name="HTML Cod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jc w:val="both"/>
    </w:pPr>
    <w:rPr>
      <w:sz w:val="24"/>
      <w:lang w:eastAsia="en-US"/>
    </w:rPr>
  </w:style>
  <w:style w:type="paragraph" w:styleId="Heading1">
    <w:name w:val="heading 1"/>
    <w:basedOn w:val="Normal"/>
    <w:next w:val="Normal"/>
    <w:link w:val="Heading1Char"/>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pPr>
      <w:spacing w:before="100" w:beforeAutospacing="1" w:after="100" w:afterAutospacing="1"/>
      <w:jc w:val="left"/>
      <w:outlineLvl w:val="1"/>
    </w:pPr>
    <w:rPr>
      <w:b/>
      <w:bCs/>
      <w:sz w:val="36"/>
      <w:szCs w:val="36"/>
      <w:lang w:eastAsia="en-GB"/>
    </w:rPr>
  </w:style>
  <w:style w:type="paragraph" w:styleId="Heading4">
    <w:name w:val="heading 4"/>
    <w:basedOn w:val="Normal"/>
    <w:next w:val="Normal"/>
    <w:link w:val="Heading4Char"/>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rFonts w:ascii="Times New Roman" w:hAnsi="Times New Roman" w:cs="Times New Roman" w:hint="default"/>
      <w:color w:val="0000FF"/>
      <w:u w:val="single"/>
    </w:rPr>
  </w:style>
  <w:style w:type="paragraph" w:styleId="NormalWeb">
    <w:name w:val="Normal (Web)"/>
    <w:basedOn w:val="Normal"/>
    <w:uiPriority w:val="99"/>
    <w:unhideWhenUsed/>
    <w:pPr>
      <w:spacing w:before="100" w:beforeAutospacing="1" w:after="100" w:afterAutospacing="1"/>
      <w:jc w:val="left"/>
    </w:pPr>
    <w:rPr>
      <w:szCs w:val="24"/>
      <w:lang w:eastAsia="en-GB"/>
    </w:rPr>
  </w:style>
  <w:style w:type="paragraph" w:styleId="FootnoteText">
    <w:name w:val="footnote text"/>
    <w:basedOn w:val="Normal"/>
    <w:link w:val="FootnoteTextChar"/>
    <w:uiPriority w:val="99"/>
    <w:unhideWhenUsed/>
    <w:pPr>
      <w:ind w:left="357" w:hanging="357"/>
    </w:pPr>
    <w:rPr>
      <w:sz w:val="20"/>
    </w:rPr>
  </w:style>
  <w:style w:type="character" w:customStyle="1" w:styleId="FootnoteTextChar">
    <w:name w:val="Footnote Text Char"/>
    <w:basedOn w:val="DefaultParagraphFont"/>
    <w:link w:val="FootnoteText"/>
    <w:uiPriority w:val="99"/>
    <w:rPr>
      <w:lang w:eastAsia="en-US"/>
    </w:rPr>
  </w:style>
  <w:style w:type="paragraph" w:styleId="ListParagraph">
    <w:name w:val="List Paragraph"/>
    <w:basedOn w:val="Normal"/>
    <w:uiPriority w:val="34"/>
    <w:qFormat/>
    <w:pPr>
      <w:spacing w:after="200" w:line="276" w:lineRule="auto"/>
      <w:ind w:left="720"/>
      <w:contextualSpacing/>
      <w:jc w:val="left"/>
    </w:pPr>
    <w:rPr>
      <w:rFonts w:ascii="Arial" w:eastAsia="Calibri" w:hAnsi="Arial" w:cs="Arial"/>
      <w:szCs w:val="22"/>
    </w:rPr>
  </w:style>
  <w:style w:type="paragraph" w:customStyle="1" w:styleId="ZDGName">
    <w:name w:val="Z_DGName"/>
    <w:basedOn w:val="Normal"/>
    <w:uiPriority w:val="99"/>
    <w:semiHidden/>
    <w:pPr>
      <w:widowControl w:val="0"/>
      <w:autoSpaceDE w:val="0"/>
      <w:autoSpaceDN w:val="0"/>
      <w:spacing w:after="0"/>
      <w:ind w:right="85"/>
      <w:jc w:val="left"/>
    </w:pPr>
    <w:rPr>
      <w:rFonts w:ascii="Arial" w:hAnsi="Arial" w:cs="Arial"/>
      <w:sz w:val="16"/>
      <w:szCs w:val="16"/>
      <w:lang w:eastAsia="en-GB"/>
    </w:rPr>
  </w:style>
  <w:style w:type="paragraph" w:customStyle="1" w:styleId="ZCom">
    <w:name w:val="Z_Com"/>
    <w:basedOn w:val="Normal"/>
    <w:next w:val="ZDGName"/>
    <w:uiPriority w:val="99"/>
    <w:semiHidden/>
    <w:pPr>
      <w:widowControl w:val="0"/>
      <w:autoSpaceDE w:val="0"/>
      <w:autoSpaceDN w:val="0"/>
      <w:spacing w:after="0"/>
      <w:ind w:right="85"/>
    </w:pPr>
    <w:rPr>
      <w:rFonts w:ascii="Arial" w:hAnsi="Arial" w:cs="Arial"/>
      <w:szCs w:val="24"/>
      <w:lang w:eastAsia="en-GB"/>
    </w:rPr>
  </w:style>
  <w:style w:type="paragraph" w:customStyle="1" w:styleId="Default">
    <w:name w:val="Default"/>
    <w:pPr>
      <w:autoSpaceDE w:val="0"/>
      <w:autoSpaceDN w:val="0"/>
      <w:adjustRightInd w:val="0"/>
    </w:pPr>
    <w:rPr>
      <w:rFonts w:ascii="Calibri" w:hAnsi="Calibri" w:cs="Calibri"/>
      <w:color w:val="000000"/>
      <w:sz w:val="24"/>
      <w:szCs w:val="24"/>
    </w:rPr>
  </w:style>
  <w:style w:type="character" w:styleId="FootnoteReference">
    <w:name w:val="footnote reference"/>
    <w:uiPriority w:val="99"/>
    <w:unhideWhenUsed/>
    <w:rPr>
      <w:vertAlign w:val="superscript"/>
    </w:rPr>
  </w:style>
  <w:style w:type="character" w:styleId="Strong">
    <w:name w:val="Strong"/>
    <w:basedOn w:val="DefaultParagraphFont"/>
    <w:uiPriority w:val="22"/>
    <w:qFormat/>
    <w:rPr>
      <w:b/>
      <w:bCs/>
    </w:rPr>
  </w:style>
  <w:style w:type="paragraph" w:styleId="BalloonText">
    <w:name w:val="Balloon Text"/>
    <w:basedOn w:val="Normal"/>
    <w:link w:val="BalloonTextChar"/>
    <w:pPr>
      <w:spacing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styleId="Header">
    <w:name w:val="header"/>
    <w:basedOn w:val="Normal"/>
    <w:link w:val="HeaderChar"/>
    <w:pPr>
      <w:tabs>
        <w:tab w:val="center" w:pos="4536"/>
        <w:tab w:val="right" w:pos="9072"/>
      </w:tabs>
      <w:spacing w:after="0"/>
    </w:pPr>
  </w:style>
  <w:style w:type="character" w:customStyle="1" w:styleId="HeaderChar">
    <w:name w:val="Header Char"/>
    <w:basedOn w:val="DefaultParagraphFont"/>
    <w:link w:val="Header"/>
    <w:rPr>
      <w:sz w:val="24"/>
      <w:lang w:eastAsia="en-US"/>
    </w:rPr>
  </w:style>
  <w:style w:type="paragraph" w:styleId="Footer">
    <w:name w:val="footer"/>
    <w:basedOn w:val="Normal"/>
    <w:link w:val="FooterChar"/>
    <w:uiPriority w:val="99"/>
    <w:pPr>
      <w:tabs>
        <w:tab w:val="center" w:pos="4536"/>
        <w:tab w:val="right" w:pos="9072"/>
      </w:tabs>
      <w:spacing w:after="0"/>
    </w:pPr>
  </w:style>
  <w:style w:type="character" w:customStyle="1" w:styleId="FooterChar">
    <w:name w:val="Footer Char"/>
    <w:basedOn w:val="DefaultParagraphFont"/>
    <w:link w:val="Footer"/>
    <w:uiPriority w:val="99"/>
    <w:rPr>
      <w:sz w:val="24"/>
      <w:lang w:eastAsia="en-US"/>
    </w:rPr>
  </w:style>
  <w:style w:type="paragraph" w:customStyle="1" w:styleId="FooterCoverPage">
    <w:name w:val="Footer Cover Page"/>
    <w:basedOn w:val="Normal"/>
    <w:link w:val="FooterCoverPageChar"/>
    <w:pPr>
      <w:tabs>
        <w:tab w:val="center" w:pos="4535"/>
        <w:tab w:val="right" w:pos="9071"/>
        <w:tab w:val="right" w:pos="9921"/>
      </w:tabs>
      <w:autoSpaceDE w:val="0"/>
      <w:autoSpaceDN w:val="0"/>
      <w:adjustRightInd w:val="0"/>
      <w:spacing w:before="360" w:after="0"/>
      <w:ind w:left="-850" w:right="-850"/>
      <w:jc w:val="left"/>
    </w:pPr>
    <w:rPr>
      <w:bCs/>
      <w:szCs w:val="22"/>
      <w:lang w:eastAsia="en-GB"/>
    </w:rPr>
  </w:style>
  <w:style w:type="character" w:customStyle="1" w:styleId="FooterCoverPageChar">
    <w:name w:val="Footer Cover Page Char"/>
    <w:basedOn w:val="DefaultParagraphFont"/>
    <w:link w:val="FooterCoverPage"/>
    <w:rPr>
      <w:bCs/>
      <w:sz w:val="24"/>
      <w:szCs w:val="22"/>
    </w:rPr>
  </w:style>
  <w:style w:type="paragraph" w:customStyle="1" w:styleId="HeaderCoverPage">
    <w:name w:val="Header Cover Page"/>
    <w:basedOn w:val="Normal"/>
    <w:link w:val="HeaderCoverPageChar"/>
    <w:pPr>
      <w:tabs>
        <w:tab w:val="center" w:pos="4535"/>
        <w:tab w:val="right" w:pos="9071"/>
      </w:tabs>
      <w:autoSpaceDE w:val="0"/>
      <w:autoSpaceDN w:val="0"/>
      <w:adjustRightInd w:val="0"/>
      <w:spacing w:after="120"/>
    </w:pPr>
    <w:rPr>
      <w:bCs/>
      <w:szCs w:val="22"/>
      <w:lang w:eastAsia="en-GB"/>
    </w:rPr>
  </w:style>
  <w:style w:type="character" w:customStyle="1" w:styleId="HeaderCoverPageChar">
    <w:name w:val="Header Cover Page Char"/>
    <w:basedOn w:val="DefaultParagraphFont"/>
    <w:link w:val="HeaderCoverPage"/>
    <w:rPr>
      <w:bCs/>
      <w:sz w:val="24"/>
      <w:szCs w:val="22"/>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rPr>
  </w:style>
  <w:style w:type="character" w:customStyle="1" w:styleId="CommentTextChar">
    <w:name w:val="Comment Text Char"/>
    <w:basedOn w:val="DefaultParagraphFont"/>
    <w:link w:val="CommentText"/>
    <w:uiPriority w:val="99"/>
    <w:rPr>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lang w:eastAsia="en-US"/>
    </w:rPr>
  </w:style>
  <w:style w:type="character" w:customStyle="1" w:styleId="Heading2Char">
    <w:name w:val="Heading 2 Char"/>
    <w:basedOn w:val="DefaultParagraphFont"/>
    <w:link w:val="Heading2"/>
    <w:uiPriority w:val="9"/>
    <w:rPr>
      <w:b/>
      <w:bCs/>
      <w:sz w:val="36"/>
      <w:szCs w:val="36"/>
    </w:rPr>
  </w:style>
  <w:style w:type="character" w:customStyle="1" w:styleId="Heading4Char">
    <w:name w:val="Heading 4 Char"/>
    <w:basedOn w:val="DefaultParagraphFont"/>
    <w:link w:val="Heading4"/>
    <w:semiHidden/>
    <w:rPr>
      <w:rFonts w:asciiTheme="majorHAnsi" w:eastAsiaTheme="majorEastAsia" w:hAnsiTheme="majorHAnsi" w:cstheme="majorBidi"/>
      <w:b/>
      <w:bCs/>
      <w:i/>
      <w:iCs/>
      <w:color w:val="4F81BD" w:themeColor="accent1"/>
      <w:sz w:val="24"/>
      <w:lang w:eastAsia="en-US"/>
    </w:r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lang w:eastAsia="en-US"/>
    </w:rPr>
  </w:style>
  <w:style w:type="paragraph" w:customStyle="1" w:styleId="CM1">
    <w:name w:val="CM1"/>
    <w:basedOn w:val="Normal"/>
    <w:next w:val="Normal"/>
    <w:uiPriority w:val="99"/>
    <w:pPr>
      <w:autoSpaceDE w:val="0"/>
      <w:autoSpaceDN w:val="0"/>
      <w:adjustRightInd w:val="0"/>
      <w:spacing w:after="0"/>
      <w:jc w:val="left"/>
    </w:pPr>
    <w:rPr>
      <w:rFonts w:ascii="EUAlbertina" w:eastAsiaTheme="minorHAnsi" w:hAnsi="EUAlbertina" w:cstheme="minorBidi"/>
      <w:szCs w:val="24"/>
    </w:rPr>
  </w:style>
  <w:style w:type="paragraph" w:customStyle="1" w:styleId="CM4">
    <w:name w:val="CM4"/>
    <w:basedOn w:val="Normal"/>
    <w:next w:val="Normal"/>
    <w:uiPriority w:val="99"/>
    <w:pPr>
      <w:autoSpaceDE w:val="0"/>
      <w:autoSpaceDN w:val="0"/>
      <w:adjustRightInd w:val="0"/>
      <w:spacing w:after="0"/>
      <w:jc w:val="left"/>
    </w:pPr>
    <w:rPr>
      <w:rFonts w:ascii="EUAlbertina" w:eastAsiaTheme="minorHAnsi" w:hAnsi="EUAlbertina" w:cstheme="minorBidi"/>
      <w:szCs w:val="24"/>
    </w:rPr>
  </w:style>
  <w:style w:type="paragraph" w:customStyle="1" w:styleId="Tiretsstyle0">
    <w:name w:val="Tirets style 0"/>
    <w:basedOn w:val="Normal"/>
    <w:pPr>
      <w:numPr>
        <w:numId w:val="20"/>
      </w:numPr>
      <w:autoSpaceDE w:val="0"/>
      <w:autoSpaceDN w:val="0"/>
      <w:adjustRightInd w:val="0"/>
      <w:spacing w:after="0"/>
      <w:jc w:val="left"/>
    </w:pPr>
    <w:rPr>
      <w:szCs w:val="24"/>
      <w:lang w:eastAsia="fr-BE"/>
    </w:rPr>
  </w:style>
  <w:style w:type="paragraph" w:styleId="EndnoteText">
    <w:name w:val="endnote text"/>
    <w:basedOn w:val="Normal"/>
    <w:link w:val="EndnoteTextChar"/>
    <w:semiHidden/>
    <w:unhideWhenUsed/>
    <w:pPr>
      <w:spacing w:after="0"/>
    </w:pPr>
    <w:rPr>
      <w:sz w:val="20"/>
    </w:rPr>
  </w:style>
  <w:style w:type="character" w:customStyle="1" w:styleId="EndnoteTextChar">
    <w:name w:val="Endnote Text Char"/>
    <w:basedOn w:val="DefaultParagraphFont"/>
    <w:link w:val="EndnoteText"/>
    <w:semiHidden/>
    <w:rPr>
      <w:lang w:eastAsia="en-US"/>
    </w:rPr>
  </w:style>
  <w:style w:type="character" w:styleId="EndnoteReference">
    <w:name w:val="endnote reference"/>
    <w:basedOn w:val="DefaultParagraphFont"/>
    <w:semiHidden/>
    <w:unhideWhenUsed/>
    <w:rPr>
      <w:vertAlign w:val="superscript"/>
    </w:rPr>
  </w:style>
  <w:style w:type="character" w:customStyle="1" w:styleId="highlightedglossaryterm">
    <w:name w:val="highlightedglossaryterm"/>
    <w:basedOn w:val="DefaultParagraphFont"/>
  </w:style>
  <w:style w:type="character" w:styleId="FollowedHyperlink">
    <w:name w:val="FollowedHyperlink"/>
    <w:basedOn w:val="DefaultParagraphFont"/>
    <w:semiHidden/>
    <w:unhideWhenUsed/>
    <w:rPr>
      <w:color w:val="800080" w:themeColor="followedHyperlink"/>
      <w:u w:val="single"/>
    </w:rPr>
  </w:style>
  <w:style w:type="paragraph" w:styleId="DocumentMap">
    <w:name w:val="Document Map"/>
    <w:basedOn w:val="Normal"/>
    <w:link w:val="DocumentMapChar"/>
    <w:uiPriority w:val="99"/>
    <w:semiHidden/>
    <w:pPr>
      <w:shd w:val="clear" w:color="auto" w:fill="000080"/>
      <w:spacing w:after="0"/>
      <w:jc w:val="left"/>
    </w:pPr>
    <w:rPr>
      <w:rFonts w:ascii="Tahoma" w:hAnsi="Tahoma" w:cs="Tahoma"/>
      <w:sz w:val="20"/>
      <w:lang w:eastAsia="en-GB"/>
    </w:rPr>
  </w:style>
  <w:style w:type="character" w:customStyle="1" w:styleId="DocumentMapChar">
    <w:name w:val="Document Map Char"/>
    <w:basedOn w:val="DefaultParagraphFont"/>
    <w:link w:val="DocumentMap"/>
    <w:uiPriority w:val="99"/>
    <w:semiHidden/>
    <w:rPr>
      <w:rFonts w:ascii="Tahoma" w:hAnsi="Tahoma" w:cs="Tahoma"/>
      <w:shd w:val="clear" w:color="auto" w:fill="000080"/>
    </w:rPr>
  </w:style>
  <w:style w:type="paragraph" w:styleId="Revision">
    <w:name w:val="Revision"/>
    <w:hidden/>
    <w:uiPriority w:val="99"/>
    <w:semiHidden/>
    <w:rPr>
      <w:sz w:val="24"/>
      <w:lang w:eastAsia="en-US"/>
    </w:rPr>
  </w:style>
  <w:style w:type="paragraph" w:styleId="TOC1">
    <w:name w:val="toc 1"/>
    <w:basedOn w:val="Normal"/>
    <w:next w:val="Normal"/>
    <w:semiHidden/>
    <w:unhideWhenUsed/>
    <w:pPr>
      <w:spacing w:after="100"/>
    </w:pPr>
  </w:style>
  <w:style w:type="paragraph" w:styleId="TOC2">
    <w:name w:val="toc 2"/>
    <w:basedOn w:val="Normal"/>
    <w:next w:val="Normal"/>
    <w:semiHidden/>
    <w:unhideWhenUsed/>
    <w:pPr>
      <w:spacing w:after="100"/>
      <w:ind w:left="240"/>
    </w:pPr>
  </w:style>
  <w:style w:type="paragraph" w:styleId="TOC3">
    <w:name w:val="toc 3"/>
    <w:basedOn w:val="Normal"/>
    <w:next w:val="Normal"/>
    <w:semiHidden/>
    <w:unhideWhenUsed/>
    <w:pPr>
      <w:spacing w:after="100"/>
      <w:ind w:left="480"/>
    </w:pPr>
  </w:style>
  <w:style w:type="paragraph" w:styleId="TOC4">
    <w:name w:val="toc 4"/>
    <w:basedOn w:val="Normal"/>
    <w:next w:val="Normal"/>
    <w:semiHidden/>
    <w:unhideWhenUsed/>
    <w:pPr>
      <w:spacing w:after="100"/>
      <w:ind w:left="720"/>
    </w:pPr>
  </w:style>
  <w:style w:type="paragraph" w:styleId="TOC5">
    <w:name w:val="toc 5"/>
    <w:basedOn w:val="Normal"/>
    <w:next w:val="Normal"/>
    <w:semiHidden/>
    <w:unhideWhenUsed/>
    <w:pPr>
      <w:spacing w:after="100"/>
      <w:ind w:left="960"/>
    </w:pPr>
  </w:style>
  <w:style w:type="paragraph" w:styleId="TOC6">
    <w:name w:val="toc 6"/>
    <w:basedOn w:val="Normal"/>
    <w:next w:val="Normal"/>
    <w:semiHidden/>
    <w:unhideWhenUsed/>
    <w:pPr>
      <w:spacing w:after="100"/>
      <w:ind w:left="1200"/>
    </w:pPr>
  </w:style>
  <w:style w:type="paragraph" w:styleId="TOC7">
    <w:name w:val="toc 7"/>
    <w:basedOn w:val="Normal"/>
    <w:next w:val="Normal"/>
    <w:semiHidden/>
    <w:unhideWhenUsed/>
    <w:pPr>
      <w:spacing w:after="100"/>
      <w:ind w:left="1440"/>
    </w:pPr>
  </w:style>
  <w:style w:type="paragraph" w:styleId="TOC8">
    <w:name w:val="toc 8"/>
    <w:basedOn w:val="Normal"/>
    <w:next w:val="Normal"/>
    <w:semiHidden/>
    <w:unhideWhenUsed/>
    <w:pPr>
      <w:spacing w:after="100"/>
      <w:ind w:left="1680"/>
    </w:pPr>
  </w:style>
  <w:style w:type="paragraph" w:styleId="TOC9">
    <w:name w:val="toc 9"/>
    <w:basedOn w:val="Normal"/>
    <w:next w:val="Normal"/>
    <w:semiHidden/>
    <w:unhideWhenUsed/>
    <w:pPr>
      <w:spacing w:after="100"/>
      <w:ind w:left="1920"/>
    </w:pPr>
  </w:style>
  <w:style w:type="paragraph" w:styleId="ListBullet">
    <w:name w:val="List Bullet"/>
    <w:basedOn w:val="Normal"/>
    <w:semiHidden/>
    <w:unhideWhenUsed/>
    <w:pPr>
      <w:numPr>
        <w:numId w:val="29"/>
      </w:numPr>
      <w:contextualSpacing/>
    </w:pPr>
  </w:style>
  <w:style w:type="paragraph" w:styleId="ListBullet2">
    <w:name w:val="List Bullet 2"/>
    <w:basedOn w:val="Normal"/>
    <w:semiHidden/>
    <w:unhideWhenUsed/>
    <w:pPr>
      <w:numPr>
        <w:numId w:val="30"/>
      </w:numPr>
      <w:contextualSpacing/>
    </w:pPr>
  </w:style>
  <w:style w:type="paragraph" w:styleId="ListBullet3">
    <w:name w:val="List Bullet 3"/>
    <w:basedOn w:val="Normal"/>
    <w:semiHidden/>
    <w:unhideWhenUsed/>
    <w:pPr>
      <w:numPr>
        <w:numId w:val="31"/>
      </w:numPr>
      <w:contextualSpacing/>
    </w:pPr>
  </w:style>
  <w:style w:type="paragraph" w:styleId="ListBullet4">
    <w:name w:val="List Bullet 4"/>
    <w:basedOn w:val="Normal"/>
    <w:semiHidden/>
    <w:unhideWhenUsed/>
    <w:pPr>
      <w:numPr>
        <w:numId w:val="32"/>
      </w:numPr>
      <w:contextualSpacing/>
    </w:pPr>
  </w:style>
  <w:style w:type="character" w:styleId="HTMLCode">
    <w:name w:val="HTML Code"/>
    <w:basedOn w:val="DefaultParagraphFont"/>
    <w:uiPriority w:val="99"/>
    <w:semiHidden/>
    <w:unhideWhenUsed/>
    <w:rPr>
      <w:rFonts w:ascii="Consolas" w:eastAsia="Times New Roman" w:hAnsi="Consolas" w:cs="Consolas" w:hint="default"/>
      <w:color w:val="C7254E"/>
      <w:sz w:val="22"/>
      <w:szCs w:val="22"/>
      <w:shd w:val="clear" w:color="auto" w:fill="F9F2F4"/>
    </w:rPr>
  </w:style>
  <w:style w:type="paragraph" w:customStyle="1" w:styleId="CM3">
    <w:name w:val="CM3"/>
    <w:basedOn w:val="Default"/>
    <w:next w:val="Default"/>
    <w:uiPriority w:val="99"/>
    <w:rPr>
      <w:rFonts w:ascii="EUAlbertina" w:hAnsi="EUAlbertina"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Document Map" w:uiPriority="99"/>
    <w:lsdException w:name="Normal (Web)" w:uiPriority="99"/>
    <w:lsdException w:name="HTML Cod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jc w:val="both"/>
    </w:pPr>
    <w:rPr>
      <w:sz w:val="24"/>
      <w:lang w:eastAsia="en-US"/>
    </w:rPr>
  </w:style>
  <w:style w:type="paragraph" w:styleId="Heading1">
    <w:name w:val="heading 1"/>
    <w:basedOn w:val="Normal"/>
    <w:next w:val="Normal"/>
    <w:link w:val="Heading1Char"/>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pPr>
      <w:spacing w:before="100" w:beforeAutospacing="1" w:after="100" w:afterAutospacing="1"/>
      <w:jc w:val="left"/>
      <w:outlineLvl w:val="1"/>
    </w:pPr>
    <w:rPr>
      <w:b/>
      <w:bCs/>
      <w:sz w:val="36"/>
      <w:szCs w:val="36"/>
      <w:lang w:eastAsia="en-GB"/>
    </w:rPr>
  </w:style>
  <w:style w:type="paragraph" w:styleId="Heading4">
    <w:name w:val="heading 4"/>
    <w:basedOn w:val="Normal"/>
    <w:next w:val="Normal"/>
    <w:link w:val="Heading4Char"/>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rFonts w:ascii="Times New Roman" w:hAnsi="Times New Roman" w:cs="Times New Roman" w:hint="default"/>
      <w:color w:val="0000FF"/>
      <w:u w:val="single"/>
    </w:rPr>
  </w:style>
  <w:style w:type="paragraph" w:styleId="NormalWeb">
    <w:name w:val="Normal (Web)"/>
    <w:basedOn w:val="Normal"/>
    <w:uiPriority w:val="99"/>
    <w:unhideWhenUsed/>
    <w:pPr>
      <w:spacing w:before="100" w:beforeAutospacing="1" w:after="100" w:afterAutospacing="1"/>
      <w:jc w:val="left"/>
    </w:pPr>
    <w:rPr>
      <w:szCs w:val="24"/>
      <w:lang w:eastAsia="en-GB"/>
    </w:rPr>
  </w:style>
  <w:style w:type="paragraph" w:styleId="FootnoteText">
    <w:name w:val="footnote text"/>
    <w:basedOn w:val="Normal"/>
    <w:link w:val="FootnoteTextChar"/>
    <w:uiPriority w:val="99"/>
    <w:unhideWhenUsed/>
    <w:pPr>
      <w:ind w:left="357" w:hanging="357"/>
    </w:pPr>
    <w:rPr>
      <w:sz w:val="20"/>
    </w:rPr>
  </w:style>
  <w:style w:type="character" w:customStyle="1" w:styleId="FootnoteTextChar">
    <w:name w:val="Footnote Text Char"/>
    <w:basedOn w:val="DefaultParagraphFont"/>
    <w:link w:val="FootnoteText"/>
    <w:uiPriority w:val="99"/>
    <w:rPr>
      <w:lang w:eastAsia="en-US"/>
    </w:rPr>
  </w:style>
  <w:style w:type="paragraph" w:styleId="ListParagraph">
    <w:name w:val="List Paragraph"/>
    <w:basedOn w:val="Normal"/>
    <w:uiPriority w:val="34"/>
    <w:qFormat/>
    <w:pPr>
      <w:spacing w:after="200" w:line="276" w:lineRule="auto"/>
      <w:ind w:left="720"/>
      <w:contextualSpacing/>
      <w:jc w:val="left"/>
    </w:pPr>
    <w:rPr>
      <w:rFonts w:ascii="Arial" w:eastAsia="Calibri" w:hAnsi="Arial" w:cs="Arial"/>
      <w:szCs w:val="22"/>
    </w:rPr>
  </w:style>
  <w:style w:type="paragraph" w:customStyle="1" w:styleId="ZDGName">
    <w:name w:val="Z_DGName"/>
    <w:basedOn w:val="Normal"/>
    <w:uiPriority w:val="99"/>
    <w:semiHidden/>
    <w:pPr>
      <w:widowControl w:val="0"/>
      <w:autoSpaceDE w:val="0"/>
      <w:autoSpaceDN w:val="0"/>
      <w:spacing w:after="0"/>
      <w:ind w:right="85"/>
      <w:jc w:val="left"/>
    </w:pPr>
    <w:rPr>
      <w:rFonts w:ascii="Arial" w:hAnsi="Arial" w:cs="Arial"/>
      <w:sz w:val="16"/>
      <w:szCs w:val="16"/>
      <w:lang w:eastAsia="en-GB"/>
    </w:rPr>
  </w:style>
  <w:style w:type="paragraph" w:customStyle="1" w:styleId="ZCom">
    <w:name w:val="Z_Com"/>
    <w:basedOn w:val="Normal"/>
    <w:next w:val="ZDGName"/>
    <w:uiPriority w:val="99"/>
    <w:semiHidden/>
    <w:pPr>
      <w:widowControl w:val="0"/>
      <w:autoSpaceDE w:val="0"/>
      <w:autoSpaceDN w:val="0"/>
      <w:spacing w:after="0"/>
      <w:ind w:right="85"/>
    </w:pPr>
    <w:rPr>
      <w:rFonts w:ascii="Arial" w:hAnsi="Arial" w:cs="Arial"/>
      <w:szCs w:val="24"/>
      <w:lang w:eastAsia="en-GB"/>
    </w:rPr>
  </w:style>
  <w:style w:type="paragraph" w:customStyle="1" w:styleId="Default">
    <w:name w:val="Default"/>
    <w:pPr>
      <w:autoSpaceDE w:val="0"/>
      <w:autoSpaceDN w:val="0"/>
      <w:adjustRightInd w:val="0"/>
    </w:pPr>
    <w:rPr>
      <w:rFonts w:ascii="Calibri" w:hAnsi="Calibri" w:cs="Calibri"/>
      <w:color w:val="000000"/>
      <w:sz w:val="24"/>
      <w:szCs w:val="24"/>
    </w:rPr>
  </w:style>
  <w:style w:type="character" w:styleId="FootnoteReference">
    <w:name w:val="footnote reference"/>
    <w:uiPriority w:val="99"/>
    <w:unhideWhenUsed/>
    <w:rPr>
      <w:vertAlign w:val="superscript"/>
    </w:rPr>
  </w:style>
  <w:style w:type="character" w:styleId="Strong">
    <w:name w:val="Strong"/>
    <w:basedOn w:val="DefaultParagraphFont"/>
    <w:uiPriority w:val="22"/>
    <w:qFormat/>
    <w:rPr>
      <w:b/>
      <w:bCs/>
    </w:rPr>
  </w:style>
  <w:style w:type="paragraph" w:styleId="BalloonText">
    <w:name w:val="Balloon Text"/>
    <w:basedOn w:val="Normal"/>
    <w:link w:val="BalloonTextChar"/>
    <w:pPr>
      <w:spacing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styleId="Header">
    <w:name w:val="header"/>
    <w:basedOn w:val="Normal"/>
    <w:link w:val="HeaderChar"/>
    <w:pPr>
      <w:tabs>
        <w:tab w:val="center" w:pos="4536"/>
        <w:tab w:val="right" w:pos="9072"/>
      </w:tabs>
      <w:spacing w:after="0"/>
    </w:pPr>
  </w:style>
  <w:style w:type="character" w:customStyle="1" w:styleId="HeaderChar">
    <w:name w:val="Header Char"/>
    <w:basedOn w:val="DefaultParagraphFont"/>
    <w:link w:val="Header"/>
    <w:rPr>
      <w:sz w:val="24"/>
      <w:lang w:eastAsia="en-US"/>
    </w:rPr>
  </w:style>
  <w:style w:type="paragraph" w:styleId="Footer">
    <w:name w:val="footer"/>
    <w:basedOn w:val="Normal"/>
    <w:link w:val="FooterChar"/>
    <w:uiPriority w:val="99"/>
    <w:pPr>
      <w:tabs>
        <w:tab w:val="center" w:pos="4536"/>
        <w:tab w:val="right" w:pos="9072"/>
      </w:tabs>
      <w:spacing w:after="0"/>
    </w:pPr>
  </w:style>
  <w:style w:type="character" w:customStyle="1" w:styleId="FooterChar">
    <w:name w:val="Footer Char"/>
    <w:basedOn w:val="DefaultParagraphFont"/>
    <w:link w:val="Footer"/>
    <w:uiPriority w:val="99"/>
    <w:rPr>
      <w:sz w:val="24"/>
      <w:lang w:eastAsia="en-US"/>
    </w:rPr>
  </w:style>
  <w:style w:type="paragraph" w:customStyle="1" w:styleId="FooterCoverPage">
    <w:name w:val="Footer Cover Page"/>
    <w:basedOn w:val="Normal"/>
    <w:link w:val="FooterCoverPageChar"/>
    <w:pPr>
      <w:tabs>
        <w:tab w:val="center" w:pos="4535"/>
        <w:tab w:val="right" w:pos="9071"/>
        <w:tab w:val="right" w:pos="9921"/>
      </w:tabs>
      <w:autoSpaceDE w:val="0"/>
      <w:autoSpaceDN w:val="0"/>
      <w:adjustRightInd w:val="0"/>
      <w:spacing w:before="360" w:after="0"/>
      <w:ind w:left="-850" w:right="-850"/>
      <w:jc w:val="left"/>
    </w:pPr>
    <w:rPr>
      <w:bCs/>
      <w:szCs w:val="22"/>
      <w:lang w:eastAsia="en-GB"/>
    </w:rPr>
  </w:style>
  <w:style w:type="character" w:customStyle="1" w:styleId="FooterCoverPageChar">
    <w:name w:val="Footer Cover Page Char"/>
    <w:basedOn w:val="DefaultParagraphFont"/>
    <w:link w:val="FooterCoverPage"/>
    <w:rPr>
      <w:bCs/>
      <w:sz w:val="24"/>
      <w:szCs w:val="22"/>
    </w:rPr>
  </w:style>
  <w:style w:type="paragraph" w:customStyle="1" w:styleId="HeaderCoverPage">
    <w:name w:val="Header Cover Page"/>
    <w:basedOn w:val="Normal"/>
    <w:link w:val="HeaderCoverPageChar"/>
    <w:pPr>
      <w:tabs>
        <w:tab w:val="center" w:pos="4535"/>
        <w:tab w:val="right" w:pos="9071"/>
      </w:tabs>
      <w:autoSpaceDE w:val="0"/>
      <w:autoSpaceDN w:val="0"/>
      <w:adjustRightInd w:val="0"/>
      <w:spacing w:after="120"/>
    </w:pPr>
    <w:rPr>
      <w:bCs/>
      <w:szCs w:val="22"/>
      <w:lang w:eastAsia="en-GB"/>
    </w:rPr>
  </w:style>
  <w:style w:type="character" w:customStyle="1" w:styleId="HeaderCoverPageChar">
    <w:name w:val="Header Cover Page Char"/>
    <w:basedOn w:val="DefaultParagraphFont"/>
    <w:link w:val="HeaderCoverPage"/>
    <w:rPr>
      <w:bCs/>
      <w:sz w:val="24"/>
      <w:szCs w:val="22"/>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rPr>
  </w:style>
  <w:style w:type="character" w:customStyle="1" w:styleId="CommentTextChar">
    <w:name w:val="Comment Text Char"/>
    <w:basedOn w:val="DefaultParagraphFont"/>
    <w:link w:val="CommentText"/>
    <w:uiPriority w:val="99"/>
    <w:rPr>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lang w:eastAsia="en-US"/>
    </w:rPr>
  </w:style>
  <w:style w:type="character" w:customStyle="1" w:styleId="Heading2Char">
    <w:name w:val="Heading 2 Char"/>
    <w:basedOn w:val="DefaultParagraphFont"/>
    <w:link w:val="Heading2"/>
    <w:uiPriority w:val="9"/>
    <w:rPr>
      <w:b/>
      <w:bCs/>
      <w:sz w:val="36"/>
      <w:szCs w:val="36"/>
    </w:rPr>
  </w:style>
  <w:style w:type="character" w:customStyle="1" w:styleId="Heading4Char">
    <w:name w:val="Heading 4 Char"/>
    <w:basedOn w:val="DefaultParagraphFont"/>
    <w:link w:val="Heading4"/>
    <w:semiHidden/>
    <w:rPr>
      <w:rFonts w:asciiTheme="majorHAnsi" w:eastAsiaTheme="majorEastAsia" w:hAnsiTheme="majorHAnsi" w:cstheme="majorBidi"/>
      <w:b/>
      <w:bCs/>
      <w:i/>
      <w:iCs/>
      <w:color w:val="4F81BD" w:themeColor="accent1"/>
      <w:sz w:val="24"/>
      <w:lang w:eastAsia="en-US"/>
    </w:r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lang w:eastAsia="en-US"/>
    </w:rPr>
  </w:style>
  <w:style w:type="paragraph" w:customStyle="1" w:styleId="CM1">
    <w:name w:val="CM1"/>
    <w:basedOn w:val="Normal"/>
    <w:next w:val="Normal"/>
    <w:uiPriority w:val="99"/>
    <w:pPr>
      <w:autoSpaceDE w:val="0"/>
      <w:autoSpaceDN w:val="0"/>
      <w:adjustRightInd w:val="0"/>
      <w:spacing w:after="0"/>
      <w:jc w:val="left"/>
    </w:pPr>
    <w:rPr>
      <w:rFonts w:ascii="EUAlbertina" w:eastAsiaTheme="minorHAnsi" w:hAnsi="EUAlbertina" w:cstheme="minorBidi"/>
      <w:szCs w:val="24"/>
    </w:rPr>
  </w:style>
  <w:style w:type="paragraph" w:customStyle="1" w:styleId="CM4">
    <w:name w:val="CM4"/>
    <w:basedOn w:val="Normal"/>
    <w:next w:val="Normal"/>
    <w:uiPriority w:val="99"/>
    <w:pPr>
      <w:autoSpaceDE w:val="0"/>
      <w:autoSpaceDN w:val="0"/>
      <w:adjustRightInd w:val="0"/>
      <w:spacing w:after="0"/>
      <w:jc w:val="left"/>
    </w:pPr>
    <w:rPr>
      <w:rFonts w:ascii="EUAlbertina" w:eastAsiaTheme="minorHAnsi" w:hAnsi="EUAlbertina" w:cstheme="minorBidi"/>
      <w:szCs w:val="24"/>
    </w:rPr>
  </w:style>
  <w:style w:type="paragraph" w:customStyle="1" w:styleId="Tiretsstyle0">
    <w:name w:val="Tirets style 0"/>
    <w:basedOn w:val="Normal"/>
    <w:pPr>
      <w:numPr>
        <w:numId w:val="20"/>
      </w:numPr>
      <w:autoSpaceDE w:val="0"/>
      <w:autoSpaceDN w:val="0"/>
      <w:adjustRightInd w:val="0"/>
      <w:spacing w:after="0"/>
      <w:jc w:val="left"/>
    </w:pPr>
    <w:rPr>
      <w:szCs w:val="24"/>
      <w:lang w:eastAsia="fr-BE"/>
    </w:rPr>
  </w:style>
  <w:style w:type="paragraph" w:styleId="EndnoteText">
    <w:name w:val="endnote text"/>
    <w:basedOn w:val="Normal"/>
    <w:link w:val="EndnoteTextChar"/>
    <w:semiHidden/>
    <w:unhideWhenUsed/>
    <w:pPr>
      <w:spacing w:after="0"/>
    </w:pPr>
    <w:rPr>
      <w:sz w:val="20"/>
    </w:rPr>
  </w:style>
  <w:style w:type="character" w:customStyle="1" w:styleId="EndnoteTextChar">
    <w:name w:val="Endnote Text Char"/>
    <w:basedOn w:val="DefaultParagraphFont"/>
    <w:link w:val="EndnoteText"/>
    <w:semiHidden/>
    <w:rPr>
      <w:lang w:eastAsia="en-US"/>
    </w:rPr>
  </w:style>
  <w:style w:type="character" w:styleId="EndnoteReference">
    <w:name w:val="endnote reference"/>
    <w:basedOn w:val="DefaultParagraphFont"/>
    <w:semiHidden/>
    <w:unhideWhenUsed/>
    <w:rPr>
      <w:vertAlign w:val="superscript"/>
    </w:rPr>
  </w:style>
  <w:style w:type="character" w:customStyle="1" w:styleId="highlightedglossaryterm">
    <w:name w:val="highlightedglossaryterm"/>
    <w:basedOn w:val="DefaultParagraphFont"/>
  </w:style>
  <w:style w:type="character" w:styleId="FollowedHyperlink">
    <w:name w:val="FollowedHyperlink"/>
    <w:basedOn w:val="DefaultParagraphFont"/>
    <w:semiHidden/>
    <w:unhideWhenUsed/>
    <w:rPr>
      <w:color w:val="800080" w:themeColor="followedHyperlink"/>
      <w:u w:val="single"/>
    </w:rPr>
  </w:style>
  <w:style w:type="paragraph" w:styleId="DocumentMap">
    <w:name w:val="Document Map"/>
    <w:basedOn w:val="Normal"/>
    <w:link w:val="DocumentMapChar"/>
    <w:uiPriority w:val="99"/>
    <w:semiHidden/>
    <w:pPr>
      <w:shd w:val="clear" w:color="auto" w:fill="000080"/>
      <w:spacing w:after="0"/>
      <w:jc w:val="left"/>
    </w:pPr>
    <w:rPr>
      <w:rFonts w:ascii="Tahoma" w:hAnsi="Tahoma" w:cs="Tahoma"/>
      <w:sz w:val="20"/>
      <w:lang w:eastAsia="en-GB"/>
    </w:rPr>
  </w:style>
  <w:style w:type="character" w:customStyle="1" w:styleId="DocumentMapChar">
    <w:name w:val="Document Map Char"/>
    <w:basedOn w:val="DefaultParagraphFont"/>
    <w:link w:val="DocumentMap"/>
    <w:uiPriority w:val="99"/>
    <w:semiHidden/>
    <w:rPr>
      <w:rFonts w:ascii="Tahoma" w:hAnsi="Tahoma" w:cs="Tahoma"/>
      <w:shd w:val="clear" w:color="auto" w:fill="000080"/>
    </w:rPr>
  </w:style>
  <w:style w:type="paragraph" w:styleId="Revision">
    <w:name w:val="Revision"/>
    <w:hidden/>
    <w:uiPriority w:val="99"/>
    <w:semiHidden/>
    <w:rPr>
      <w:sz w:val="24"/>
      <w:lang w:eastAsia="en-US"/>
    </w:rPr>
  </w:style>
  <w:style w:type="paragraph" w:styleId="TOC1">
    <w:name w:val="toc 1"/>
    <w:basedOn w:val="Normal"/>
    <w:next w:val="Normal"/>
    <w:semiHidden/>
    <w:unhideWhenUsed/>
    <w:pPr>
      <w:spacing w:after="100"/>
    </w:pPr>
  </w:style>
  <w:style w:type="paragraph" w:styleId="TOC2">
    <w:name w:val="toc 2"/>
    <w:basedOn w:val="Normal"/>
    <w:next w:val="Normal"/>
    <w:semiHidden/>
    <w:unhideWhenUsed/>
    <w:pPr>
      <w:spacing w:after="100"/>
      <w:ind w:left="240"/>
    </w:pPr>
  </w:style>
  <w:style w:type="paragraph" w:styleId="TOC3">
    <w:name w:val="toc 3"/>
    <w:basedOn w:val="Normal"/>
    <w:next w:val="Normal"/>
    <w:semiHidden/>
    <w:unhideWhenUsed/>
    <w:pPr>
      <w:spacing w:after="100"/>
      <w:ind w:left="480"/>
    </w:pPr>
  </w:style>
  <w:style w:type="paragraph" w:styleId="TOC4">
    <w:name w:val="toc 4"/>
    <w:basedOn w:val="Normal"/>
    <w:next w:val="Normal"/>
    <w:semiHidden/>
    <w:unhideWhenUsed/>
    <w:pPr>
      <w:spacing w:after="100"/>
      <w:ind w:left="720"/>
    </w:pPr>
  </w:style>
  <w:style w:type="paragraph" w:styleId="TOC5">
    <w:name w:val="toc 5"/>
    <w:basedOn w:val="Normal"/>
    <w:next w:val="Normal"/>
    <w:semiHidden/>
    <w:unhideWhenUsed/>
    <w:pPr>
      <w:spacing w:after="100"/>
      <w:ind w:left="960"/>
    </w:pPr>
  </w:style>
  <w:style w:type="paragraph" w:styleId="TOC6">
    <w:name w:val="toc 6"/>
    <w:basedOn w:val="Normal"/>
    <w:next w:val="Normal"/>
    <w:semiHidden/>
    <w:unhideWhenUsed/>
    <w:pPr>
      <w:spacing w:after="100"/>
      <w:ind w:left="1200"/>
    </w:pPr>
  </w:style>
  <w:style w:type="paragraph" w:styleId="TOC7">
    <w:name w:val="toc 7"/>
    <w:basedOn w:val="Normal"/>
    <w:next w:val="Normal"/>
    <w:semiHidden/>
    <w:unhideWhenUsed/>
    <w:pPr>
      <w:spacing w:after="100"/>
      <w:ind w:left="1440"/>
    </w:pPr>
  </w:style>
  <w:style w:type="paragraph" w:styleId="TOC8">
    <w:name w:val="toc 8"/>
    <w:basedOn w:val="Normal"/>
    <w:next w:val="Normal"/>
    <w:semiHidden/>
    <w:unhideWhenUsed/>
    <w:pPr>
      <w:spacing w:after="100"/>
      <w:ind w:left="1680"/>
    </w:pPr>
  </w:style>
  <w:style w:type="paragraph" w:styleId="TOC9">
    <w:name w:val="toc 9"/>
    <w:basedOn w:val="Normal"/>
    <w:next w:val="Normal"/>
    <w:semiHidden/>
    <w:unhideWhenUsed/>
    <w:pPr>
      <w:spacing w:after="100"/>
      <w:ind w:left="1920"/>
    </w:pPr>
  </w:style>
  <w:style w:type="paragraph" w:styleId="ListBullet">
    <w:name w:val="List Bullet"/>
    <w:basedOn w:val="Normal"/>
    <w:semiHidden/>
    <w:unhideWhenUsed/>
    <w:pPr>
      <w:numPr>
        <w:numId w:val="29"/>
      </w:numPr>
      <w:contextualSpacing/>
    </w:pPr>
  </w:style>
  <w:style w:type="paragraph" w:styleId="ListBullet2">
    <w:name w:val="List Bullet 2"/>
    <w:basedOn w:val="Normal"/>
    <w:semiHidden/>
    <w:unhideWhenUsed/>
    <w:pPr>
      <w:numPr>
        <w:numId w:val="30"/>
      </w:numPr>
      <w:contextualSpacing/>
    </w:pPr>
  </w:style>
  <w:style w:type="paragraph" w:styleId="ListBullet3">
    <w:name w:val="List Bullet 3"/>
    <w:basedOn w:val="Normal"/>
    <w:semiHidden/>
    <w:unhideWhenUsed/>
    <w:pPr>
      <w:numPr>
        <w:numId w:val="31"/>
      </w:numPr>
      <w:contextualSpacing/>
    </w:pPr>
  </w:style>
  <w:style w:type="paragraph" w:styleId="ListBullet4">
    <w:name w:val="List Bullet 4"/>
    <w:basedOn w:val="Normal"/>
    <w:semiHidden/>
    <w:unhideWhenUsed/>
    <w:pPr>
      <w:numPr>
        <w:numId w:val="32"/>
      </w:numPr>
      <w:contextualSpacing/>
    </w:pPr>
  </w:style>
  <w:style w:type="character" w:styleId="HTMLCode">
    <w:name w:val="HTML Code"/>
    <w:basedOn w:val="DefaultParagraphFont"/>
    <w:uiPriority w:val="99"/>
    <w:semiHidden/>
    <w:unhideWhenUsed/>
    <w:rPr>
      <w:rFonts w:ascii="Consolas" w:eastAsia="Times New Roman" w:hAnsi="Consolas" w:cs="Consolas" w:hint="default"/>
      <w:color w:val="C7254E"/>
      <w:sz w:val="22"/>
      <w:szCs w:val="22"/>
      <w:shd w:val="clear" w:color="auto" w:fill="F9F2F4"/>
    </w:rPr>
  </w:style>
  <w:style w:type="paragraph" w:customStyle="1" w:styleId="CM3">
    <w:name w:val="CM3"/>
    <w:basedOn w:val="Default"/>
    <w:next w:val="Default"/>
    <w:uiPriority w:val="99"/>
    <w:rPr>
      <w:rFonts w:ascii="EUAlbertina" w:hAnsi="EUAlbertina"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99889">
      <w:bodyDiv w:val="1"/>
      <w:marLeft w:val="0"/>
      <w:marRight w:val="0"/>
      <w:marTop w:val="0"/>
      <w:marBottom w:val="0"/>
      <w:divBdr>
        <w:top w:val="none" w:sz="0" w:space="0" w:color="auto"/>
        <w:left w:val="none" w:sz="0" w:space="0" w:color="auto"/>
        <w:bottom w:val="none" w:sz="0" w:space="0" w:color="auto"/>
        <w:right w:val="none" w:sz="0" w:space="0" w:color="auto"/>
      </w:divBdr>
    </w:div>
    <w:div w:id="312101389">
      <w:bodyDiv w:val="1"/>
      <w:marLeft w:val="0"/>
      <w:marRight w:val="0"/>
      <w:marTop w:val="0"/>
      <w:marBottom w:val="0"/>
      <w:divBdr>
        <w:top w:val="none" w:sz="0" w:space="0" w:color="auto"/>
        <w:left w:val="none" w:sz="0" w:space="0" w:color="auto"/>
        <w:bottom w:val="none" w:sz="0" w:space="0" w:color="auto"/>
        <w:right w:val="none" w:sz="0" w:space="0" w:color="auto"/>
      </w:divBdr>
    </w:div>
    <w:div w:id="448087766">
      <w:bodyDiv w:val="1"/>
      <w:marLeft w:val="0"/>
      <w:marRight w:val="0"/>
      <w:marTop w:val="0"/>
      <w:marBottom w:val="0"/>
      <w:divBdr>
        <w:top w:val="none" w:sz="0" w:space="0" w:color="auto"/>
        <w:left w:val="none" w:sz="0" w:space="0" w:color="auto"/>
        <w:bottom w:val="none" w:sz="0" w:space="0" w:color="auto"/>
        <w:right w:val="none" w:sz="0" w:space="0" w:color="auto"/>
      </w:divBdr>
    </w:div>
    <w:div w:id="457141390">
      <w:bodyDiv w:val="1"/>
      <w:marLeft w:val="0"/>
      <w:marRight w:val="0"/>
      <w:marTop w:val="0"/>
      <w:marBottom w:val="0"/>
      <w:divBdr>
        <w:top w:val="none" w:sz="0" w:space="0" w:color="auto"/>
        <w:left w:val="none" w:sz="0" w:space="0" w:color="auto"/>
        <w:bottom w:val="none" w:sz="0" w:space="0" w:color="auto"/>
        <w:right w:val="none" w:sz="0" w:space="0" w:color="auto"/>
      </w:divBdr>
    </w:div>
    <w:div w:id="646130471">
      <w:bodyDiv w:val="1"/>
      <w:marLeft w:val="0"/>
      <w:marRight w:val="0"/>
      <w:marTop w:val="0"/>
      <w:marBottom w:val="0"/>
      <w:divBdr>
        <w:top w:val="none" w:sz="0" w:space="0" w:color="auto"/>
        <w:left w:val="none" w:sz="0" w:space="0" w:color="auto"/>
        <w:bottom w:val="none" w:sz="0" w:space="0" w:color="auto"/>
        <w:right w:val="none" w:sz="0" w:space="0" w:color="auto"/>
      </w:divBdr>
    </w:div>
    <w:div w:id="670059601">
      <w:bodyDiv w:val="1"/>
      <w:marLeft w:val="0"/>
      <w:marRight w:val="0"/>
      <w:marTop w:val="0"/>
      <w:marBottom w:val="0"/>
      <w:divBdr>
        <w:top w:val="none" w:sz="0" w:space="0" w:color="auto"/>
        <w:left w:val="none" w:sz="0" w:space="0" w:color="auto"/>
        <w:bottom w:val="none" w:sz="0" w:space="0" w:color="auto"/>
        <w:right w:val="none" w:sz="0" w:space="0" w:color="auto"/>
      </w:divBdr>
    </w:div>
    <w:div w:id="713389990">
      <w:bodyDiv w:val="1"/>
      <w:marLeft w:val="0"/>
      <w:marRight w:val="0"/>
      <w:marTop w:val="0"/>
      <w:marBottom w:val="0"/>
      <w:divBdr>
        <w:top w:val="none" w:sz="0" w:space="0" w:color="auto"/>
        <w:left w:val="none" w:sz="0" w:space="0" w:color="auto"/>
        <w:bottom w:val="none" w:sz="0" w:space="0" w:color="auto"/>
        <w:right w:val="none" w:sz="0" w:space="0" w:color="auto"/>
      </w:divBdr>
    </w:div>
    <w:div w:id="757678339">
      <w:bodyDiv w:val="1"/>
      <w:marLeft w:val="0"/>
      <w:marRight w:val="0"/>
      <w:marTop w:val="0"/>
      <w:marBottom w:val="0"/>
      <w:divBdr>
        <w:top w:val="none" w:sz="0" w:space="0" w:color="auto"/>
        <w:left w:val="none" w:sz="0" w:space="0" w:color="auto"/>
        <w:bottom w:val="none" w:sz="0" w:space="0" w:color="auto"/>
        <w:right w:val="none" w:sz="0" w:space="0" w:color="auto"/>
      </w:divBdr>
    </w:div>
    <w:div w:id="770710271">
      <w:bodyDiv w:val="1"/>
      <w:marLeft w:val="0"/>
      <w:marRight w:val="0"/>
      <w:marTop w:val="0"/>
      <w:marBottom w:val="0"/>
      <w:divBdr>
        <w:top w:val="none" w:sz="0" w:space="0" w:color="auto"/>
        <w:left w:val="none" w:sz="0" w:space="0" w:color="auto"/>
        <w:bottom w:val="none" w:sz="0" w:space="0" w:color="auto"/>
        <w:right w:val="none" w:sz="0" w:space="0" w:color="auto"/>
      </w:divBdr>
    </w:div>
    <w:div w:id="820314340">
      <w:bodyDiv w:val="1"/>
      <w:marLeft w:val="0"/>
      <w:marRight w:val="0"/>
      <w:marTop w:val="0"/>
      <w:marBottom w:val="0"/>
      <w:divBdr>
        <w:top w:val="none" w:sz="0" w:space="0" w:color="auto"/>
        <w:left w:val="none" w:sz="0" w:space="0" w:color="auto"/>
        <w:bottom w:val="none" w:sz="0" w:space="0" w:color="auto"/>
        <w:right w:val="none" w:sz="0" w:space="0" w:color="auto"/>
      </w:divBdr>
    </w:div>
    <w:div w:id="904334849">
      <w:bodyDiv w:val="1"/>
      <w:marLeft w:val="0"/>
      <w:marRight w:val="0"/>
      <w:marTop w:val="0"/>
      <w:marBottom w:val="0"/>
      <w:divBdr>
        <w:top w:val="none" w:sz="0" w:space="0" w:color="auto"/>
        <w:left w:val="none" w:sz="0" w:space="0" w:color="auto"/>
        <w:bottom w:val="none" w:sz="0" w:space="0" w:color="auto"/>
        <w:right w:val="none" w:sz="0" w:space="0" w:color="auto"/>
      </w:divBdr>
    </w:div>
    <w:div w:id="911043664">
      <w:bodyDiv w:val="1"/>
      <w:marLeft w:val="0"/>
      <w:marRight w:val="0"/>
      <w:marTop w:val="0"/>
      <w:marBottom w:val="0"/>
      <w:divBdr>
        <w:top w:val="none" w:sz="0" w:space="0" w:color="auto"/>
        <w:left w:val="none" w:sz="0" w:space="0" w:color="auto"/>
        <w:bottom w:val="none" w:sz="0" w:space="0" w:color="auto"/>
        <w:right w:val="none" w:sz="0" w:space="0" w:color="auto"/>
      </w:divBdr>
    </w:div>
    <w:div w:id="1203831734">
      <w:bodyDiv w:val="1"/>
      <w:marLeft w:val="0"/>
      <w:marRight w:val="0"/>
      <w:marTop w:val="0"/>
      <w:marBottom w:val="0"/>
      <w:divBdr>
        <w:top w:val="none" w:sz="0" w:space="0" w:color="auto"/>
        <w:left w:val="none" w:sz="0" w:space="0" w:color="auto"/>
        <w:bottom w:val="none" w:sz="0" w:space="0" w:color="auto"/>
        <w:right w:val="none" w:sz="0" w:space="0" w:color="auto"/>
      </w:divBdr>
      <w:divsChild>
        <w:div w:id="225143303">
          <w:marLeft w:val="0"/>
          <w:marRight w:val="0"/>
          <w:marTop w:val="0"/>
          <w:marBottom w:val="0"/>
          <w:divBdr>
            <w:top w:val="none" w:sz="0" w:space="0" w:color="auto"/>
            <w:left w:val="none" w:sz="0" w:space="0" w:color="auto"/>
            <w:bottom w:val="none" w:sz="0" w:space="0" w:color="auto"/>
            <w:right w:val="none" w:sz="0" w:space="0" w:color="auto"/>
          </w:divBdr>
          <w:divsChild>
            <w:div w:id="1173685645">
              <w:marLeft w:val="0"/>
              <w:marRight w:val="0"/>
              <w:marTop w:val="0"/>
              <w:marBottom w:val="0"/>
              <w:divBdr>
                <w:top w:val="none" w:sz="0" w:space="0" w:color="auto"/>
                <w:left w:val="none" w:sz="0" w:space="0" w:color="auto"/>
                <w:bottom w:val="none" w:sz="0" w:space="0" w:color="auto"/>
                <w:right w:val="none" w:sz="0" w:space="0" w:color="auto"/>
              </w:divBdr>
              <w:divsChild>
                <w:div w:id="515115397">
                  <w:marLeft w:val="0"/>
                  <w:marRight w:val="0"/>
                  <w:marTop w:val="0"/>
                  <w:marBottom w:val="0"/>
                  <w:divBdr>
                    <w:top w:val="none" w:sz="0" w:space="0" w:color="auto"/>
                    <w:left w:val="none" w:sz="0" w:space="0" w:color="auto"/>
                    <w:bottom w:val="none" w:sz="0" w:space="0" w:color="auto"/>
                    <w:right w:val="none" w:sz="0" w:space="0" w:color="auto"/>
                  </w:divBdr>
                  <w:divsChild>
                    <w:div w:id="401483940">
                      <w:marLeft w:val="0"/>
                      <w:marRight w:val="0"/>
                      <w:marTop w:val="0"/>
                      <w:marBottom w:val="0"/>
                      <w:divBdr>
                        <w:top w:val="none" w:sz="0" w:space="0" w:color="auto"/>
                        <w:left w:val="none" w:sz="0" w:space="0" w:color="auto"/>
                        <w:bottom w:val="none" w:sz="0" w:space="0" w:color="auto"/>
                        <w:right w:val="none" w:sz="0" w:space="0" w:color="auto"/>
                      </w:divBdr>
                      <w:divsChild>
                        <w:div w:id="1399749257">
                          <w:marLeft w:val="0"/>
                          <w:marRight w:val="0"/>
                          <w:marTop w:val="0"/>
                          <w:marBottom w:val="0"/>
                          <w:divBdr>
                            <w:top w:val="none" w:sz="0" w:space="0" w:color="auto"/>
                            <w:left w:val="none" w:sz="0" w:space="0" w:color="auto"/>
                            <w:bottom w:val="none" w:sz="0" w:space="0" w:color="auto"/>
                            <w:right w:val="none" w:sz="0" w:space="0" w:color="auto"/>
                          </w:divBdr>
                          <w:divsChild>
                            <w:div w:id="1621035331">
                              <w:marLeft w:val="0"/>
                              <w:marRight w:val="0"/>
                              <w:marTop w:val="0"/>
                              <w:marBottom w:val="0"/>
                              <w:divBdr>
                                <w:top w:val="none" w:sz="0" w:space="0" w:color="auto"/>
                                <w:left w:val="none" w:sz="0" w:space="0" w:color="auto"/>
                                <w:bottom w:val="none" w:sz="0" w:space="0" w:color="auto"/>
                                <w:right w:val="none" w:sz="0" w:space="0" w:color="auto"/>
                              </w:divBdr>
                              <w:divsChild>
                                <w:div w:id="45124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4839521">
      <w:bodyDiv w:val="1"/>
      <w:marLeft w:val="0"/>
      <w:marRight w:val="0"/>
      <w:marTop w:val="0"/>
      <w:marBottom w:val="0"/>
      <w:divBdr>
        <w:top w:val="none" w:sz="0" w:space="0" w:color="auto"/>
        <w:left w:val="none" w:sz="0" w:space="0" w:color="auto"/>
        <w:bottom w:val="none" w:sz="0" w:space="0" w:color="auto"/>
        <w:right w:val="none" w:sz="0" w:space="0" w:color="auto"/>
      </w:divBdr>
    </w:div>
    <w:div w:id="1437480846">
      <w:bodyDiv w:val="1"/>
      <w:marLeft w:val="0"/>
      <w:marRight w:val="0"/>
      <w:marTop w:val="0"/>
      <w:marBottom w:val="0"/>
      <w:divBdr>
        <w:top w:val="none" w:sz="0" w:space="0" w:color="auto"/>
        <w:left w:val="none" w:sz="0" w:space="0" w:color="auto"/>
        <w:bottom w:val="none" w:sz="0" w:space="0" w:color="auto"/>
        <w:right w:val="none" w:sz="0" w:space="0" w:color="auto"/>
      </w:divBdr>
    </w:div>
    <w:div w:id="1449860032">
      <w:bodyDiv w:val="1"/>
      <w:marLeft w:val="0"/>
      <w:marRight w:val="0"/>
      <w:marTop w:val="0"/>
      <w:marBottom w:val="0"/>
      <w:divBdr>
        <w:top w:val="none" w:sz="0" w:space="0" w:color="auto"/>
        <w:left w:val="none" w:sz="0" w:space="0" w:color="auto"/>
        <w:bottom w:val="none" w:sz="0" w:space="0" w:color="auto"/>
        <w:right w:val="none" w:sz="0" w:space="0" w:color="auto"/>
      </w:divBdr>
    </w:div>
    <w:div w:id="1481658531">
      <w:bodyDiv w:val="1"/>
      <w:marLeft w:val="0"/>
      <w:marRight w:val="0"/>
      <w:marTop w:val="0"/>
      <w:marBottom w:val="0"/>
      <w:divBdr>
        <w:top w:val="none" w:sz="0" w:space="0" w:color="auto"/>
        <w:left w:val="none" w:sz="0" w:space="0" w:color="auto"/>
        <w:bottom w:val="none" w:sz="0" w:space="0" w:color="auto"/>
        <w:right w:val="none" w:sz="0" w:space="0" w:color="auto"/>
      </w:divBdr>
    </w:div>
    <w:div w:id="1630361045">
      <w:bodyDiv w:val="1"/>
      <w:marLeft w:val="0"/>
      <w:marRight w:val="0"/>
      <w:marTop w:val="0"/>
      <w:marBottom w:val="0"/>
      <w:divBdr>
        <w:top w:val="none" w:sz="0" w:space="0" w:color="auto"/>
        <w:left w:val="none" w:sz="0" w:space="0" w:color="auto"/>
        <w:bottom w:val="none" w:sz="0" w:space="0" w:color="auto"/>
        <w:right w:val="none" w:sz="0" w:space="0" w:color="auto"/>
      </w:divBdr>
    </w:div>
    <w:div w:id="1657761157">
      <w:bodyDiv w:val="1"/>
      <w:marLeft w:val="0"/>
      <w:marRight w:val="0"/>
      <w:marTop w:val="0"/>
      <w:marBottom w:val="0"/>
      <w:divBdr>
        <w:top w:val="none" w:sz="0" w:space="0" w:color="auto"/>
        <w:left w:val="none" w:sz="0" w:space="0" w:color="auto"/>
        <w:bottom w:val="none" w:sz="0" w:space="0" w:color="auto"/>
        <w:right w:val="none" w:sz="0" w:space="0" w:color="auto"/>
      </w:divBdr>
    </w:div>
    <w:div w:id="1855606265">
      <w:bodyDiv w:val="1"/>
      <w:marLeft w:val="0"/>
      <w:marRight w:val="0"/>
      <w:marTop w:val="0"/>
      <w:marBottom w:val="0"/>
      <w:divBdr>
        <w:top w:val="none" w:sz="0" w:space="0" w:color="auto"/>
        <w:left w:val="none" w:sz="0" w:space="0" w:color="auto"/>
        <w:bottom w:val="none" w:sz="0" w:space="0" w:color="auto"/>
        <w:right w:val="none" w:sz="0" w:space="0" w:color="auto"/>
      </w:divBdr>
    </w:div>
    <w:div w:id="1907719490">
      <w:bodyDiv w:val="1"/>
      <w:marLeft w:val="0"/>
      <w:marRight w:val="0"/>
      <w:marTop w:val="0"/>
      <w:marBottom w:val="0"/>
      <w:divBdr>
        <w:top w:val="none" w:sz="0" w:space="0" w:color="auto"/>
        <w:left w:val="none" w:sz="0" w:space="0" w:color="auto"/>
        <w:bottom w:val="none" w:sz="0" w:space="0" w:color="auto"/>
        <w:right w:val="none" w:sz="0" w:space="0" w:color="auto"/>
      </w:divBdr>
    </w:div>
    <w:div w:id="1971670009">
      <w:bodyDiv w:val="1"/>
      <w:marLeft w:val="0"/>
      <w:marRight w:val="0"/>
      <w:marTop w:val="0"/>
      <w:marBottom w:val="0"/>
      <w:divBdr>
        <w:top w:val="none" w:sz="0" w:space="0" w:color="auto"/>
        <w:left w:val="none" w:sz="0" w:space="0" w:color="auto"/>
        <w:bottom w:val="none" w:sz="0" w:space="0" w:color="auto"/>
        <w:right w:val="none" w:sz="0" w:space="0" w:color="auto"/>
      </w:divBdr>
    </w:div>
    <w:div w:id="2054570226">
      <w:bodyDiv w:val="1"/>
      <w:marLeft w:val="0"/>
      <w:marRight w:val="0"/>
      <w:marTop w:val="0"/>
      <w:marBottom w:val="0"/>
      <w:divBdr>
        <w:top w:val="none" w:sz="0" w:space="0" w:color="auto"/>
        <w:left w:val="none" w:sz="0" w:space="0" w:color="auto"/>
        <w:bottom w:val="none" w:sz="0" w:space="0" w:color="auto"/>
        <w:right w:val="none" w:sz="0" w:space="0" w:color="auto"/>
      </w:divBdr>
    </w:div>
    <w:div w:id="2103255819">
      <w:bodyDiv w:val="1"/>
      <w:marLeft w:val="0"/>
      <w:marRight w:val="0"/>
      <w:marTop w:val="0"/>
      <w:marBottom w:val="0"/>
      <w:divBdr>
        <w:top w:val="none" w:sz="0" w:space="0" w:color="auto"/>
        <w:left w:val="none" w:sz="0" w:space="0" w:color="auto"/>
        <w:bottom w:val="none" w:sz="0" w:space="0" w:color="auto"/>
        <w:right w:val="none" w:sz="0" w:space="0" w:color="auto"/>
      </w:divBdr>
    </w:div>
    <w:div w:id="213366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ec.europa.eu/jrc/en/research-topic/food-and-feed-safety"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ihcp.jrc.ec.europa.eu/our_activities/alt-animal-testing-safety-assessment-chemicals/test_method_re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uropa.eu/legislation_summaries/internal_market/single_market_for_goods/pharmaceutical_and_cosmetic_products/l21161_en.htm"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8" Type="http://schemas.openxmlformats.org/officeDocument/2006/relationships/hyperlink" Target="http://eur-lex.europa.eu/legal-content/EN/TXT/?uri=CELEX:02012D0707-20140115" TargetMode="External"/><Relationship Id="rId13" Type="http://schemas.openxmlformats.org/officeDocument/2006/relationships/hyperlink" Target="http://publications.jrc.ec.europa.eu/repository/handle/JRC90989" TargetMode="External"/><Relationship Id="rId18" Type="http://schemas.openxmlformats.org/officeDocument/2006/relationships/hyperlink" Target="http://www.efsa.europa.eu/it/efsajournal/doc/2767.pdf" TargetMode="External"/><Relationship Id="rId3" Type="http://schemas.openxmlformats.org/officeDocument/2006/relationships/hyperlink" Target="http://ec.europa.eu/citizens-initiative/public/welcome" TargetMode="External"/><Relationship Id="rId21" Type="http://schemas.openxmlformats.org/officeDocument/2006/relationships/hyperlink" Target="http://www.efsa.europa.eu/it/efsajournal/pub/3638.htm" TargetMode="External"/><Relationship Id="rId7" Type="http://schemas.openxmlformats.org/officeDocument/2006/relationships/hyperlink" Target="http://ec.europa.eu/environment/chemicals/lab_animals/home_en.htm" TargetMode="External"/><Relationship Id="rId12" Type="http://schemas.openxmlformats.org/officeDocument/2006/relationships/hyperlink" Target="https://eurl-ecvam.jrc.ec.europa.eu/eurl-ecvam-strategy-papers" TargetMode="External"/><Relationship Id="rId17" Type="http://schemas.openxmlformats.org/officeDocument/2006/relationships/hyperlink" Target="http://www.vichsec.org/" TargetMode="External"/><Relationship Id="rId25" Type="http://schemas.openxmlformats.org/officeDocument/2006/relationships/hyperlink" Target="http://ec.europa.eu/atwork/applying-eu-law/infringements-proceedings/index_en.htm" TargetMode="External"/><Relationship Id="rId2" Type="http://schemas.openxmlformats.org/officeDocument/2006/relationships/hyperlink" Target="http://ec.europa.eu/citizens-initiative/public/initiatives/finalised/details/2012/000007" TargetMode="External"/><Relationship Id="rId16" Type="http://schemas.openxmlformats.org/officeDocument/2006/relationships/hyperlink" Target="http://www.ich.org/home.html" TargetMode="External"/><Relationship Id="rId20" Type="http://schemas.openxmlformats.org/officeDocument/2006/relationships/hyperlink" Target="http://www.efsa.europa.eu/en/efsajournal/doc/292.pdf" TargetMode="External"/><Relationship Id="rId1" Type="http://schemas.openxmlformats.org/officeDocument/2006/relationships/hyperlink" Target="http://eur-lex.europa.eu/legal-content/EN/TXT/?uri=CELEX:32010L0063" TargetMode="External"/><Relationship Id="rId6" Type="http://schemas.openxmlformats.org/officeDocument/2006/relationships/hyperlink" Target="http://www.sciencedirect.com/science/article/pii/S0014299915002678" TargetMode="External"/><Relationship Id="rId11" Type="http://schemas.openxmlformats.org/officeDocument/2006/relationships/hyperlink" Target="http://www.imi.europa.eu/sites/default/files/uploads/documents/IMI2Call3/IMI2Call3_TopicTextWebFINAL.pdf" TargetMode="External"/><Relationship Id="rId24" Type="http://schemas.openxmlformats.org/officeDocument/2006/relationships/hyperlink" Target="http://eara.eu/home/" TargetMode="External"/><Relationship Id="rId5" Type="http://schemas.openxmlformats.org/officeDocument/2006/relationships/hyperlink" Target="http://ec.europa.eu/environment/newprg/" TargetMode="External"/><Relationship Id="rId15" Type="http://schemas.openxmlformats.org/officeDocument/2006/relationships/hyperlink" Target="http://echa.europa.eu/support/information-toolkit" TargetMode="External"/><Relationship Id="rId23" Type="http://schemas.openxmlformats.org/officeDocument/2006/relationships/hyperlink" Target="http://www.iccrnet.org/" TargetMode="External"/><Relationship Id="rId10" Type="http://schemas.openxmlformats.org/officeDocument/2006/relationships/hyperlink" Target="https://eurl-ecvam.jrc.ec.europa.eu/eu-netval" TargetMode="External"/><Relationship Id="rId19" Type="http://schemas.openxmlformats.org/officeDocument/2006/relationships/hyperlink" Target="http://www.efsa.europa.eu/en/efsajournal/pub/2760.htm" TargetMode="External"/><Relationship Id="rId4" Type="http://schemas.openxmlformats.org/officeDocument/2006/relationships/hyperlink" Target="http://ec.europa.eu/health/strategy/policy/index_en.htm" TargetMode="External"/><Relationship Id="rId9" Type="http://schemas.openxmlformats.org/officeDocument/2006/relationships/hyperlink" Target="http://ec.europa.eu/environment/chemicals/lab_animals/parere_en.htm" TargetMode="External"/><Relationship Id="rId14" Type="http://schemas.openxmlformats.org/officeDocument/2006/relationships/hyperlink" Target="http://publications.jrc.ec.europa.eu/repository/handle/JRC91361" TargetMode="External"/><Relationship Id="rId22" Type="http://schemas.openxmlformats.org/officeDocument/2006/relationships/hyperlink" Target="http://ec.europa.eu/enterprise/epaa/index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80E2C-7561-4AAC-979D-6B1EA38BD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4275</Words>
  <Characters>26163</Characters>
  <Application>Microsoft Office Word</Application>
  <DocSecurity>0</DocSecurity>
  <Lines>467</Lines>
  <Paragraphs>94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Stefanie Heilemann</cp:lastModifiedBy>
  <cp:revision>19</cp:revision>
  <cp:lastPrinted>2015-05-29T14:45:00Z</cp:lastPrinted>
  <dcterms:created xsi:type="dcterms:W3CDTF">2015-06-05T10:01:00Z</dcterms:created>
  <dcterms:modified xsi:type="dcterms:W3CDTF">2015-06-08T07:51:00Z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