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6756992199C4EBC9644318438C9933A" style="width:450.45pt;height:36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Exposdesmotifstitre"/>
        <w:rPr>
          <w:noProof/>
        </w:rPr>
      </w:pPr>
      <w:bookmarkStart w:id="1" w:name="_GoBack"/>
      <w:bookmarkEnd w:id="1"/>
      <w:r>
        <w:rPr>
          <w:noProof/>
        </w:rPr>
        <w:lastRenderedPageBreak/>
        <w:t>EXPOSÉ DES MOTIFS</w:t>
      </w:r>
    </w:p>
    <w:p>
      <w:pPr>
        <w:ind w:left="850" w:hanging="850"/>
        <w:rPr>
          <w:noProof/>
          <w:lang w:eastAsia="de-DE"/>
        </w:rPr>
      </w:pPr>
      <w:r>
        <w:rPr>
          <w:noProof/>
          <w:lang w:eastAsia="de-DE"/>
        </w:rPr>
        <w:t>1.</w:t>
      </w:r>
      <w:r>
        <w:rPr>
          <w:noProof/>
          <w:lang w:eastAsia="de-DE"/>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ind w:left="850"/>
        <w:rPr>
          <w:noProof/>
          <w:lang w:eastAsia="de-DE"/>
        </w:rPr>
      </w:pPr>
      <w:r>
        <w:rPr>
          <w:noProof/>
          <w:lang w:eastAsia="de-DE"/>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ind w:left="850"/>
        <w:rPr>
          <w:noProof/>
          <w:lang w:eastAsia="de-DE"/>
        </w:rPr>
      </w:pPr>
      <w:r>
        <w:rPr>
          <w:noProof/>
          <w:lang w:eastAsia="de-DE"/>
        </w:rPr>
        <w:t>De ce fait, la clarté et la transparence du droit dépendent aussi de la codification de la réglementation souvent modifiée.</w:t>
      </w:r>
    </w:p>
    <w:p>
      <w:pPr>
        <w:ind w:left="850" w:hanging="850"/>
        <w:rPr>
          <w:noProof/>
          <w:lang w:eastAsia="de-DE"/>
        </w:rPr>
      </w:pPr>
      <w:r>
        <w:rPr>
          <w:noProof/>
          <w:lang w:eastAsia="de-DE"/>
        </w:rPr>
        <w:t>2.</w:t>
      </w:r>
      <w:r>
        <w:rPr>
          <w:noProof/>
          <w:lang w:eastAsia="de-DE"/>
        </w:rPr>
        <w:tab/>
        <w:t>Le 1</w:t>
      </w:r>
      <w:r>
        <w:rPr>
          <w:noProof/>
          <w:vertAlign w:val="superscript"/>
          <w:lang w:eastAsia="de-DE"/>
        </w:rPr>
        <w:t>er</w:t>
      </w:r>
      <w:r>
        <w:rPr>
          <w:noProof/>
          <w:lang w:eastAsia="de-DE"/>
        </w:rPr>
        <w:t xml:space="preserve"> avril 1987, la Commission a décidé</w:t>
      </w:r>
      <w:r>
        <w:rPr>
          <w:rStyle w:val="FootnoteReference"/>
          <w:noProof/>
        </w:rPr>
        <w:footnoteReference w:id="1"/>
      </w:r>
      <w:r>
        <w:rPr>
          <w:noProof/>
          <w:lang w:eastAsia="de-DE"/>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ind w:left="850" w:hanging="850"/>
        <w:rPr>
          <w:noProof/>
          <w:lang w:eastAsia="de-DE"/>
        </w:rPr>
      </w:pPr>
      <w:r>
        <w:rPr>
          <w:noProof/>
          <w:lang w:eastAsia="de-DE"/>
        </w:rPr>
        <w:t>3.</w:t>
      </w:r>
      <w:r>
        <w:rPr>
          <w:noProof/>
          <w:lang w:eastAsia="de-DE"/>
        </w:rPr>
        <w:tab/>
        <w:t>Les conclusions de la présidence du Conseil européen d'Édimbourg, en décembre 1992, ont confirmé ces impératifs</w:t>
      </w:r>
      <w:r>
        <w:rPr>
          <w:rStyle w:val="FootnoteReference"/>
          <w:noProof/>
        </w:rPr>
        <w:footnoteReference w:id="2"/>
      </w:r>
      <w:r>
        <w:rPr>
          <w:noProof/>
          <w:lang w:eastAsia="de-DE"/>
        </w:rPr>
        <w:t xml:space="preserve"> en soulignant l'importance de la codification qui offre une sécurité juridique quant au droit applicable à un moment donné à propos d’une question donnée.</w:t>
      </w:r>
    </w:p>
    <w:p>
      <w:pPr>
        <w:ind w:left="850"/>
        <w:rPr>
          <w:noProof/>
          <w:lang w:eastAsia="de-DE"/>
        </w:rPr>
      </w:pPr>
      <w:r>
        <w:rPr>
          <w:noProof/>
          <w:lang w:eastAsia="de-DE"/>
        </w:rPr>
        <w:t>La codification doit être effectuée dans le strict respect de la procédure normale d'adoption des actes de l'Union.</w:t>
      </w:r>
    </w:p>
    <w:p>
      <w:pPr>
        <w:ind w:left="850" w:hanging="850"/>
        <w:rPr>
          <w:noProof/>
          <w:lang w:eastAsia="de-DE"/>
        </w:rPr>
      </w:pPr>
      <w:r>
        <w:rPr>
          <w:noProof/>
          <w:lang w:eastAsia="de-DE"/>
        </w:rPr>
        <w:t>4.</w:t>
      </w:r>
      <w:r>
        <w:rPr>
          <w:noProof/>
          <w:lang w:eastAsia="de-DE"/>
        </w:rPr>
        <w:tab/>
        <w:t>L'objet de la présente proposition est de procéder à la codification du règlement (CE) n° 1528/2007 du Conseil du 20 décembre 2007 appliquant aux produits originaires de certains États appartenant au groupe des États d'Afrique, des Caraïbes et du Pacifique (ACP) les régimes prévus dans les accords établissant ou conduisant à établir des accords de partenariats économique</w:t>
      </w:r>
      <w:r>
        <w:rPr>
          <w:rStyle w:val="FootnoteReference"/>
          <w:noProof/>
        </w:rPr>
        <w:footnoteReference w:id="3"/>
      </w:r>
      <w:r>
        <w:rPr>
          <w:noProof/>
          <w:lang w:eastAsia="de-DE"/>
        </w:rPr>
        <w:t>. Le nouveau règlement se substituera aux divers actes qui y sont incorporés</w:t>
      </w:r>
      <w:r>
        <w:rPr>
          <w:rStyle w:val="FootnoteReference"/>
          <w:noProof/>
        </w:rPr>
        <w:footnoteReference w:id="4"/>
      </w:r>
      <w:r>
        <w:rPr>
          <w:noProof/>
          <w:lang w:eastAsia="de-DE"/>
        </w:rPr>
        <w:t>, en préservant totalement la substance de ceux-ci. Il convient dans le même temps d'apporter certaines modifications de substance à l'article 3, paragraphe 4, et à l'article 22 dudit règlement. La proposition est dès lors présentée sous la forme d'une refonte.</w:t>
      </w:r>
    </w:p>
    <w:p>
      <w:pPr>
        <w:ind w:left="850" w:hanging="850"/>
        <w:rPr>
          <w:noProof/>
          <w:lang w:eastAsia="de-DE"/>
        </w:rPr>
      </w:pPr>
      <w:r>
        <w:rPr>
          <w:noProof/>
          <w:lang w:eastAsia="de-DE"/>
        </w:rPr>
        <w:t>5.</w:t>
      </w:r>
      <w:r>
        <w:rPr>
          <w:noProof/>
          <w:lang w:eastAsia="de-DE"/>
        </w:rPr>
        <w:tab/>
        <w:t>La présente proposition de refonte a été élaborée sur la base d'une consolidation préalable du texte, dans 23 langues officielles, du règlement (CE) n° 1528/2007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IV du règlement de refonte.</w:t>
      </w:r>
    </w:p>
    <w:p>
      <w:pPr>
        <w:ind w:left="850" w:hanging="850"/>
        <w:rPr>
          <w:noProof/>
          <w:lang w:eastAsia="de-DE"/>
        </w:rPr>
        <w:sectPr>
          <w:footerReference w:type="default" r:id="rId15"/>
          <w:footerReference w:type="first" r:id="rId16"/>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Rfrenceinterinstitutionnelle"/>
        <w:rPr>
          <w:noProof/>
        </w:rPr>
      </w:pPr>
      <w:r>
        <w:rPr>
          <w:noProof/>
        </w:rPr>
        <w:t>2015/0128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appliquant aux produits originaires de certains États appartenant au groupe des États d'Afrique, des Caraïbes et du Pacifique (ACP) les régimes prévus dans les accords établissant ou conduisant à établir des accords de partenariats économiques (refonte)</w:t>
      </w:r>
    </w:p>
    <w:p>
      <w:pPr>
        <w:pStyle w:val="Institutionquiagit"/>
        <w:rPr>
          <w:noProof/>
        </w:rPr>
      </w:pPr>
      <w:r>
        <w:rPr>
          <w:noProof/>
        </w:rPr>
        <w:t>LE PARLEMENT EUROPÉEN ET LE CONSEIL DE L'UNION EUROPÉENNE,</w:t>
      </w:r>
    </w:p>
    <w:p>
      <w:pPr>
        <w:rPr>
          <w:noProof/>
        </w:rPr>
      </w:pPr>
      <w:r>
        <w:rPr>
          <w:noProof/>
        </w:rPr>
        <w:t xml:space="preserve">vu le traité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sur le fonctionnement de l'Union européenne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et notamment son 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207, paragraphe 2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lang w:val="fr-BE" w:eastAsia="en-US"/>
        </w:rPr>
      </w:pPr>
    </w:p>
    <w:p>
      <w:pPr>
        <w:pStyle w:val="CRReference"/>
        <w:rPr>
          <w:noProof/>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snapToGrid w:val="0"/>
          <w:szCs w:val="20"/>
          <w:highlight w:val="lightGray"/>
        </w:rPr>
      </w:pPr>
      <w:r>
        <w:rPr>
          <w:noProof/>
          <w:highlight w:val="lightGray"/>
        </w:rPr>
        <w:t>(1)</w:t>
      </w:r>
      <w:r>
        <w:rPr>
          <w:noProof/>
          <w:highlight w:val="lightGray"/>
        </w:rPr>
        <w:tab/>
        <w:t>Le règlement (CE) n</w:t>
      </w:r>
      <w:r>
        <w:rPr>
          <w:noProof/>
          <w:highlight w:val="lightGray"/>
          <w:vertAlign w:val="superscript"/>
        </w:rPr>
        <w:t>o</w:t>
      </w:r>
      <w:r>
        <w:rPr>
          <w:noProof/>
          <w:highlight w:val="lightGray"/>
        </w:rPr>
        <w:t> 1528/2007 du Conseil</w:t>
      </w:r>
      <w:r>
        <w:rPr>
          <w:rStyle w:val="FootnoteReference"/>
          <w:noProof/>
          <w:highlight w:val="lightGray"/>
        </w:rPr>
        <w:footnoteReference w:id="6"/>
      </w:r>
      <w:r>
        <w:rPr>
          <w:noProof/>
          <w:highlight w:val="lightGray"/>
        </w:rPr>
        <w:t xml:space="preserve"> a été modifié à plusieurs reprises et de façon substantielle</w:t>
      </w:r>
      <w:r>
        <w:rPr>
          <w:rStyle w:val="FootnoteReference"/>
          <w:noProof/>
          <w:highlight w:val="lightGray"/>
        </w:rPr>
        <w:footnoteReference w:id="7"/>
      </w:r>
      <w:r>
        <w:rPr>
          <w:noProof/>
          <w:highlight w:val="lightGray"/>
        </w:rPr>
        <w:t xml:space="preserve">. </w:t>
      </w:r>
      <w:r>
        <w:rPr>
          <w:noProof/>
          <w:snapToGrid w:val="0"/>
          <w:szCs w:val="20"/>
          <w:highlight w:val="lightGray"/>
        </w:rPr>
        <w:t>À l’occasion de nouvelles modifications, il convient, dans un souci de clarté, de procéder à la refonte dudit règlement.</w:t>
      </w:r>
    </w:p>
    <w:p>
      <w:pPr>
        <w:pStyle w:val="CRSeparator"/>
        <w:rPr>
          <w:noProof/>
          <w:lang w:val="fr-BE" w:eastAsia="en-US"/>
        </w:rPr>
      </w:pPr>
    </w:p>
    <w:p>
      <w:pPr>
        <w:pStyle w:val="CRReference"/>
        <w:rPr>
          <w:noProof/>
          <w:lang w:val="fr-BE" w:eastAsia="en-US"/>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 (adapté)</w:t>
      </w:r>
    </w:p>
    <w:p>
      <w:pPr>
        <w:pStyle w:val="ManualConsidrant"/>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Selon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l'accord de partenariat entre les membres du groupe des États d'Afrique, des Caraïbes et du Pacifique, d'une part, et la Communauté européenne et ses États membres, d'autre part, signé à Cotonou le 23 juin 2000</w:t>
      </w:r>
      <w:r>
        <w:rPr>
          <w:rStyle w:val="FootnoteReference"/>
          <w:noProof/>
        </w:rPr>
        <w:footnoteReference w:id="8"/>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tel que modifié par l'accord du</w:t>
      </w:r>
      <w:r>
        <w:rPr>
          <w:noProof/>
          <w:lang w:val="fr-BE"/>
        </w:rPr>
        <w:t xml:space="preserve"> 22 décembre 2005</w:t>
      </w:r>
      <w:r>
        <w:rPr>
          <w:rStyle w:val="FootnoteReference"/>
          <w:noProof/>
          <w:lang w:val="en-US"/>
        </w:rPr>
        <w:footnoteReference w:id="9"/>
      </w:r>
      <w:r>
        <w:rPr>
          <w:noProof/>
        </w:rPr>
        <w:t xml:space="preser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lastRenderedPageBreak/>
        <w:t>(ci-après dénommé «accord de partenariat ACP</w:t>
      </w:r>
      <w:r>
        <w:rPr>
          <w:noProof/>
        </w:rPr>
        <w:noBreakHyphen/>
        <w:t xml:space="preserve">CE»), des accords de partenariat économique (APE)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devaient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entrer en vigueur le 1</w:t>
      </w:r>
      <w:r>
        <w:rPr>
          <w:noProof/>
          <w:vertAlign w:val="superscript"/>
        </w:rPr>
        <w:t>er</w:t>
      </w:r>
      <w:r>
        <w:rPr>
          <w:noProof/>
        </w:rPr>
        <w:t xml:space="preserve"> janvier 2008 au plus tard.</w:t>
      </w:r>
    </w:p>
    <w:p>
      <w:pPr>
        <w:pStyle w:val="CRSeparator"/>
        <w:rPr>
          <w:noProof/>
          <w:lang w:val="fr-BE" w:eastAsia="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3 (adapté)</w:t>
      </w:r>
    </w:p>
    <w:p>
      <w:pPr>
        <w:pStyle w:val="ManualConsidrant"/>
        <w:rPr>
          <w:noProof/>
        </w:rPr>
      </w:pPr>
      <w:r>
        <w:rPr>
          <w:noProof/>
        </w:rPr>
        <w:t>(3)</w:t>
      </w:r>
      <w:r>
        <w:rPr>
          <w:noProof/>
        </w:rPr>
        <w:tab/>
        <w:t xml:space="preserve">Depuis 2002,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w:t>
      </w:r>
      <w:r>
        <w:rPr>
          <w:noProof/>
          <w:lang w:val="fr-BE"/>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négocie des accords de partenariat économique avec le groupe des États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d'Afrique, des Caraïbes et du Pacifique</w:t>
      </w:r>
      <w:r>
        <w:rPr>
          <w:noProof/>
          <w:lang w:val="fr-BE"/>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(ACP), subdivisé 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sept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régions: les Caraïbes, l'Afrique centrale, l'Afrique orientale et australe,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Communauté d'Afrique de l'Est,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 États insulaires du Pacifique, la Communauté de développement de l'Afrique australe et l'Afrique occidentale. De tels accords de partenariats économiques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doivent être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compatibles avec les obligations prévues dans le cadre de l'OMC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favoriser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l'intégration régionale et l'intégration progressive des économies des pays ACP dans le système commercial mondial fondé sur des règles, de manière à encourager le développement durable de ces pays et à contribuer à l'ensemble des efforts accomplis pour éradiquer la pauvreté et améliorer les conditions de vie dans les pays ACP. Dans un premier stade, des négociations peuvent être conclues concernant des accords conduisant à établir des accords de partenariat économique couvrant au moins des accords de commerce de marchandises compatibles avec les règles de l'OMC, devant être complétés dès que possible par des accords de partenariat économique complets, compatibles avec les processus régionaux d'intégration économique et politique.</w:t>
      </w:r>
    </w:p>
    <w:p>
      <w:pPr>
        <w:pStyle w:val="CRSeparator"/>
        <w:rPr>
          <w:noProof/>
          <w:lang w:val="fr-BE"/>
        </w:rPr>
      </w:pPr>
    </w:p>
    <w:p>
      <w:pPr>
        <w:pStyle w:val="CRReference"/>
        <w:rPr>
          <w:noProof/>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1528/2007 considérant 4</w:t>
      </w:r>
    </w:p>
    <w:p>
      <w:pPr>
        <w:pStyle w:val="ManualConsidrant"/>
        <w:rPr>
          <w:noProof/>
        </w:rPr>
      </w:pPr>
      <w:r>
        <w:rPr>
          <w:noProof/>
        </w:rPr>
        <w:t>(4)</w:t>
      </w:r>
      <w:r>
        <w:rPr>
          <w:noProof/>
        </w:rPr>
        <w:tab/>
        <w:t>Ces accords établissant ou conduisant à établir des accords de partenariat économique pour lesquels les négociations ont été conclues prévoient que les parties peuvent, dans la mesure du possible, adopter des mesures en vue d'appliquer l'accord, avant son application provisoire sur une base réciproque. Il convient de prendre des mesures pour appliquer les accords sur la base de ces dispositions.</w:t>
      </w:r>
    </w:p>
    <w:p>
      <w:pPr>
        <w:pStyle w:val="CRSeparator"/>
        <w:rPr>
          <w:noProof/>
          <w:lang w:val="fr-BE" w:eastAsia="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5 (adapté)</w:t>
      </w:r>
    </w:p>
    <w:p>
      <w:pPr>
        <w:pStyle w:val="ManualConsidrant"/>
        <w:rPr>
          <w:noProof/>
        </w:rPr>
      </w:pPr>
      <w:r>
        <w:rPr>
          <w:noProof/>
        </w:rPr>
        <w:t>(5)</w:t>
      </w:r>
      <w:r>
        <w:rPr>
          <w:noProof/>
        </w:rPr>
        <w:tab/>
        <w:t xml:space="preserve">Les dispositions figurant dans le présent règlement doivent être modifiées, si nécessaire, conformément aux accords établissant ou conduisant à établir des accords de partenariat économique, quand ces accords sont signés et conclus conformément à l'article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218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du traité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sur le fonctionnement de l'Union européenne (TFUE)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et sont soit appliqués à titre provisoire soit en vigueur. Les dispositions du présent règlement sont abrogées en partie ou en totalité si les accords concernés n'entrent pas en vigueur dans un délai raisonnable au sens de la convention de Vienne sur le droit des traités.</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6 (adapté)</w:t>
      </w:r>
    </w:p>
    <w:p>
      <w:pPr>
        <w:pStyle w:val="ManualConsidrant"/>
        <w:rPr>
          <w:noProof/>
        </w:rPr>
      </w:pPr>
      <w:r>
        <w:rPr>
          <w:noProof/>
        </w:rPr>
        <w:t>(6)</w:t>
      </w:r>
      <w:r>
        <w:rPr>
          <w:noProof/>
        </w:rPr>
        <w:tab/>
        <w:t xml:space="preserve">Pour les importations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w:t>
      </w:r>
      <w:r>
        <w:rPr>
          <w:noProof/>
          <w:lang w:val="fr-BE"/>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les régimes des accords établissant ou conduisant à établir des accords de partenariat économique devraient prévoir un accès en franchise de droits et une absence de contingents tarifaires pour tous les produits, à l'exception des armes. Les régimes précités sont soumis à des périodes et régimes transitoires pour certains produits sensibles ainsi qu'à des régimes spécifiques pour les départements français d'outre-mer. À la lumière des spécificités de la situation de l'Afrique du Sud, les produits originaires d'Afrique du Sud devraient continuer de bénéficier des dispositions pertinentes de l'accord sur le commerce, le développement et la coopération entre la Communauté européenne et ses États membres, d'une part, et l'Afrique du Sud, d'autre part</w:t>
      </w:r>
      <w:r>
        <w:rPr>
          <w:rStyle w:val="FootnoteReference"/>
          <w:noProof/>
        </w:rPr>
        <w:footnoteReference w:id="10"/>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tel que modifié par le protocole additionnel du 25 juin</w:t>
      </w:r>
      <w:r>
        <w:rPr>
          <w:noProof/>
          <w:lang w:val="fr-BE"/>
        </w:rPr>
        <w:t xml:space="preserve"> 2005</w:t>
      </w:r>
      <w:r>
        <w:rPr>
          <w:rStyle w:val="FootnoteReference"/>
          <w:noProof/>
          <w:lang w:val="en-US"/>
        </w:rPr>
        <w:footnoteReference w:id="11"/>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(ci-après dénommé «ACDC»), jusqu'à ce qu'un accord établissant ou conduisant à établir des accords de partenariat économique entre en vigueur entre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w:t>
      </w:r>
      <w:r>
        <w:rPr>
          <w:noProof/>
          <w:lang w:val="fr-BE"/>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l'Afrique du Sud.</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8 (adapté)</w:t>
      </w:r>
    </w:p>
    <w:p>
      <w:pPr>
        <w:pStyle w:val="ManualConsidrant"/>
        <w:rPr>
          <w:noProof/>
        </w:rPr>
      </w:pPr>
      <w:r>
        <w:rPr>
          <w:noProof/>
        </w:rPr>
        <w:t>(7)</w:t>
      </w:r>
      <w:r>
        <w:rPr>
          <w:noProof/>
        </w:rPr>
        <w:tab/>
        <w:t xml:space="preserve">Les règles d'origine applicables aux importations effectuées conformément au présent règlement devraient, pour une période transitoire, être celles prévues à l'annexe II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Ces règles d'origine devraient être remplacées par celles annexées à tout accord avec les régions ou États figurant à l'annexe 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lorsque cet accord soit est appliqué à titre provisoire soit entre en vigueur, la date retenue étant la plus proche.</w:t>
      </w:r>
    </w:p>
    <w:p>
      <w:pPr>
        <w:pStyle w:val="CRSeparator"/>
        <w:rPr>
          <w:noProof/>
          <w:lang w:val="fr-BE" w:eastAsia="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9 (adapté)</w:t>
      </w:r>
    </w:p>
    <w:p>
      <w:pPr>
        <w:pStyle w:val="ManualConsidrant"/>
        <w:rPr>
          <w:noProof/>
        </w:rPr>
      </w:pPr>
      <w:r>
        <w:rPr>
          <w:noProof/>
        </w:rPr>
        <w:t>(8)</w:t>
      </w:r>
      <w:r>
        <w:rPr>
          <w:noProof/>
        </w:rPr>
        <w:tab/>
        <w:t xml:space="preserve">Il est nécessaire de prévoir la possibilité de suspendre temporairement des régimes établis par le présent règlement en cas d'absence de coopération administrative, d'irrégularités ou de fraude. Lorsqu'un État membre fournit à la Commission des informations concernant une éventuelle fraude ou une absence de coopération administrative, la législation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w:t>
      </w:r>
      <w:r>
        <w:rPr>
          <w:noProof/>
          <w:lang w:val="fr-BE"/>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pertinente devrait être applicable, notamment le règlement (CE) n</w:t>
      </w:r>
      <w:r>
        <w:rPr>
          <w:noProof/>
          <w:vertAlign w:val="superscript"/>
        </w:rPr>
        <w:t>o</w:t>
      </w:r>
      <w:r>
        <w:rPr>
          <w:noProof/>
        </w:rPr>
        <w:t xml:space="preserve"> 515/97 du Conseil</w:t>
      </w:r>
      <w:r>
        <w:rPr>
          <w:rStyle w:val="FootnoteReference"/>
          <w:noProof/>
        </w:rPr>
        <w:footnoteReference w:id="12"/>
      </w:r>
      <w:r>
        <w:rPr>
          <w:noProof/>
        </w:rPr>
        <w:t>.</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10 (adapté)</w:t>
      </w:r>
    </w:p>
    <w:p>
      <w:pPr>
        <w:pStyle w:val="ManualConsidrant"/>
        <w:rPr>
          <w:noProof/>
        </w:rPr>
      </w:pPr>
      <w:r>
        <w:rPr>
          <w:noProof/>
        </w:rPr>
        <w:t>(9)</w:t>
      </w:r>
      <w:r>
        <w:rPr>
          <w:noProof/>
        </w:rPr>
        <w:tab/>
        <w:t xml:space="preserve">Il convient que le présent règlement prévoie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mécanisme de sauvegarde et de surveillance transitoire spécial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 le sucre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fr-BE" w:eastAsia="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13 (adapté)</w:t>
      </w:r>
    </w:p>
    <w:p>
      <w:pPr>
        <w:pStyle w:val="ManualConsidrant"/>
        <w:rPr>
          <w:noProof/>
        </w:rPr>
      </w:pPr>
      <w:r>
        <w:rPr>
          <w:noProof/>
        </w:rPr>
        <w:t>(10)</w:t>
      </w:r>
      <w:r>
        <w:rPr>
          <w:noProof/>
        </w:rPr>
        <w:tab/>
        <w:t xml:space="preserve">Il y a lieu également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prévoir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mesures de sauvegarde générales pour les produits couverts par le présent règlement.</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14</w:t>
      </w:r>
    </w:p>
    <w:p>
      <w:pPr>
        <w:pStyle w:val="ManualConsidrant"/>
        <w:keepLines/>
        <w:rPr>
          <w:noProof/>
        </w:rPr>
      </w:pPr>
      <w:r>
        <w:rPr>
          <w:noProof/>
        </w:rPr>
        <w:t>(11)</w:t>
      </w:r>
      <w:r>
        <w:rPr>
          <w:noProof/>
        </w:rPr>
        <w:tab/>
        <w:t>Eu égard à la sensibilité particulière des produits agricoles, il y a lieu de prendre des mesures de sauvegarde bilatérales lorsque les importations causent ou menacent de causer des perturbations dans les marchés de ces produits ou dans les mécanismes régulant ces marchés.</w:t>
      </w:r>
    </w:p>
    <w:p>
      <w:pPr>
        <w:pStyle w:val="CRSeparator"/>
        <w:rPr>
          <w:noProof/>
          <w:lang w:val="fr-BE" w:eastAsia="en-US"/>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15 (adapté)</w:t>
      </w:r>
    </w:p>
    <w:p>
      <w:pPr>
        <w:pStyle w:val="ManualConsidrant"/>
        <w:rPr>
          <w:noProof/>
        </w:rPr>
      </w:pPr>
      <w:r>
        <w:rPr>
          <w:noProof/>
        </w:rPr>
        <w:t>(12)</w:t>
      </w:r>
      <w:r>
        <w:rPr>
          <w:noProof/>
        </w:rPr>
        <w:tab/>
        <w:t xml:space="preserve">Conformément à l'article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349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du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TFUE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il convient de tenir dûment compte, dans toutes les politiques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de 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de la situation économique et sociale structurelle particulière des régions ultrapériphériques de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notamment en ce qui concerne les politiques douanières et commerciales.</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1528/2007 considérant </w:t>
      </w:r>
      <w:r>
        <w:rPr>
          <w:noProof/>
          <w:lang w:val="fr-BE"/>
        </w:rPr>
        <w:t>16 (adapté)</w:t>
      </w:r>
    </w:p>
    <w:p>
      <w:pPr>
        <w:pStyle w:val="ManualConsidrant"/>
        <w:rPr>
          <w:noProof/>
        </w:rPr>
      </w:pPr>
      <w:r>
        <w:rPr>
          <w:noProof/>
        </w:rPr>
        <w:t>(13)</w:t>
      </w:r>
      <w:r>
        <w:rPr>
          <w:noProof/>
        </w:rPr>
        <w:tab/>
        <w:t xml:space="preserve">Il convient donc de prendre tout particulièrement en considération la sensibilité des produits agricoles, notamment du sucre, ainsi que la vulnérabilité et les intérêts spécifiques des régions ultrapériphériques de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lors de l'établissement des règles de sauvegarde bilatérales de façon efficace.</w:t>
      </w:r>
    </w:p>
    <w:p>
      <w:pPr>
        <w:pStyle w:val="CRSeparator"/>
        <w:rPr>
          <w:noProof/>
          <w:lang w:val="fr-BE"/>
        </w:rPr>
      </w:pPr>
    </w:p>
    <w:p>
      <w:pPr>
        <w:pStyle w:val="CRReference"/>
        <w:rPr>
          <w:noProof/>
          <w:highlight w:val="lightGray"/>
          <w:lang w:val="fr-BE"/>
        </w:rPr>
      </w:pPr>
      <w:r>
        <w:rPr>
          <w:noProof/>
          <w:highlight w:val="lightGray"/>
          <w:lang w:val="fr-BE"/>
        </w:rPr>
        <w:fldChar w:fldCharType="begin"/>
      </w:r>
      <w:r>
        <w:rPr>
          <w:noProof/>
          <w:highlight w:val="lightGray"/>
          <w:lang w:val="fr-BE"/>
        </w:rPr>
        <w:instrText xml:space="preserve"> QUOTE "</w:instrText>
      </w:r>
      <w:r>
        <w:rPr>
          <w:rStyle w:val="CRMarker"/>
          <w:noProof/>
          <w:highlight w:val="lightGray"/>
          <w:lang w:val="fr-BE"/>
        </w:rPr>
        <w:instrText>ò</w:instrText>
      </w:r>
      <w:r>
        <w:rPr>
          <w:noProof/>
          <w:highlight w:val="lightGray"/>
          <w:lang w:val="fr-BE"/>
        </w:rPr>
        <w:instrText xml:space="preserve">" </w:instrText>
      </w:r>
      <w:r>
        <w:rPr>
          <w:noProof/>
          <w:highlight w:val="lightGray"/>
          <w:lang w:val="fr-BE"/>
        </w:rPr>
        <w:fldChar w:fldCharType="separate"/>
      </w:r>
      <w:r>
        <w:rPr>
          <w:rStyle w:val="CRMarker"/>
          <w:noProof/>
          <w:highlight w:val="lightGray"/>
          <w:lang w:val="fr-BE"/>
        </w:rPr>
        <w:t>ò</w:t>
      </w:r>
      <w:r>
        <w:rPr>
          <w:noProof/>
          <w:highlight w:val="lightGray"/>
          <w:lang w:val="fr-BE"/>
        </w:rPr>
        <w:fldChar w:fldCharType="end"/>
      </w:r>
      <w:r>
        <w:rPr>
          <w:noProof/>
          <w:highlight w:val="lightGray"/>
          <w:lang w:val="fr-BE"/>
        </w:rPr>
        <w:t> nouveau</w:t>
      </w:r>
    </w:p>
    <w:p>
      <w:pPr>
        <w:pStyle w:val="ManualConsidrant"/>
        <w:rPr>
          <w:noProof/>
          <w:lang w:val="fr-BE"/>
        </w:rPr>
      </w:pPr>
      <w:r>
        <w:rPr>
          <w:noProof/>
          <w:highlight w:val="lightGray"/>
          <w:lang w:val="fr-BE"/>
        </w:rPr>
        <w:t>(14)</w:t>
      </w:r>
      <w:r>
        <w:rPr>
          <w:noProof/>
          <w:highlight w:val="lightGray"/>
          <w:lang w:val="fr-BE"/>
        </w:rPr>
        <w:tab/>
        <w:t>L'article 134 du traité instituant la Communauté européenne a été supprimé par le traité de Lisbonne sans être remplacé par un article équivalent dans le traité sur l'Union européenne ou le TFUE. La référence faite à l'article 134 du traité instituant la Communauté européenne dans le règlement (CE) n° 1528/2007 devrait donc être supprimée.</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38/2014 art. 1 et annexe, pt. 5 (adapté)</w:t>
      </w:r>
    </w:p>
    <w:p>
      <w:pPr>
        <w:pStyle w:val="CRReference"/>
        <w:rPr>
          <w:rStyle w:val="CRDeleted"/>
          <w:noProof/>
          <w:highlight w:val="lightGray"/>
          <w:lang w:val="fr-BE" w:eastAsia="en-US"/>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rPr>
          <w:noProof/>
        </w:rPr>
        <w:t>(15)</w:t>
      </w:r>
      <w:r>
        <w:rPr>
          <w:noProof/>
        </w:rPr>
        <w:tab/>
        <w:t xml:space="preserve">Afin de permettre l'application des adaptations techniques des régimes prévus aux produits originaires de certains États appartenant au groupe des États ACP, il convient de déléguer à la Commission le pouvoir d'adopter des actes conformément à l'article 290 du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TFUE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en vue de la modification de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du présent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règlement afin d'y ajouter ou d'en retirer des régions ou des États, et en vue de l'introduction de modifications techniques à l'annexe II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du présent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règlement, rendues nécessaires par l'application de ladite annexe.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plus, il convient de déléguer à la Commission le pouvoir d'adopter des actes conformément à l'article 290 du TFUE en vue d'ajouter au présent règlement une annexe fixant le régime applicable aux produits originaires d'Afrique du Sud, lorsque les dispositions commerciales pertinentes de l'ACDC seront remplacées par les dispositions pertinentes d'un accord établissant ou conduisant à établir un accord de partenariat économique.</w:t>
      </w:r>
      <w:r>
        <w:rPr>
          <w:noProof/>
          <w:highlight w:val="lightGray"/>
          <w:lang w:val="fr-BE"/>
        </w:rPr>
        <w:t> </w:t>
      </w:r>
      <w:r>
        <w:rPr>
          <w:noProof/>
          <w:highlight w:val="lightGray"/>
          <w:lang w:val="fr-BE"/>
        </w:rPr>
        <w:fldChar w:fldCharType="begin"/>
      </w:r>
      <w:r>
        <w:rPr>
          <w:noProof/>
          <w:highlight w:val="lightGray"/>
          <w:lang w:val="fr-BE"/>
        </w:rPr>
        <w:instrText xml:space="preserve"> QUOTE "</w:instrText>
      </w:r>
      <w:r>
        <w:rPr>
          <w:rStyle w:val="CRMarker"/>
          <w:noProof/>
          <w:highlight w:val="lightGray"/>
          <w:lang w:val="fr-BE"/>
        </w:rPr>
        <w:instrText>ï</w:instrText>
      </w:r>
      <w:r>
        <w:rPr>
          <w:noProof/>
          <w:highlight w:val="lightGray"/>
          <w:lang w:val="fr-BE"/>
        </w:rPr>
        <w:instrText xml:space="preserve">" </w:instrText>
      </w:r>
      <w:r>
        <w:rPr>
          <w:noProof/>
          <w:highlight w:val="lightGray"/>
          <w:lang w:val="fr-BE"/>
        </w:rPr>
        <w:fldChar w:fldCharType="separate"/>
      </w:r>
      <w:r>
        <w:rPr>
          <w:rStyle w:val="CRMarker"/>
          <w:noProof/>
          <w:highlight w:val="lightGray"/>
        </w:rPr>
        <w:t>ï</w:t>
      </w:r>
      <w:r>
        <w:rPr>
          <w:noProof/>
          <w:highlight w:val="lightGray"/>
          <w:lang w:val="fr-BE"/>
        </w:rPr>
        <w:fldChar w:fldCharType="end"/>
      </w:r>
      <w:r>
        <w:rPr>
          <w:noProof/>
          <w:lang w:val="fr-BE"/>
        </w:rPr>
        <w:t xml:space="preserve"> </w:t>
      </w:r>
      <w:r>
        <w:rPr>
          <w:noProof/>
        </w:rPr>
        <w:t>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527/2013 considérant 3 (adapté)</w:t>
      </w:r>
    </w:p>
    <w:p>
      <w:pPr>
        <w:pStyle w:val="ManualConsidrant"/>
        <w:rPr>
          <w:noProof/>
        </w:rPr>
      </w:pPr>
      <w:r>
        <w:rPr>
          <w:noProof/>
        </w:rPr>
        <w:t>(16)</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Certain pays qui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n'ont pas pris les mesures nécessaires en vue de la ratification de leurs accords respectifs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ont été retirés de l'annexe I du règlement (CE) n° 1528/2007 par le règlement (UE) n° 527/2013 du Parlement européen et du Conseil</w:t>
      </w:r>
      <w:r>
        <w:rPr>
          <w:rStyle w:val="FootnoteReference"/>
          <w:noProof/>
        </w:rPr>
        <w:footnoteReference w:id="13"/>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527/2013 considérant 5 (adapté)</w:t>
      </w:r>
    </w:p>
    <w:p>
      <w:pPr>
        <w:pStyle w:val="ManualConsidrant"/>
        <w:rPr>
          <w:noProof/>
        </w:rPr>
      </w:pPr>
      <w:r>
        <w:rPr>
          <w:noProof/>
        </w:rPr>
        <w:t>(17)</w:t>
      </w:r>
      <w:r>
        <w:rPr>
          <w:noProof/>
        </w:rPr>
        <w:tab/>
        <w:t xml:space="preserve">Afin que ces pays puissent rapidement figurer à nouveau à l'annexe I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dès qu'ils auront pris les mesures nécessaires en vue de la ratification de leurs accords respectifs, et dans l'attente de l'entrée en vigueur de ces derniers, il convient de déléguer à la Commission le pouvoir d'adopter des actes conformément à l'article 290 du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TFUE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réinscrire sur la liste les pays qui ont été retirés de l'annexe I du règlement (CE) n° 1528/2007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(UE) n° 527/2013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37/2014 art. 1 et annexe, pt. 14 (adapté)</w:t>
      </w:r>
    </w:p>
    <w:p>
      <w:pPr>
        <w:pStyle w:val="ManualConsidrant"/>
        <w:rPr>
          <w:noProof/>
          <w:lang w:val="fr-BE"/>
        </w:rPr>
      </w:pPr>
      <w:r>
        <w:rPr>
          <w:noProof/>
          <w:lang w:val="fr-BE"/>
        </w:rPr>
        <w:t>(18)</w:t>
      </w:r>
      <w:r>
        <w:rPr>
          <w:noProof/>
          <w:lang w:val="fr-BE"/>
        </w:rPr>
        <w:tab/>
        <w:t xml:space="preserve">La Commission devrait être habilitée à adopter les mesures nécessaires à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la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mise en œuvre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du présent règlement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conformément au règlement (UE) n° 182/2011 du Parlement européen et du Conseil</w:t>
      </w:r>
      <w:r>
        <w:rPr>
          <w:rStyle w:val="FootnoteReference"/>
          <w:noProof/>
          <w:lang w:val="fr-BE"/>
        </w:rPr>
        <w:footnoteReference w:id="14"/>
      </w:r>
      <w:r>
        <w:rPr>
          <w:noProof/>
          <w:lang w:val="fr-BE"/>
        </w:rPr>
        <w:t>.</w:t>
      </w:r>
    </w:p>
    <w:p>
      <w:pPr>
        <w:pStyle w:val="ManualConsidrant"/>
        <w:rPr>
          <w:noProof/>
          <w:lang w:val="fr-BE"/>
        </w:rPr>
      </w:pPr>
      <w:r>
        <w:rPr>
          <w:noProof/>
        </w:rPr>
        <w:t>(19)</w:t>
      </w:r>
      <w:r>
        <w:rPr>
          <w:noProof/>
        </w:rPr>
        <w:tab/>
        <w:t>Il convient d'avoir recours à la procédure consultative pour la suspension du traitement, étant donné la nature de ces suspensions. Il convient aussi d'y avoir recours pour l'adoption de mesures de surveillance et de mesures de sauvegarde provisoires, étant donné les effets de ces mesures. Lorsqu'un retard dans l'imposition de mesures risque de causer un préjudice difficilement réparable, il convient d'autoriser la Commission à adopter des mesures provisoires immédiatement applicables,</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1528/2007</w:t>
      </w:r>
    </w:p>
    <w:p>
      <w:pPr>
        <w:pStyle w:val="Formuledadoption"/>
        <w:rPr>
          <w:noProof/>
        </w:rPr>
      </w:pPr>
      <w:r>
        <w:rPr>
          <w:noProof/>
        </w:rPr>
        <w:t>ONT ARRÊTÉ LE PRÉSENT RÈGLEMENT:</w:t>
      </w:r>
    </w:p>
    <w:p>
      <w:pPr>
        <w:pStyle w:val="SectionTitle"/>
        <w:rPr>
          <w:noProof/>
        </w:rPr>
      </w:pPr>
      <w:r>
        <w:rPr>
          <w:noProof/>
        </w:rPr>
        <w:t>CHAPITRE I</w:t>
      </w:r>
    </w:p>
    <w:p>
      <w:pPr>
        <w:pStyle w:val="SectionTitle"/>
        <w:rPr>
          <w:noProof/>
        </w:rPr>
      </w:pPr>
      <w:r>
        <w:rPr>
          <w:noProof/>
        </w:rPr>
        <w:t>OBJET, CHAMP D'APPLICATION ET ACCÈS AU MARCHÉ</w:t>
      </w:r>
    </w:p>
    <w:p>
      <w:pPr>
        <w:pStyle w:val="Titrearticle"/>
        <w:rPr>
          <w:noProof/>
        </w:rPr>
      </w:pPr>
      <w:r>
        <w:rPr>
          <w:noProof/>
        </w:rPr>
        <w:t>Article premier</w:t>
      </w:r>
    </w:p>
    <w:p>
      <w:pPr>
        <w:pStyle w:val="NormalCentered"/>
        <w:rPr>
          <w:b/>
          <w:bCs/>
          <w:noProof/>
        </w:rPr>
      </w:pPr>
      <w:r>
        <w:rPr>
          <w:b/>
          <w:bCs/>
          <w:noProof/>
        </w:rPr>
        <w:t>Objet</w:t>
      </w:r>
    </w:p>
    <w:p>
      <w:pPr>
        <w:rPr>
          <w:noProof/>
        </w:rPr>
      </w:pPr>
      <w:r>
        <w:rPr>
          <w:noProof/>
        </w:rPr>
        <w:t>Le présent règlement applique aux produits originaires de certains États appartenant au groupe des États d'Afrique, des Caraïbes et du Pacifique (ACP) les régimes prévus dans les accords établissant ou conduisant à établir des accords de partenariats économiques.</w:t>
      </w:r>
    </w:p>
    <w:p>
      <w:pPr>
        <w:pStyle w:val="Titrearticle"/>
        <w:rPr>
          <w:noProof/>
        </w:rPr>
      </w:pPr>
      <w:r>
        <w:rPr>
          <w:noProof/>
        </w:rPr>
        <w:t>Article 2</w:t>
      </w:r>
    </w:p>
    <w:p>
      <w:pPr>
        <w:pStyle w:val="NormalCentered"/>
        <w:rPr>
          <w:b/>
          <w:bCs/>
          <w:noProof/>
        </w:rPr>
      </w:pPr>
      <w:r>
        <w:rPr>
          <w:b/>
          <w:bCs/>
          <w:noProof/>
        </w:rPr>
        <w:t>Champ d'application</w:t>
      </w:r>
    </w:p>
    <w:p>
      <w:pPr>
        <w:rPr>
          <w:noProof/>
        </w:rPr>
      </w:pPr>
      <w:r>
        <w:rPr>
          <w:noProof/>
        </w:rPr>
        <w:t>1. Le présent règlement s'applique aux produits originaires des régions et États énumérés à l'annexe 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5 1</w:t>
      </w:r>
    </w:p>
    <w:p>
      <w:pPr>
        <w:rPr>
          <w:noProof/>
        </w:rPr>
      </w:pPr>
      <w:r>
        <w:rPr>
          <w:noProof/>
        </w:rPr>
        <w:t>2. La Commission modifie l'annexe I par voie d'actes délégués, conformément à l'article 24, afin d'y ajouter les régions ou États du groupe ACP ayant conclu des négociations concernant un accord entre l'Union et la région ou l'État concerné qui satisfait au moins aux exigences prévues à l'article XXIV du GATT de 1994.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5 1 (adapté)</w:t>
      </w:r>
    </w:p>
    <w:p>
      <w:pPr>
        <w:rPr>
          <w:noProof/>
        </w:rPr>
      </w:pPr>
      <w:r>
        <w:rPr>
          <w:noProof/>
        </w:rPr>
        <w:t>3. L'État ou la région restera sur la liste figurant à l'annexe I, à moins que la Commission adopte un acte délégué, conformément à l'article 24, modifiant l'annexe I pour en retirer une région ou un État, notamment: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w:t>
      </w:r>
    </w:p>
    <w:p>
      <w:pPr>
        <w:pStyle w:val="Point0"/>
        <w:rPr>
          <w:noProof/>
        </w:rPr>
      </w:pPr>
      <w:r>
        <w:rPr>
          <w:noProof/>
        </w:rPr>
        <w:t>a)</w:t>
      </w:r>
      <w:r>
        <w:rPr>
          <w:noProof/>
        </w:rPr>
        <w:tab/>
        <w:t>si la région ou l'État concerné fait part de son intention de ne pas ratifier un accord lui ayant permis d'être inclus à l'annexe I;</w:t>
      </w:r>
    </w:p>
    <w:p>
      <w:pPr>
        <w:pStyle w:val="Point0"/>
        <w:rPr>
          <w:noProof/>
        </w:rPr>
      </w:pPr>
      <w:r>
        <w:rPr>
          <w:noProof/>
        </w:rPr>
        <w:t>b)</w:t>
      </w:r>
      <w:r>
        <w:rPr>
          <w:noProof/>
        </w:rPr>
        <w:tab/>
        <w:t>si la ratification d'un accord ayant permis à la région ou à l'État concerné d'être inclus à l'annexe I n'est pas intervenue dans un délai raisonnable, de sorte que l'entrée en vigueur de l'accord est indûment retardée, ou</w:t>
      </w:r>
    </w:p>
    <w:p>
      <w:pPr>
        <w:pStyle w:val="Point0"/>
        <w:rPr>
          <w:noProof/>
        </w:rPr>
      </w:pPr>
      <w:r>
        <w:rPr>
          <w:noProof/>
        </w:rPr>
        <w:t>c)</w:t>
      </w:r>
      <w:r>
        <w:rPr>
          <w:noProof/>
        </w:rPr>
        <w:tab/>
        <w:t>si l'accord est résilié ou si la région ou l'État concerné met fin à ses droits et obligations découlant de l'accord, alors même que celui-ci reste en vigueur.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527/2013 art. 1, pt. 1 (adapté)</w:t>
      </w:r>
    </w:p>
    <w:p>
      <w:pPr>
        <w:pStyle w:val="Titrearticle"/>
        <w:rPr>
          <w:noProof/>
        </w:rPr>
      </w:pPr>
      <w:r>
        <w:rPr>
          <w:noProof/>
        </w:rPr>
        <w:t>Article 3</w:t>
      </w:r>
    </w:p>
    <w:p>
      <w:pPr>
        <w:pStyle w:val="NormalCentered"/>
        <w:rPr>
          <w:b/>
          <w:bCs/>
          <w:noProof/>
        </w:rPr>
      </w:pPr>
      <w:r>
        <w:rPr>
          <w:b/>
          <w:bCs/>
          <w:noProof/>
        </w:rPr>
        <w:t>Délégation de pouvoir</w:t>
      </w:r>
    </w:p>
    <w:p>
      <w:pPr>
        <w:rPr>
          <w:noProof/>
        </w:rPr>
      </w:pPr>
      <w:r>
        <w:rPr>
          <w:noProof/>
        </w:rPr>
        <w:t xml:space="preserve">La Commission est habilitée à adopter des actes délégués en conformité avec l'article 24 afin de modifier l'annexe I du présent règlement et d'y réinscrire les régions ou les États du groupe d'États ACP qui ont été retirés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de l'annexe I du règlement (CE) n° 1528/2007 par le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règlement (UE) n</w:t>
      </w:r>
      <w:r>
        <w:rPr>
          <w:noProof/>
          <w:vertAlign w:val="superscript"/>
        </w:rPr>
        <w:t>o</w:t>
      </w:r>
      <w:r>
        <w:rPr>
          <w:noProof/>
        </w:rPr>
        <w:t xml:space="preserve"> 527/2013 et qui, depuis ce retrait, ont pris les mesures nécessaires en vue de la ratification de leurs accords respectifs.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CRReference"/>
        <w:rPr>
          <w:noProof/>
        </w:rPr>
      </w:pPr>
      <w:r>
        <w:rPr>
          <w:noProof/>
          <w:highlight w:val="lightGray"/>
          <w:lang w:val="fr-BE"/>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lang w:val="fr-BE"/>
        </w:rPr>
        <w:fldChar w:fldCharType="separate"/>
      </w:r>
      <w:r>
        <w:rPr>
          <w:rStyle w:val="CRMarker"/>
          <w:noProof/>
          <w:highlight w:val="lightGray"/>
          <w:lang w:val="fr-BE"/>
        </w:rPr>
        <w:t>ð</w:t>
      </w:r>
      <w:r>
        <w:rPr>
          <w:noProof/>
          <w:highlight w:val="lightGray"/>
          <w:lang w:val="fr-BE"/>
        </w:rPr>
        <w:fldChar w:fldCharType="end"/>
      </w:r>
      <w:r>
        <w:rPr>
          <w:noProof/>
          <w:highlight w:val="lightGray"/>
          <w:lang w:val="fr-BE"/>
        </w:rPr>
        <w:t> nouveau</w:t>
      </w:r>
    </w:p>
    <w:p>
      <w:pPr>
        <w:pStyle w:val="Titrearticle"/>
        <w:rPr>
          <w:noProof/>
        </w:rPr>
      </w:pPr>
      <w:r>
        <w:rPr>
          <w:noProof/>
        </w:rPr>
        <w:t>Article 4</w:t>
      </w:r>
    </w:p>
    <w:p>
      <w:pPr>
        <w:pStyle w:val="NormalCentered"/>
        <w:rPr>
          <w:b/>
          <w:bCs/>
          <w:noProof/>
        </w:rPr>
      </w:pPr>
      <w:r>
        <w:rPr>
          <w:b/>
          <w:bCs/>
          <w:noProof/>
        </w:rPr>
        <w:t>Accès au marché</w:t>
      </w:r>
    </w:p>
    <w:p>
      <w:pPr>
        <w:rPr>
          <w:noProof/>
        </w:rPr>
      </w:pPr>
      <w:r>
        <w:rPr>
          <w:noProof/>
        </w:rPr>
        <w:t>1. Les droits à l'importation sont éliminés sur tous les produits relevant des chapitres 1 à 97 du système harmonisé, à l'exclusion du chapitre 93, originaires des régions ou États énumérés à l'annexe I. Cette élimination est soumise aux mécanismes généraux de sauvegarde prévus aux articles 11 à 22.</w:t>
      </w:r>
    </w:p>
    <w:p>
      <w:pPr>
        <w:rPr>
          <w:noProof/>
        </w:rPr>
      </w:pPr>
      <w:r>
        <w:rPr>
          <w:noProof/>
        </w:rPr>
        <w:t>2. Pour les produits relevant du chapitre 93 du système harmonisé originaires des régions ou États énumérés à l'annexe I, les droits de la nation la plus favorisée appliqués continuent de l'être.</w:t>
      </w:r>
    </w:p>
    <w:p>
      <w:pPr>
        <w:rPr>
          <w:noProof/>
        </w:rPr>
      </w:pPr>
      <w:r>
        <w:rPr>
          <w:noProof/>
        </w:rPr>
        <w:lastRenderedPageBreak/>
        <w:t xml:space="preserve">3. Le paragraphe 1 ne s'applique pas aux produits originaires d'Afrique du Sud. Ces produits sont soumis aux dispositions pertinentes de l'ACDC.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Commission est habilitée à adopter des actes délégués en conformité avec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l'article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w:t>
      </w:r>
      <w:r>
        <w:rPr>
          <w:noProof/>
          <w:highlight w:val="lightGray"/>
          <w:lang w:val="fr-BE"/>
        </w:rPr>
        <w:t>4</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afin d'ajouter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une annexe au présent règlement fixant le régime applicable aux produits originaires d'Afrique du Sud, lorsque les dispositions commerciales pertinentes de l'ACDC seront remplacées par les dispositions pertinentes d'un accord établissant ou conduisant à établir un accord de partenariat économique.</w:t>
      </w:r>
    </w:p>
    <w:p>
      <w:pPr>
        <w:rPr>
          <w:noProof/>
        </w:rPr>
      </w:pPr>
      <w:r>
        <w:rPr>
          <w:noProof/>
        </w:rPr>
        <w:t xml:space="preserve">4. Le paragraphe 1 ne s'applique pas aux produits relevant de la position tarifaire 0803 00 19 originaires des régions ou États énumérés à l'annexe I et mis en libre pratique dans les régions ultrapériphériques de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jusqu'au 1</w:t>
      </w:r>
      <w:r>
        <w:rPr>
          <w:noProof/>
          <w:vertAlign w:val="superscript"/>
        </w:rPr>
        <w:t>er</w:t>
      </w:r>
      <w:r>
        <w:rPr>
          <w:noProof/>
        </w:rPr>
        <w:t xml:space="preserve"> janvier 2018. Le paragraphe 1 du présent article et l'article 8 ne s'appliquent pas aux produits relevant de la position tarifaire 1701 originaires des régions ou États énumérés à l'annexe I et mis en libre pratique dans les départements français d'outre-mer jusqu'au 1</w:t>
      </w:r>
      <w:r>
        <w:rPr>
          <w:noProof/>
          <w:vertAlign w:val="superscript"/>
        </w:rPr>
        <w:t>er</w:t>
      </w:r>
      <w:r>
        <w:rPr>
          <w:noProof/>
        </w:rPr>
        <w:t xml:space="preserve"> janvier 2018. Ces périodes sont prorogées jusqu'au 1</w:t>
      </w:r>
      <w:r>
        <w:rPr>
          <w:noProof/>
          <w:vertAlign w:val="superscript"/>
        </w:rPr>
        <w:t>er</w:t>
      </w:r>
      <w:r>
        <w:rPr>
          <w:noProof/>
        </w:rPr>
        <w:t xml:space="preserve"> janvier 2028, sauf dispositions contraires convenues entre les parties aux accords correspondants. La Commission publie un avis au </w:t>
      </w:r>
      <w:r>
        <w:rPr>
          <w:i/>
          <w:noProof/>
        </w:rPr>
        <w:t>Journal officiel de l'Union européenne</w:t>
      </w:r>
      <w:r>
        <w:rPr>
          <w:noProof/>
        </w:rPr>
        <w:t xml:space="preserve"> informant les parties intéressées de la fin de cette disposition.</w:t>
      </w:r>
    </w:p>
    <w:p>
      <w:pPr>
        <w:pStyle w:val="SectionTitle"/>
        <w:rPr>
          <w:noProof/>
        </w:rPr>
      </w:pPr>
      <w:r>
        <w:rPr>
          <w:noProof/>
        </w:rPr>
        <w:t>CHAPITRE II</w:t>
      </w:r>
    </w:p>
    <w:p>
      <w:pPr>
        <w:pStyle w:val="SectionTitle"/>
        <w:rPr>
          <w:noProof/>
        </w:rPr>
      </w:pPr>
      <w:r>
        <w:rPr>
          <w:noProof/>
        </w:rPr>
        <w:t>RÈGLES D'ORIGINE ET COOPÉRATION ADMINISTRATIVE</w:t>
      </w:r>
    </w:p>
    <w:p>
      <w:pPr>
        <w:pStyle w:val="Titrearticle"/>
        <w:rPr>
          <w:noProof/>
        </w:rPr>
      </w:pPr>
      <w:r>
        <w:rPr>
          <w:noProof/>
        </w:rPr>
        <w:t>Article 5</w:t>
      </w:r>
    </w:p>
    <w:p>
      <w:pPr>
        <w:pStyle w:val="NormalCentered"/>
        <w:rPr>
          <w:b/>
          <w:bCs/>
          <w:noProof/>
        </w:rPr>
      </w:pPr>
      <w:r>
        <w:rPr>
          <w:b/>
          <w:bCs/>
          <w:noProof/>
        </w:rPr>
        <w:t>Règles d'origine</w:t>
      </w:r>
    </w:p>
    <w:p>
      <w:pPr>
        <w:rPr>
          <w:noProof/>
        </w:rPr>
      </w:pPr>
      <w:r>
        <w:rPr>
          <w:noProof/>
        </w:rPr>
        <w:t>1. Les règles d'origine définies à l'annexe II s'appliquent pour déterminer si les produits sont originaires des régions ou États énumérés à l'annexe I.</w:t>
      </w:r>
    </w:p>
    <w:p>
      <w:pPr>
        <w:rPr>
          <w:noProof/>
        </w:rPr>
      </w:pPr>
      <w:r>
        <w:rPr>
          <w:noProof/>
        </w:rPr>
        <w:t xml:space="preserve">2. Les règles d'origine définies à l'annexe II sont remplacées par celles annexées à tout accord conclu avec les régions ou États énumérés à l'annexe I, lorsque cet accord est appliqué à titre provisoire ou lorsqu'il entre en vigueur, la date retenue étant la plus proche. La Commission publie un avis au </w:t>
      </w:r>
      <w:r>
        <w:rPr>
          <w:i/>
          <w:noProof/>
        </w:rPr>
        <w:t>Journal officiel de l'Union européenne</w:t>
      </w:r>
      <w:r>
        <w:rPr>
          <w:noProof/>
        </w:rPr>
        <w:t xml:space="preserve"> pour en informer les opérateurs. Cet avis précise la date de l'application provisoire ou de l'entrée en vigueur, qui constitue la date à partir de laquelle les règles d'origine figurant dans l'accord s'appliquent à tous les produits originaires des régions et États énumérés à l'annexe 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5 2 (adapté)</w:t>
      </w:r>
    </w:p>
    <w:p>
      <w:pPr>
        <w:rPr>
          <w:noProof/>
        </w:rPr>
      </w:pPr>
      <w:r>
        <w:rPr>
          <w:noProof/>
        </w:rPr>
        <w:t>3. La Commission est habilitée à adopter des actes délégués en conformité avec l'article 24 en ce qui concerne les modifications techniques de l'annexe II, le cas échéant, pour tenir compte des modifications du reste de la législation douanière de l'Union.</w:t>
      </w:r>
    </w:p>
    <w:p>
      <w:pPr>
        <w:rPr>
          <w:noProof/>
        </w:rPr>
      </w:pPr>
      <w:r>
        <w:rPr>
          <w:noProof/>
        </w:rPr>
        <w:t xml:space="preserve">4. Des décisions sur la gestion de l'annexe II peuvent être adoptées conformément à la procédure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d'examen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visée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l'article 21, paragraphe 5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w:t>
      </w:r>
    </w:p>
    <w:p>
      <w:pPr>
        <w:pStyle w:val="Titrearticle"/>
        <w:rPr>
          <w:noProof/>
        </w:rPr>
      </w:pPr>
      <w:r>
        <w:rPr>
          <w:noProof/>
        </w:rPr>
        <w:t>Article 6</w:t>
      </w:r>
    </w:p>
    <w:p>
      <w:pPr>
        <w:pStyle w:val="NormalCentered"/>
        <w:rPr>
          <w:b/>
          <w:bCs/>
          <w:noProof/>
        </w:rPr>
      </w:pPr>
      <w:r>
        <w:rPr>
          <w:b/>
          <w:bCs/>
          <w:noProof/>
        </w:rPr>
        <w:t>Coopération administrative</w:t>
      </w:r>
    </w:p>
    <w:p>
      <w:pPr>
        <w:rPr>
          <w:noProof/>
        </w:rPr>
      </w:pPr>
      <w:r>
        <w:rPr>
          <w:noProof/>
        </w:rPr>
        <w:t>1. Lorsque la Commission constate, sur la base d'informations objectives, une absence de coopération administrative et/ou des irrégularités ou une fraude, elle peut suspendre temporairement l'élimination des droits prévue aux articles 4, 7 et 8 (ci-après dénommé le «traitement pertinent») conformément aux dispositions du présent article.</w:t>
      </w:r>
    </w:p>
    <w:p>
      <w:pPr>
        <w:rPr>
          <w:noProof/>
        </w:rPr>
      </w:pPr>
      <w:r>
        <w:rPr>
          <w:noProof/>
        </w:rPr>
        <w:t>2. Aux fins du présent article, on entend, entre autres, par «absence de coopération administrative»:</w:t>
      </w:r>
    </w:p>
    <w:p>
      <w:pPr>
        <w:pStyle w:val="Point0"/>
        <w:rPr>
          <w:noProof/>
        </w:rPr>
      </w:pPr>
      <w:r>
        <w:rPr>
          <w:noProof/>
        </w:rPr>
        <w:t>a)</w:t>
      </w:r>
      <w:r>
        <w:rPr>
          <w:noProof/>
        </w:rPr>
        <w:tab/>
        <w:t>le non-respect répété de l'obligation de vérifier le statut originaire du ou des produits concernés;</w:t>
      </w:r>
    </w:p>
    <w:p>
      <w:pPr>
        <w:pStyle w:val="Point0"/>
        <w:rPr>
          <w:noProof/>
        </w:rPr>
      </w:pPr>
      <w:r>
        <w:rPr>
          <w:noProof/>
        </w:rPr>
        <w:t>b)</w:t>
      </w:r>
      <w:r>
        <w:rPr>
          <w:noProof/>
        </w:rPr>
        <w:tab/>
        <w:t>le refus répété de procéder à la vérification ultérieure de la preuve de l'origine et/ou d'en communiquer les résultats, ou le retard injustifié avec lequel ces tâches sont accomplies;</w:t>
      </w:r>
    </w:p>
    <w:p>
      <w:pPr>
        <w:pStyle w:val="Point0"/>
        <w:rPr>
          <w:noProof/>
        </w:rPr>
      </w:pPr>
      <w:r>
        <w:rPr>
          <w:noProof/>
        </w:rPr>
        <w:t>c)</w:t>
      </w:r>
      <w:r>
        <w:rPr>
          <w:noProof/>
        </w:rPr>
        <w:tab/>
        <w:t>le refus répété d'accorder l'autorisation d'accomplir les tâches de coopération administrative afin de vérifier l'authenticité de documents ou l'exactitude d'informations relatives à l'octroi du traitement pertinent, ou le retard injustifié avec lequel cette autorisation est accordée.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rPr>
          <w:noProof/>
        </w:rPr>
      </w:pPr>
      <w:r>
        <w:rPr>
          <w:noProof/>
        </w:rPr>
        <w:t xml:space="preserve">Aux fins du présent article, des irrégularités ou une fraude peuvent être constatées notamment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en cas d'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augmentation rapide, sans explication satisfaisante, des importations de biens dépassant le niveau habituel de production et la capacité d'exportation de la région ou de l'État concerné.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 (adapté)</w:t>
      </w:r>
    </w:p>
    <w:p>
      <w:pPr>
        <w:rPr>
          <w:noProof/>
        </w:rPr>
      </w:pPr>
      <w:r>
        <w:rPr>
          <w:noProof/>
        </w:rPr>
        <w:t xml:space="preserve">3. Lorsque la Commission estime, sur la base d'informations fournies par un État membre ou de sa propre initiative, que les conditions fixées aux paragraphes 1 et 2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du présent article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sont remplies, le traitement pertinent peut être suspendu, conformément à la procédure consultative visée à l'article 21, paragraphe 4, à condition que la Commission ait d'abord:</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Point0"/>
        <w:rPr>
          <w:noProof/>
        </w:rPr>
      </w:pPr>
      <w:r>
        <w:rPr>
          <w:noProof/>
        </w:rPr>
        <w:t>a)</w:t>
      </w:r>
      <w:r>
        <w:rPr>
          <w:noProof/>
        </w:rPr>
        <w:tab/>
        <w:t xml:space="preserve">informé le comité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visé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à l'article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21, paragraphe 2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w:t>
      </w:r>
    </w:p>
    <w:p>
      <w:pPr>
        <w:pStyle w:val="Point0"/>
        <w:rPr>
          <w:noProof/>
        </w:rPr>
      </w:pPr>
      <w:r>
        <w:rPr>
          <w:noProof/>
        </w:rPr>
        <w:lastRenderedPageBreak/>
        <w:t>b)</w:t>
      </w:r>
      <w:r>
        <w:rPr>
          <w:noProof/>
        </w:rPr>
        <w:tab/>
        <w:t xml:space="preserve">informé la région ou l'État concerné conformément à toutes les procédures pertinentes applicables entre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et cette région ou cet État, et</w:t>
      </w:r>
    </w:p>
    <w:p>
      <w:pPr>
        <w:pStyle w:val="Point0"/>
        <w:rPr>
          <w:noProof/>
        </w:rPr>
      </w:pPr>
      <w:r>
        <w:rPr>
          <w:noProof/>
        </w:rPr>
        <w:t>c)</w:t>
      </w:r>
      <w:r>
        <w:rPr>
          <w:noProof/>
        </w:rPr>
        <w:tab/>
        <w:t xml:space="preserve">publié un avis au </w:t>
      </w:r>
      <w:r>
        <w:rPr>
          <w:i/>
          <w:noProof/>
        </w:rPr>
        <w:t>Journal officiel de l'Union européenne</w:t>
      </w:r>
      <w:r>
        <w:rPr>
          <w:noProof/>
        </w:rPr>
        <w:t xml:space="preserve"> indiquant qu'une absence de coopération administrative, des irrégularités ou une fraude ont été constatées.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w:t>
      </w:r>
    </w:p>
    <w:p>
      <w:pPr>
        <w:rPr>
          <w:noProof/>
        </w:rPr>
      </w:pPr>
      <w:r>
        <w:rPr>
          <w:noProof/>
        </w:rPr>
        <w:t>4. La période de suspension prévue par le présent article ne peut aller au-delà de la période qui est nécessaire pour protéger les intérêts financiers de l'Union. Elle n'excède pas une période de six mois, toutefois cette période peut être renouvelée. Au terme de cette période, la Commission décide soit de lever la suspension, soit de proroger la suspension conformément à la procédure consultative visée à l'article 21, paragraphe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rPr>
          <w:noProof/>
        </w:rPr>
      </w:pPr>
      <w:r>
        <w:rPr>
          <w:noProof/>
        </w:rPr>
        <w:t xml:space="preserve">5. Les procédures de suspension temporaire définies aux paragraphes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 3 et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4 sont remplacées par celles de tout accord avec les régions ou États énumérés à l'annexe I dès que cet accord est appliqué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à titre provisoire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ou qu'il entre en vigueur, la date retenue étant la plus proche. La Commission publie un avis dans le </w:t>
      </w:r>
      <w:r>
        <w:rPr>
          <w:i/>
          <w:noProof/>
        </w:rPr>
        <w:t>Journal officiel de l'Union européenne</w:t>
      </w:r>
      <w:r>
        <w:rPr>
          <w:noProof/>
        </w:rPr>
        <w:t xml:space="preserve"> pour informer les opérateurs. L'avis spécifie la date d'application provisoire ou d'entrée en vigueur, qui est la date à laquelle les procédures de suspension temporaire de l'accord s'appliquent aux produits couverts par le présent règlement.</w:t>
      </w:r>
    </w:p>
    <w:p>
      <w:pPr>
        <w:rPr>
          <w:noProof/>
        </w:rPr>
      </w:pPr>
      <w:r>
        <w:rPr>
          <w:noProof/>
        </w:rPr>
        <w:t>6. Pour mettre en œuvre une suspension temporaire prévue par un accord avec les régions ou États énumérés à l'annexe I, la Commission, sans retard injustifié:</w:t>
      </w:r>
    </w:p>
    <w:p>
      <w:pPr>
        <w:pStyle w:val="Point0"/>
        <w:rPr>
          <w:noProof/>
        </w:rPr>
      </w:pPr>
      <w:r>
        <w:rPr>
          <w:noProof/>
        </w:rPr>
        <w:t>a)</w:t>
      </w:r>
      <w:r>
        <w:rPr>
          <w:noProof/>
        </w:rPr>
        <w:tab/>
        <w:t xml:space="preserve">informe le comité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visé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à l'article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21, paragraphe 2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qu'une absence de coopération administrative, des irrégularités ou une fraude ont été constatées, et</w:t>
      </w:r>
    </w:p>
    <w:p>
      <w:pPr>
        <w:pStyle w:val="Point0"/>
        <w:rPr>
          <w:noProof/>
        </w:rPr>
      </w:pPr>
      <w:r>
        <w:rPr>
          <w:noProof/>
        </w:rPr>
        <w:t>b)</w:t>
      </w:r>
      <w:r>
        <w:rPr>
          <w:noProof/>
        </w:rPr>
        <w:tab/>
        <w:t xml:space="preserve">publie un avis au </w:t>
      </w:r>
      <w:r>
        <w:rPr>
          <w:i/>
          <w:noProof/>
        </w:rPr>
        <w:t>Journal officiel de l'Union européenne</w:t>
      </w:r>
      <w:r>
        <w:rPr>
          <w:noProof/>
        </w:rPr>
        <w:t xml:space="preserve"> indiquant qu'une absence de coopération administrative, des irrégularités ou une fraude ont été constatées.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w:t>
      </w:r>
    </w:p>
    <w:p>
      <w:pPr>
        <w:rPr>
          <w:noProof/>
        </w:rPr>
      </w:pPr>
      <w:r>
        <w:rPr>
          <w:noProof/>
        </w:rPr>
        <w:t>La décision suspendant le traitement pertinent est adoptée conformément à la procédure consultative visée à l'article 21, paragraphe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SectionTitle"/>
        <w:rPr>
          <w:noProof/>
        </w:rPr>
      </w:pPr>
      <w:r>
        <w:rPr>
          <w:noProof/>
        </w:rPr>
        <w:t>CHAPITRE III</w:t>
      </w:r>
    </w:p>
    <w:p>
      <w:pPr>
        <w:pStyle w:val="SectionTitle"/>
        <w:rPr>
          <w:noProof/>
        </w:rPr>
      </w:pPr>
      <w:r>
        <w:rPr>
          <w:noProof/>
        </w:rPr>
        <w:t>DISPOSITIONS PROVISOIRES</w:t>
      </w:r>
    </w:p>
    <w:p>
      <w:pPr>
        <w:pStyle w:val="SectionTitle"/>
        <w:rPr>
          <w:noProof/>
        </w:rPr>
      </w:pPr>
      <w:r>
        <w:rPr>
          <w:noProof/>
        </w:rPr>
        <w:t>SECTION 1</w:t>
      </w:r>
    </w:p>
    <w:p>
      <w:pPr>
        <w:pStyle w:val="SectionTitle"/>
        <w:rPr>
          <w:noProof/>
        </w:rPr>
      </w:pPr>
      <w:r>
        <w:rPr>
          <w:noProof/>
        </w:rPr>
        <w:t>Riz</w:t>
      </w:r>
    </w:p>
    <w:p>
      <w:pPr>
        <w:pStyle w:val="Titrearticle"/>
        <w:rPr>
          <w:noProof/>
        </w:rPr>
      </w:pPr>
      <w:r>
        <w:rPr>
          <w:noProof/>
        </w:rPr>
        <w:t>Article 7</w:t>
      </w:r>
    </w:p>
    <w:p>
      <w:pPr>
        <w:pStyle w:val="NormalCentered"/>
        <w:rPr>
          <w:b/>
          <w:bCs/>
          <w:noProof/>
        </w:rPr>
      </w:pPr>
      <w:r>
        <w:rPr>
          <w:b/>
          <w:bCs/>
          <w:noProof/>
        </w:rPr>
        <w:t>Contingents tarifaires à droit nul</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Aucun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droit à l'importation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n'est imposé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les produits relevant de la position tarifaire 1006.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SectionTitle"/>
        <w:rPr>
          <w:noProof/>
        </w:rPr>
      </w:pPr>
      <w:r>
        <w:rPr>
          <w:noProof/>
        </w:rPr>
        <w:t>SECTION 2</w:t>
      </w:r>
    </w:p>
    <w:p>
      <w:pPr>
        <w:pStyle w:val="SectionTitle"/>
        <w:rPr>
          <w:noProof/>
        </w:rPr>
      </w:pPr>
      <w:r>
        <w:rPr>
          <w:noProof/>
        </w:rPr>
        <w:t>Sucre</w:t>
      </w:r>
    </w:p>
    <w:p>
      <w:pPr>
        <w:pStyle w:val="Titrearticle"/>
        <w:rPr>
          <w:noProof/>
        </w:rPr>
      </w:pPr>
      <w:r>
        <w:rPr>
          <w:noProof/>
        </w:rPr>
        <w:t>Article 8</w:t>
      </w:r>
    </w:p>
    <w:p>
      <w:pPr>
        <w:pStyle w:val="NormalCentered"/>
        <w:rPr>
          <w:b/>
          <w:bCs/>
          <w:noProof/>
        </w:rPr>
      </w:pPr>
      <w:r>
        <w:rPr>
          <w:b/>
          <w:bCs/>
          <w:noProof/>
        </w:rPr>
        <w:t>Contingents tarifaires à droit nul</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Aucun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droit à l'importation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n'est imposé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les produits relevant de la position tarifaire 1701.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Titrearticle"/>
        <w:rPr>
          <w:noProof/>
        </w:rPr>
      </w:pPr>
      <w:r>
        <w:rPr>
          <w:noProof/>
        </w:rPr>
        <w:t>Article 9</w:t>
      </w:r>
    </w:p>
    <w:p>
      <w:pPr>
        <w:pStyle w:val="NormalCentered"/>
        <w:keepNext/>
        <w:rPr>
          <w:b/>
          <w:bCs/>
          <w:noProof/>
        </w:rPr>
      </w:pPr>
      <w:r>
        <w:rPr>
          <w:b/>
          <w:bCs/>
          <w:noProof/>
        </w:rPr>
        <w:t>Mécanisme de sauvegarde transitoire pour le sucre</w:t>
      </w:r>
    </w:p>
    <w:p>
      <w:pPr>
        <w:keepLines/>
        <w:rPr>
          <w:noProof/>
        </w:rPr>
      </w:pPr>
      <w:r>
        <w:rPr>
          <w:noProof/>
        </w:rPr>
        <w:t xml:space="preserve">1.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Jusqu'au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30 septembre 2015, le traitement accordé à l'article 8 pour les importations de produits relevant de la position tarifaire 1701 originaires des régions ou États énumérés à l'annexe I et qui n'appartiennent pas aux pays les moins avancés figurant à l'annexe I du règlement (CE) n</w:t>
      </w:r>
      <w:r>
        <w:rPr>
          <w:noProof/>
          <w:vertAlign w:val="superscript"/>
        </w:rPr>
        <w:t>o</w:t>
      </w:r>
      <w:r>
        <w:rPr>
          <w:noProof/>
        </w:rPr>
        <w:t xml:space="preserve"> 980/2005 du Conseil</w:t>
      </w:r>
      <w:r>
        <w:rPr>
          <w:rStyle w:val="FootnoteReference"/>
          <w:noProof/>
        </w:rPr>
        <w:footnoteReference w:id="15"/>
      </w:r>
      <w:r>
        <w:rPr>
          <w:noProof/>
        </w:rPr>
        <w:t xml:space="preserve"> peut être suspendu lorsque:</w:t>
      </w:r>
    </w:p>
    <w:p>
      <w:pPr>
        <w:pStyle w:val="Point0"/>
        <w:rPr>
          <w:noProof/>
        </w:rPr>
      </w:pPr>
      <w:r>
        <w:rPr>
          <w:noProof/>
        </w:rPr>
        <w:lastRenderedPageBreak/>
        <w:t>a)</w:t>
      </w:r>
      <w:r>
        <w:rPr>
          <w:noProof/>
        </w:rPr>
        <w:tab/>
        <w:t>les importations originaires des régions ou États faisant partie des États ACP mais pas des pays les moins avancés figurant à l'annexe I du règlement (CE) n</w:t>
      </w:r>
      <w:r>
        <w:rPr>
          <w:noProof/>
          <w:vertAlign w:val="superscript"/>
        </w:rPr>
        <w:t>o</w:t>
      </w:r>
      <w:r>
        <w:rPr>
          <w:noProof/>
        </w:rPr>
        <w:t xml:space="preserve"> 980/2005 sont supérieures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à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1,6 million de tonnes pour la campagne de commercialisation 2014/2015, et</w:t>
      </w:r>
    </w:p>
    <w:p>
      <w:pPr>
        <w:pStyle w:val="Point0"/>
        <w:rPr>
          <w:noProof/>
        </w:rPr>
      </w:pPr>
      <w:r>
        <w:rPr>
          <w:noProof/>
        </w:rPr>
        <w:t>b)</w:t>
      </w:r>
      <w:r>
        <w:rPr>
          <w:noProof/>
        </w:rPr>
        <w:tab/>
        <w:t>les importations originaires de l'ensemble des États ACP sont supérieures à 3,5 millions de tonnes.</w:t>
      </w:r>
    </w:p>
    <w:p>
      <w:pPr>
        <w:rPr>
          <w:noProof/>
        </w:rPr>
      </w:pPr>
      <w:r>
        <w:rPr>
          <w:noProof/>
        </w:rPr>
        <w:t xml:space="preserve">2.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La quantité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prévue au paragraphe 1, point a), peut être subdivisée par région.</w:t>
      </w:r>
    </w:p>
    <w:p>
      <w:pPr>
        <w:rPr>
          <w:noProof/>
        </w:rPr>
      </w:pPr>
      <w:r>
        <w:rPr>
          <w:noProof/>
        </w:rPr>
        <w:t xml:space="preserve">3. Durant la période visée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au paragraphe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1, les importations de produits relevant de la position tarifaire 1701 originaires des régions ou États énumérés à l'annexe I nécessiteront une licence d'importation.</w:t>
      </w:r>
    </w:p>
    <w:p>
      <w:pPr>
        <w:rPr>
          <w:noProof/>
        </w:rPr>
      </w:pPr>
      <w:r>
        <w:rPr>
          <w:noProof/>
        </w:rPr>
        <w:t>4. La suspension du traitement accordé à l'article 8 prend fin au terme de la campagne de commercialisation durant laquelle elle a été introduite.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4 (adapté)</w:t>
      </w:r>
    </w:p>
    <w:p>
      <w:pPr>
        <w:rPr>
          <w:noProof/>
        </w:rPr>
      </w:pPr>
      <w:r>
        <w:rPr>
          <w:noProof/>
        </w:rPr>
        <w:t xml:space="preserve">5. La Commission adopte des règles détaillées pour la subdivision des quantités prévues au paragraphe 1 et la gestion du système visé aux paragraphes 1, 3 et 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ainsi que pour les décisions de suspension conformément à la procédure d'examen visée à l'article 21, paragraphe 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Titrearticle"/>
        <w:rPr>
          <w:noProof/>
        </w:rPr>
      </w:pPr>
      <w:r>
        <w:rPr>
          <w:noProof/>
        </w:rPr>
        <w:t>Article 10</w:t>
      </w:r>
    </w:p>
    <w:p>
      <w:pPr>
        <w:pStyle w:val="NormalCentered"/>
        <w:rPr>
          <w:b/>
          <w:bCs/>
          <w:noProof/>
        </w:rPr>
      </w:pPr>
      <w:r>
        <w:rPr>
          <w:b/>
          <w:bCs/>
          <w:noProof/>
        </w:rPr>
        <w:t>Mécanisme de surveillance transitoire</w:t>
      </w:r>
    </w:p>
    <w:p>
      <w:pPr>
        <w:rPr>
          <w:noProof/>
        </w:rPr>
      </w:pPr>
      <w:r>
        <w:rPr>
          <w:noProof/>
        </w:rPr>
        <w:t xml:space="preserve">1.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Jusqu'au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30 septembre 2015, les importations de produits relevant des positions tarifaires 1704 90 99, 1806 10 30, 1806 10 90, 2106 90 59 et 2106 90 98, originaires des régions ou États énumérés à l'annexe I, sont soumises au mécanisme de surveillance prévu à l'article 308 quinquies du règlement (CEE) n</w:t>
      </w:r>
      <w:r>
        <w:rPr>
          <w:noProof/>
          <w:vertAlign w:val="superscript"/>
        </w:rPr>
        <w:t>o</w:t>
      </w:r>
      <w:r>
        <w:rPr>
          <w:noProof/>
        </w:rPr>
        <w:t xml:space="preserve"> 2454/93 de la Commission</w:t>
      </w:r>
      <w:r>
        <w:rPr>
          <w:rStyle w:val="FootnoteReference"/>
          <w:noProof/>
        </w:rPr>
        <w:footnoteReference w:id="16"/>
      </w:r>
      <w:r>
        <w:rPr>
          <w:noProof/>
        </w:rPr>
        <w:t>.</w:t>
      </w:r>
    </w:p>
    <w:p>
      <w:pPr>
        <w:rPr>
          <w:noProof/>
        </w:rPr>
      </w:pPr>
      <w:r>
        <w:rPr>
          <w:noProof/>
        </w:rPr>
        <w:t>2. Grâce à ce mécanisme de surveillance, la Commission vérifie si, au cours d'une période de douze mois consécutifs, le volume des importations de l'un ou de plusieurs de ces produits originaires d'une région donnée affiche une augmentation cumulée de plus de 20 % par rapport à la moyenne des importations annuelles sur les trois périodes de douze mois précédentes.</w:t>
      </w:r>
    </w:p>
    <w:p>
      <w:pPr>
        <w:rPr>
          <w:noProof/>
        </w:rPr>
      </w:pPr>
      <w:r>
        <w:rPr>
          <w:noProof/>
        </w:rPr>
        <w:t xml:space="preserve">3. Si le niveau fixé au paragraphe 2 est atteint, la Commission analyse la structure des échanges, la justification économique et la teneur en sucre de ces importations. Si la Commission conclut que ces importations sont utilisées pour contourner le mécanisme de </w:t>
      </w:r>
      <w:r>
        <w:rPr>
          <w:noProof/>
        </w:rPr>
        <w:lastRenderedPageBreak/>
        <w:t xml:space="preserve">sauvegarde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transitoire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prévu à l'article 9, elle peut suspendre, jusqu'au terme de la campagne de commercialisation concernée, l'application de l'article 4, paragraphe 1, pour les importations de produits relevant des positions tarifaires 1704 90 99, 1806 10 30, 1806 10 90, 2106 90 59 et 2106 90 98, originaires des régions ou États énumérés à l'annexe I et qui n'appartiennent pas aux pays les moins avancés figurant à l'annexe I du règlement (CE) n</w:t>
      </w:r>
      <w:r>
        <w:rPr>
          <w:noProof/>
          <w:vertAlign w:val="superscript"/>
        </w:rPr>
        <w:t>o</w:t>
      </w:r>
      <w:r>
        <w:rPr>
          <w:noProof/>
        </w:rPr>
        <w:t> 980/2005.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5 (adapté)</w:t>
      </w:r>
    </w:p>
    <w:p>
      <w:pPr>
        <w:rPr>
          <w:noProof/>
        </w:rPr>
      </w:pPr>
      <w:r>
        <w:rPr>
          <w:noProof/>
        </w:rPr>
        <w:t xml:space="preserve">4. La Commission adopte des règles détaillées relatives à la gestion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système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établi aux paragraphes 1, 2 et 3 du présent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ainsi qu'aux décisions de suspension conformément à la procédure d'examen visée à l'article 21, paragraphe 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SectionTitle"/>
        <w:rPr>
          <w:noProof/>
        </w:rPr>
      </w:pPr>
      <w:r>
        <w:rPr>
          <w:noProof/>
        </w:rPr>
        <w:t>CHAPITRE IV</w:t>
      </w:r>
    </w:p>
    <w:p>
      <w:pPr>
        <w:pStyle w:val="SectionTitle"/>
        <w:rPr>
          <w:noProof/>
        </w:rPr>
      </w:pPr>
      <w:r>
        <w:rPr>
          <w:noProof/>
        </w:rPr>
        <w:t>DISPOSITIONS GÉNÉRALES DE SAUVEGARDE</w:t>
      </w:r>
    </w:p>
    <w:p>
      <w:pPr>
        <w:pStyle w:val="Titrearticle"/>
        <w:rPr>
          <w:noProof/>
        </w:rPr>
      </w:pPr>
      <w:r>
        <w:rPr>
          <w:noProof/>
        </w:rPr>
        <w:t>Article 11</w:t>
      </w:r>
    </w:p>
    <w:p>
      <w:pPr>
        <w:pStyle w:val="NormalCentered"/>
        <w:rPr>
          <w:b/>
          <w:bCs/>
          <w:noProof/>
        </w:rPr>
      </w:pPr>
      <w:r>
        <w:rPr>
          <w:b/>
          <w:bCs/>
          <w:noProof/>
        </w:rPr>
        <w:t>Définitions</w:t>
      </w:r>
    </w:p>
    <w:p>
      <w:pPr>
        <w:rPr>
          <w:noProof/>
        </w:rPr>
      </w:pPr>
      <w:r>
        <w:rPr>
          <w:noProof/>
        </w:rPr>
        <w:t>Aux fins du présent chapitre, on entend par:</w:t>
      </w:r>
    </w:p>
    <w:p>
      <w:pPr>
        <w:pStyle w:val="Point0"/>
        <w:rPr>
          <w:noProof/>
        </w:rPr>
      </w:pPr>
      <w:r>
        <w:rPr>
          <w:noProof/>
        </w:rPr>
        <w:t>a)</w:t>
      </w:r>
      <w:r>
        <w:rPr>
          <w:noProof/>
        </w:rPr>
        <w:tab/>
        <w:t xml:space="preserve">«industrie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l'ensemble des producteurs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produits similaires ou directement concurrents en activité sur le territoire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les producteurs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dont les productions additionnées de produits similaires ou directement concurrents constituent une proportion majeure de la production totale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ces produits;</w:t>
      </w:r>
    </w:p>
    <w:p>
      <w:pPr>
        <w:pStyle w:val="Point0"/>
        <w:rPr>
          <w:noProof/>
        </w:rPr>
      </w:pPr>
      <w:r>
        <w:rPr>
          <w:noProof/>
        </w:rPr>
        <w:t>b)</w:t>
      </w:r>
      <w:r>
        <w:rPr>
          <w:noProof/>
        </w:rPr>
        <w:tab/>
        <w:t xml:space="preserve">«préjudice grave»: une dégradation générale notable de la situation des producteurs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c)</w:t>
      </w:r>
      <w:r>
        <w:rPr>
          <w:noProof/>
        </w:rPr>
        <w:tab/>
        <w:t>«menace de préjudice grave»: l'imminence évidente d'un préjudice grave;</w:t>
      </w:r>
    </w:p>
    <w:p>
      <w:pPr>
        <w:pStyle w:val="Point0"/>
        <w:rPr>
          <w:noProof/>
        </w:rPr>
      </w:pPr>
      <w:r>
        <w:rPr>
          <w:noProof/>
        </w:rPr>
        <w:t>d)</w:t>
      </w:r>
      <w:r>
        <w:rPr>
          <w:noProof/>
        </w:rPr>
        <w:tab/>
        <w:t>«perturbations»: les désordres intervenant dans un secteur ou une industrie;</w:t>
      </w:r>
    </w:p>
    <w:p>
      <w:pPr>
        <w:pStyle w:val="Point0"/>
        <w:rPr>
          <w:noProof/>
        </w:rPr>
      </w:pPr>
      <w:r>
        <w:rPr>
          <w:noProof/>
        </w:rPr>
        <w:t>e)</w:t>
      </w:r>
      <w:r>
        <w:rPr>
          <w:noProof/>
        </w:rPr>
        <w:tab/>
        <w:t>«menace de perturbations»: l'imminence évidente de perturbations.</w:t>
      </w:r>
    </w:p>
    <w:p>
      <w:pPr>
        <w:pStyle w:val="Titrearticle"/>
        <w:rPr>
          <w:noProof/>
        </w:rPr>
      </w:pPr>
      <w:r>
        <w:rPr>
          <w:noProof/>
        </w:rPr>
        <w:t>Article 12</w:t>
      </w:r>
    </w:p>
    <w:p>
      <w:pPr>
        <w:pStyle w:val="NormalCentered"/>
        <w:keepNext/>
        <w:rPr>
          <w:b/>
          <w:bCs/>
          <w:noProof/>
        </w:rPr>
      </w:pPr>
      <w:r>
        <w:rPr>
          <w:b/>
          <w:bCs/>
          <w:noProof/>
        </w:rPr>
        <w:t>Principes</w:t>
      </w:r>
    </w:p>
    <w:p>
      <w:pPr>
        <w:rPr>
          <w:noProof/>
        </w:rPr>
      </w:pPr>
      <w:r>
        <w:rPr>
          <w:noProof/>
        </w:rPr>
        <w:t xml:space="preserve">1. Une mesure de sauvegarde peut être imposée conformément aux dispositions du présent chapitre si des produits originaires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régions ou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États </w:t>
      </w:r>
      <w:r>
        <w:rPr>
          <w:noProof/>
        </w:rPr>
        <w:lastRenderedPageBreak/>
        <w:t xml:space="preserve">énumérés à l'annexe I sont importés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quantités tellement accrues ou dans des conditions telles qu'ils causent ou menacent de causer:</w:t>
      </w:r>
    </w:p>
    <w:p>
      <w:pPr>
        <w:pStyle w:val="Point0"/>
        <w:rPr>
          <w:noProof/>
        </w:rPr>
      </w:pPr>
      <w:r>
        <w:rPr>
          <w:noProof/>
        </w:rPr>
        <w:t>a)</w:t>
      </w:r>
      <w:r>
        <w:rPr>
          <w:noProof/>
        </w:rPr>
        <w:tab/>
        <w:t xml:space="preserve">un préjudice grave à l'industrie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b)</w:t>
      </w:r>
      <w:r>
        <w:rPr>
          <w:noProof/>
        </w:rPr>
        <w:tab/>
        <w:t xml:space="preserve">des perturbations dans un secteur de l'économie, notamment si ces perturbations provoquent des difficultés ou des problèmes sociaux majeurs susceptibles d'entraîner une détérioration grave de la situation économique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ou</w:t>
      </w:r>
    </w:p>
    <w:p>
      <w:pPr>
        <w:pStyle w:val="Point0"/>
        <w:rPr>
          <w:noProof/>
        </w:rPr>
      </w:pPr>
      <w:r>
        <w:rPr>
          <w:noProof/>
        </w:rPr>
        <w:t>c)</w:t>
      </w:r>
      <w:r>
        <w:rPr>
          <w:noProof/>
        </w:rPr>
        <w:tab/>
        <w:t>des perturbations dans les marchés de produits agricoles couverts par l'annexe I de l'accord de l'OMC sur l'agriculture ou dans les mécanismes régulant ces marchés.</w:t>
      </w:r>
    </w:p>
    <w:p>
      <w:pPr>
        <w:rPr>
          <w:noProof/>
        </w:rPr>
      </w:pPr>
      <w:r>
        <w:rPr>
          <w:noProof/>
        </w:rPr>
        <w:t xml:space="preserve">2. Une mesure de sauvegarde peut être imposée conformément aux dispositions du présent chapitre si des produits originaires des régions ou États énumérés à l'annexe I sont importés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quantités tellement accrues ou dans des conditions telles qu'ils causent ou menacent de causer des perturbations dans la situation économique d'une ou de plusieurs régions ultrapériphériques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13</w:t>
      </w:r>
    </w:p>
    <w:p>
      <w:pPr>
        <w:pStyle w:val="NormalCentered"/>
        <w:rPr>
          <w:b/>
          <w:bCs/>
          <w:noProof/>
        </w:rPr>
      </w:pPr>
      <w:r>
        <w:rPr>
          <w:b/>
          <w:bCs/>
          <w:noProof/>
        </w:rPr>
        <w:t>Détermination des conditions devant être réunies pour instituer des mesures de sauvegarde</w:t>
      </w:r>
    </w:p>
    <w:p>
      <w:pPr>
        <w:rPr>
          <w:noProof/>
        </w:rPr>
      </w:pPr>
      <w:r>
        <w:rPr>
          <w:noProof/>
        </w:rPr>
        <w:t>1. La détermination d'un préjudice grave ou d'une menace de préjudice grave couvre, entre autres, les facteurs suivants:</w:t>
      </w:r>
    </w:p>
    <w:p>
      <w:pPr>
        <w:pStyle w:val="Point0"/>
        <w:rPr>
          <w:noProof/>
        </w:rPr>
      </w:pPr>
      <w:r>
        <w:rPr>
          <w:noProof/>
        </w:rPr>
        <w:t>a)</w:t>
      </w:r>
      <w:r>
        <w:rPr>
          <w:noProof/>
        </w:rPr>
        <w:tab/>
        <w:t xml:space="preserve">le volume des importations, notamment lorsque celui-ci s'est accru de manière significative, soit en chiffres absolus, soit par rapport à la production ou à la consommation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b)</w:t>
      </w:r>
      <w:r>
        <w:rPr>
          <w:noProof/>
        </w:rPr>
        <w:tab/>
        <w:t xml:space="preserve">le prix des importations, notamment lorsqu'il y a eu sous-cotation significative du prix par rapport au prix d'un produit similaire dans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c)</w:t>
      </w:r>
      <w:r>
        <w:rPr>
          <w:noProof/>
        </w:rPr>
        <w:tab/>
        <w:t xml:space="preserve">l'impact qui en résulte pour les producteurs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ainsi qu'il ressort des tendances de certains facteurs économiques tels que: production, utilisation des capacités, stocks, ventes, part de marché, prix (c'est-à-dire dépression des prix ou empêchement de hausses de prix qui seraient intervenues normalement), bénéfices, rentabilité des capitaux, flux de liquidités et emploi;</w:t>
      </w:r>
    </w:p>
    <w:p>
      <w:pPr>
        <w:pStyle w:val="Point0"/>
        <w:rPr>
          <w:noProof/>
        </w:rPr>
      </w:pPr>
      <w:r>
        <w:rPr>
          <w:noProof/>
        </w:rPr>
        <w:t>d)</w:t>
      </w:r>
      <w:r>
        <w:rPr>
          <w:noProof/>
        </w:rPr>
        <w:tab/>
        <w:t xml:space="preserve">les facteurs autres que l'évolution des importations, qui causent ou sont susceptibles d'avoir causé un préjudice aux producteurs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concernés.</w:t>
      </w:r>
    </w:p>
    <w:p>
      <w:pPr>
        <w:rPr>
          <w:noProof/>
        </w:rPr>
      </w:pPr>
      <w:r>
        <w:rPr>
          <w:noProof/>
        </w:rPr>
        <w:t xml:space="preserve">2. La détermination des perturbations ou d'une menace de perturbations repose sur des facteurs objectifs, y compris 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éléments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suivants:</w:t>
      </w:r>
    </w:p>
    <w:p>
      <w:pPr>
        <w:pStyle w:val="Point0"/>
        <w:rPr>
          <w:noProof/>
        </w:rPr>
      </w:pPr>
      <w:r>
        <w:rPr>
          <w:noProof/>
        </w:rPr>
        <w:t>a)</w:t>
      </w:r>
      <w:r>
        <w:rPr>
          <w:noProof/>
        </w:rPr>
        <w:tab/>
        <w:t xml:space="preserve">l'augmentation du volume des importations en termes absolus ou par rapport à la production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aux importations provenant d'autres sources, et</w:t>
      </w:r>
    </w:p>
    <w:p>
      <w:pPr>
        <w:pStyle w:val="Point0"/>
        <w:rPr>
          <w:noProof/>
        </w:rPr>
      </w:pPr>
      <w:r>
        <w:rPr>
          <w:noProof/>
        </w:rPr>
        <w:t>b)</w:t>
      </w:r>
      <w:r>
        <w:rPr>
          <w:noProof/>
        </w:rPr>
        <w:tab/>
        <w:t>l'effet de ces importations sur les prix, ou</w:t>
      </w:r>
    </w:p>
    <w:p>
      <w:pPr>
        <w:pStyle w:val="Point0"/>
        <w:rPr>
          <w:noProof/>
        </w:rPr>
      </w:pPr>
      <w:r>
        <w:rPr>
          <w:noProof/>
        </w:rPr>
        <w:lastRenderedPageBreak/>
        <w:t>c)</w:t>
      </w:r>
      <w:r>
        <w:rPr>
          <w:noProof/>
        </w:rPr>
        <w:tab/>
        <w:t xml:space="preserve">l'effet de ces importations sur la situation de l'industrie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du secteur économique concerné, y compris, entre autres, sur le niveau des ventes, la production, la situation financière et l'emploi.</w:t>
      </w:r>
    </w:p>
    <w:p>
      <w:pPr>
        <w:rPr>
          <w:noProof/>
        </w:rPr>
      </w:pPr>
      <w:r>
        <w:rPr>
          <w:noProof/>
        </w:rPr>
        <w:t>3. Pour déterminer si les importations sont effectuées dans des conditions telles qu'elles causent ou menacent de causer des perturbations sur les marchés des produits agricoles ou dans les mécanismes régulant ces marchés, y compris les règlements créant les organisations communes de marché, il convient de tenir compte de tous les facteurs objectifs pertinents, parmi lesquels figurent un ou plusieurs des éléments suivants:</w:t>
      </w:r>
    </w:p>
    <w:p>
      <w:pPr>
        <w:pStyle w:val="Point0"/>
        <w:rPr>
          <w:noProof/>
        </w:rPr>
      </w:pPr>
      <w:r>
        <w:rPr>
          <w:noProof/>
        </w:rPr>
        <w:t>a)</w:t>
      </w:r>
      <w:r>
        <w:rPr>
          <w:noProof/>
        </w:rPr>
        <w:tab/>
        <w:t>le volume des importations par rapport aux niveaux des années civiles ou campagnes de commercialisation précédentes, suivant le cas, la production et la consommation internes, les niveaux futurs prévus selon la réforme des organisations communes de marché;</w:t>
      </w:r>
    </w:p>
    <w:p>
      <w:pPr>
        <w:pStyle w:val="Point0"/>
        <w:rPr>
          <w:noProof/>
        </w:rPr>
      </w:pPr>
      <w:r>
        <w:rPr>
          <w:noProof/>
        </w:rPr>
        <w:t>b)</w:t>
      </w:r>
      <w:r>
        <w:rPr>
          <w:noProof/>
        </w:rPr>
        <w:tab/>
        <w:t>le niveau des prix internes par rapport aux prix de référence ou indicatifs, s'ils existent, et sinon par rapport aux prix moyens du marché interne pendant la même période des campagnes de commercialisation précédentes;</w:t>
      </w:r>
    </w:p>
    <w:p>
      <w:pPr>
        <w:pStyle w:val="Point0"/>
        <w:rPr>
          <w:noProof/>
        </w:rPr>
      </w:pPr>
      <w:r>
        <w:rPr>
          <w:noProof/>
        </w:rPr>
        <w:t>c)</w:t>
      </w:r>
      <w:r>
        <w:rPr>
          <w:noProof/>
        </w:rPr>
        <w:tab/>
        <w:t>à compter du 1</w:t>
      </w:r>
      <w:r>
        <w:rPr>
          <w:noProof/>
          <w:vertAlign w:val="superscript"/>
        </w:rPr>
        <w:t>er</w:t>
      </w:r>
      <w:r>
        <w:rPr>
          <w:noProof/>
        </w:rPr>
        <w:t xml:space="preserve"> octobre 2015, dans les marchés de produits relevant de la position tarifaire 1701, les situations dans lesquelles le prix moyen du sucre blanc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inférieur, pendant deux mois consécutifs, à 80 % du prix moyen du sucre blanc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constaté durant la campagne de commercialisation précédente.</w:t>
      </w:r>
    </w:p>
    <w:p>
      <w:pPr>
        <w:rPr>
          <w:noProof/>
        </w:rPr>
      </w:pPr>
      <w:r>
        <w:rPr>
          <w:noProof/>
        </w:rPr>
        <w:t xml:space="preserve">4. Pour déterminer si les conditions visées aux paragraphes 1, 2 et 3 sont réunies dans le cas des régions ultrapériphériques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les analyses seront limitées au territoire de la ou des régions ultrapériphériques concernées. Une attention particulière sera accordée à la taille de l'industrie locale, à sa situation financière et à la situation de l'emploi.</w:t>
      </w:r>
    </w:p>
    <w:p>
      <w:pPr>
        <w:pStyle w:val="Titrearticle"/>
        <w:rPr>
          <w:noProof/>
        </w:rPr>
      </w:pPr>
      <w:r>
        <w:rPr>
          <w:noProof/>
        </w:rPr>
        <w:t>Article 14</w:t>
      </w:r>
    </w:p>
    <w:p>
      <w:pPr>
        <w:pStyle w:val="NormalCentered"/>
        <w:rPr>
          <w:b/>
          <w:bCs/>
          <w:noProof/>
        </w:rPr>
      </w:pPr>
      <w:r>
        <w:rPr>
          <w:b/>
          <w:bCs/>
          <w:noProof/>
        </w:rPr>
        <w:t>Ouverture de la procédure</w:t>
      </w:r>
    </w:p>
    <w:p>
      <w:pPr>
        <w:rPr>
          <w:noProof/>
        </w:rPr>
      </w:pPr>
      <w:r>
        <w:rPr>
          <w:noProof/>
        </w:rPr>
        <w:t>1. Une enquête est ouverte à la demande d'un État membre ou à l'initiative de la Commission s'il existe, pour la Commission, des éléments de preuve suffisants pour justifier l'ouverture d'une enquête.</w:t>
      </w:r>
    </w:p>
    <w:p>
      <w:pPr>
        <w:rPr>
          <w:noProof/>
        </w:rPr>
      </w:pPr>
      <w:r>
        <w:rPr>
          <w:noProof/>
        </w:rPr>
        <w:t>2. Lorsque l'évolution des importations en provenance d'une des régions ou d'un État énumérés à l'annexe I pourrait rendre nécessaire le recours à des mesures de sauvegarde, les États membres en informent la Commission. Cette information doit comprendre les éléments de preuve disponibles, déterminés sur la base des critères définis à l'article 13. La Commission transmet cette information à l'ensemble des États membres dans un délai de trois jours ouvrables.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6</w:t>
      </w:r>
    </w:p>
    <w:p>
      <w:pPr>
        <w:rPr>
          <w:noProof/>
        </w:rPr>
      </w:pPr>
      <w:r>
        <w:rPr>
          <w:noProof/>
        </w:rPr>
        <w:t xml:space="preserve">3. Lorsqu'il apparaît qu'il existe des éléments de preuve suffisants pour justifier l'ouverture d'une procédure, la Commission publie un avis au </w:t>
      </w:r>
      <w:r>
        <w:rPr>
          <w:i/>
          <w:iCs/>
          <w:noProof/>
        </w:rPr>
        <w:t>Journal officiel de l'Union européenne</w:t>
      </w:r>
      <w:r>
        <w:rPr>
          <w:noProof/>
        </w:rPr>
        <w:t>. L'ouverture de la procédure intervient dans un délai d'un mois après la date de réception de l'information émanant d'un État membre.</w:t>
      </w:r>
    </w:p>
    <w:p>
      <w:pPr>
        <w:rPr>
          <w:noProof/>
        </w:rPr>
      </w:pPr>
      <w:r>
        <w:rPr>
          <w:noProof/>
        </w:rPr>
        <w:lastRenderedPageBreak/>
        <w:t>La Commission fournit aux États membres des informations concernant son examen de l'information normalement dans les 21 jours suivant la date à laquelle l'information lui a été fournie.</w:t>
      </w:r>
    </w:p>
    <w:p>
      <w:pPr>
        <w:keepLines/>
        <w:rPr>
          <w:noProof/>
        </w:rPr>
      </w:pPr>
      <w:r>
        <w:rPr>
          <w:noProof/>
        </w:rPr>
        <w:t>4. Si la Commission estime que les situations exposées à l'article 12 existent, elle notifie immédiatement à la région ou aux États énumérés à l'annexe I son intention d'ouvrir une enquête. Cette notification peut être accompagnée d'une invitation à procéder à des consultations afin de clarifier la situation et d'arriver à une solution mutuellement satisfaisante.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w:t>
      </w:r>
    </w:p>
    <w:p>
      <w:pPr>
        <w:pStyle w:val="Titrearticle"/>
        <w:rPr>
          <w:noProof/>
        </w:rPr>
      </w:pPr>
      <w:r>
        <w:rPr>
          <w:noProof/>
        </w:rPr>
        <w:t>Article 15</w:t>
      </w:r>
    </w:p>
    <w:p>
      <w:pPr>
        <w:pStyle w:val="NormalCentered"/>
        <w:rPr>
          <w:b/>
          <w:bCs/>
          <w:noProof/>
        </w:rPr>
      </w:pPr>
      <w:r>
        <w:rPr>
          <w:b/>
          <w:bCs/>
          <w:noProof/>
        </w:rPr>
        <w:t>Enquête</w:t>
      </w:r>
    </w:p>
    <w:p>
      <w:pPr>
        <w:rPr>
          <w:noProof/>
        </w:rPr>
      </w:pPr>
      <w:r>
        <w:rPr>
          <w:noProof/>
        </w:rPr>
        <w:t>1. La Commission commence une enquête à la suite de l'ouverture de la procédure.</w:t>
      </w:r>
    </w:p>
    <w:p>
      <w:pPr>
        <w:rPr>
          <w:noProof/>
        </w:rPr>
      </w:pPr>
      <w:r>
        <w:rPr>
          <w:noProof/>
        </w:rPr>
        <w:t>2. La Commission peut demander aux États membres de lui fournir des renseignements, auquel cas les États membres prennent toutes dispositions nécessaires pour donner suite à cette demande. Lorsque ces renseignements présentent un intérêt général ou lorsque leur transmission a été demandée par un État membre, la Commission les transmet aux États membres, à condition qu'ils n'aient pas un caractère confidentiel, et si c'est le cas, la Commission en transmet un résumé non confidentiel.</w:t>
      </w:r>
    </w:p>
    <w:p>
      <w:pPr>
        <w:rPr>
          <w:noProof/>
        </w:rPr>
      </w:pPr>
      <w:r>
        <w:rPr>
          <w:noProof/>
        </w:rPr>
        <w:t>3. Si une enquête est limitée à une région ultrapériphérique, la Commission peut demander aux autorités locales compétentes de fournir les renseignements visés au paragraphe 2 par l'intermédiaire de l'État membre concerné.</w:t>
      </w:r>
    </w:p>
    <w:p>
      <w:pPr>
        <w:rPr>
          <w:noProof/>
        </w:rPr>
      </w:pPr>
      <w:r>
        <w:rPr>
          <w:noProof/>
        </w:rPr>
        <w:t>4. Dans la mesure du possible, l'enquête est conclue dans les six mois suivant son ouverture. Dans des circonstances exceptionnelles, ce délai peut être prolongé de trois mois.</w:t>
      </w:r>
    </w:p>
    <w:p>
      <w:pPr>
        <w:pStyle w:val="Titrearticle"/>
        <w:rPr>
          <w:noProof/>
        </w:rPr>
      </w:pPr>
      <w:r>
        <w:rPr>
          <w:noProof/>
        </w:rPr>
        <w:t>Article 16</w:t>
      </w:r>
    </w:p>
    <w:p>
      <w:pPr>
        <w:pStyle w:val="NormalCentered"/>
        <w:rPr>
          <w:b/>
          <w:bCs/>
          <w:noProof/>
        </w:rPr>
      </w:pPr>
      <w:r>
        <w:rPr>
          <w:b/>
          <w:bCs/>
          <w:noProof/>
        </w:rPr>
        <w:t>Institution de mesures de sauvegarde provisoires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7</w:t>
      </w:r>
    </w:p>
    <w:p>
      <w:pPr>
        <w:rPr>
          <w:noProof/>
        </w:rPr>
      </w:pPr>
      <w:r>
        <w:rPr>
          <w:noProof/>
        </w:rPr>
        <w:t>1. Des mesures de sauvegarde provisoires sont appliquées dans des circonstances critiques de nature à causer un préjudice difficilement réparable en l'absence de telles mesures et ce, après la détermination préalable que, selon le cas, les situations exposées à l'article 12 existent. Les mesures provisoires sont adoptées conformément à la procédure consultative visée à l'article 21, paragraphe 4, ou, en cas d'urgence, conformément à l'article 21, paragraphe 6.</w:t>
      </w:r>
    </w:p>
    <w:p>
      <w:pPr>
        <w:rPr>
          <w:noProof/>
        </w:rPr>
      </w:pPr>
      <w:r>
        <w:rPr>
          <w:noProof/>
        </w:rPr>
        <w:t>2. Au vu de la situation particulière des régions ultrapériphériques et de leur vulnérabilité face à toute hausse soudaine des importations, des mesures de sauvegarde provisoires sont appliquées dans les procédures les concernant, si une détermination préalable a montré que les importations avaient augmenté. Les mesures provisoires sont adoptées conformément à la procédure consultative visée à l'article 21, paragraphe 4, ou, en cas d'urgence, conformément à l'article 21, paragraphe 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w:t>
      </w:r>
    </w:p>
    <w:p>
      <w:pPr>
        <w:rPr>
          <w:noProof/>
        </w:rPr>
      </w:pPr>
      <w:r>
        <w:rPr>
          <w:noProof/>
        </w:rPr>
        <w:t>3. Lorsque l'action immédiate de la Commission est demandée par un État membre et que les conditions visées au paragraphe 1 ou 2 sont réunies, la Commission prend une décision dans un délai de cinq jours ouvrables à compter de la réception de la demande.</w:t>
      </w:r>
    </w:p>
    <w:p>
      <w:pPr>
        <w:rPr>
          <w:noProof/>
        </w:rPr>
      </w:pPr>
      <w:r>
        <w:rPr>
          <w:noProof/>
        </w:rPr>
        <w:t>4. Les mesures provisoires peuvent consister en une augmentation du droit de douane imposé sur le produit concerné jusqu'à un niveau n'excédant pas celui appliqué aux autres membres de l'OMC ou aux contingents tarifaires.</w:t>
      </w:r>
    </w:p>
    <w:p>
      <w:pPr>
        <w:rPr>
          <w:noProof/>
        </w:rPr>
      </w:pPr>
      <w:r>
        <w:rPr>
          <w:noProof/>
        </w:rPr>
        <w:t>5. Les mesures provisoires ne peuvent être appliquées plus de 180 jours. Si les mesures provisoires sont limitées à des régions ultrapériphériques, elles ne peuvent être appliquées plus de 200 jours.</w:t>
      </w:r>
    </w:p>
    <w:p>
      <w:pPr>
        <w:rPr>
          <w:noProof/>
        </w:rPr>
      </w:pPr>
      <w:r>
        <w:rPr>
          <w:noProof/>
        </w:rPr>
        <w:t>6. Au cas où les mesures de sauvegarde provisoires viendraient à être supprimées parce que l'enquête montre que les conditions prévues aux articles 12 et 13 ne sont pas réunies, les droits perçus en raison de l'institution de ces mesures provisoires sont automatiquement restitués.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8</w:t>
      </w:r>
    </w:p>
    <w:p>
      <w:pPr>
        <w:pStyle w:val="Titrearticle"/>
        <w:rPr>
          <w:noProof/>
        </w:rPr>
      </w:pPr>
      <w:r>
        <w:rPr>
          <w:noProof/>
        </w:rPr>
        <w:t>Article 17</w:t>
      </w:r>
    </w:p>
    <w:p>
      <w:pPr>
        <w:pStyle w:val="NormalCentered"/>
        <w:rPr>
          <w:b/>
          <w:bCs/>
          <w:noProof/>
        </w:rPr>
      </w:pPr>
      <w:r>
        <w:rPr>
          <w:b/>
          <w:bCs/>
          <w:noProof/>
        </w:rPr>
        <w:t>Clôture de l'enquête et procédure sans institution de mesures</w:t>
      </w:r>
    </w:p>
    <w:p>
      <w:pPr>
        <w:rPr>
          <w:noProof/>
        </w:rPr>
      </w:pPr>
      <w:r>
        <w:rPr>
          <w:noProof/>
        </w:rPr>
        <w:t>Si des mesures de sauvegarde bilatérales sont estimées inutiles, l'enquête et la procédure sont closes conformément à la procédure d'examen visée à l'article 21, paragraphe 5.</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w:t>
      </w:r>
    </w:p>
    <w:p>
      <w:pPr>
        <w:pStyle w:val="Titrearticle"/>
        <w:rPr>
          <w:noProof/>
        </w:rPr>
      </w:pPr>
      <w:r>
        <w:rPr>
          <w:noProof/>
        </w:rPr>
        <w:t>Article 18</w:t>
      </w:r>
    </w:p>
    <w:p>
      <w:pPr>
        <w:pStyle w:val="NormalCentered"/>
        <w:rPr>
          <w:b/>
          <w:bCs/>
          <w:noProof/>
        </w:rPr>
      </w:pPr>
      <w:r>
        <w:rPr>
          <w:b/>
          <w:bCs/>
          <w:noProof/>
        </w:rPr>
        <w:t>Institution de mesures définitives</w:t>
      </w:r>
    </w:p>
    <w:p>
      <w:pPr>
        <w:rPr>
          <w:noProof/>
        </w:rPr>
      </w:pPr>
      <w:r>
        <w:rPr>
          <w:noProof/>
        </w:rPr>
        <w:t>1. Lorsqu'il ressort de la constatation définitive des faits que les situations exposées à l'article 12, selon le cas, existent, la Commission demande l'ouverture de consultations avec la région ou l'État concerné dans le cadre de l'aménagement institutionnel approprié fixé dans les accords correspondants permettant à cette région ou à cet État d'être inclus à l'annexe I, en vue de parvenir à une solution mutuellement acceptable.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9 (adapté)</w:t>
      </w:r>
    </w:p>
    <w:p>
      <w:pPr>
        <w:rPr>
          <w:noProof/>
        </w:rPr>
      </w:pPr>
      <w:r>
        <w:rPr>
          <w:noProof/>
        </w:rPr>
        <w:t xml:space="preserve">2. Lorsque les consultations visées au paragraphe 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permettent pas d'aboutir à une solution mutuellement satisfaisante dans un délai de trente jours suivant la notification de l'affaire à la région ou à l'État concerné, une décision d'instituer des mesures de sauvegarde bilatérales définitives est prise par la Commission, conformément à la procédure d'examen visée à l'article 21, paragraphe 5, dans un délai de vingt jours ouvrables suivant la fin de la période de consultation.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rPr>
          <w:noProof/>
        </w:rPr>
      </w:pPr>
      <w:r>
        <w:rPr>
          <w:noProof/>
        </w:rPr>
        <w:t>3. Les mesures définitives peuvent prendre l'une des formes suivantes:</w:t>
      </w:r>
    </w:p>
    <w:p>
      <w:pPr>
        <w:pStyle w:val="Point0"/>
        <w:rPr>
          <w:noProof/>
        </w:rPr>
      </w:pPr>
      <w:r>
        <w:rPr>
          <w:noProof/>
        </w:rPr>
        <w:t>a)</w:t>
      </w:r>
      <w:r>
        <w:rPr>
          <w:noProof/>
        </w:rPr>
        <w:tab/>
        <w:t>suspension de la réduction supplémentaire du taux du droit à l'importation appliqué au produit originaire de la région ou de l'État concerné;</w:t>
      </w:r>
    </w:p>
    <w:p>
      <w:pPr>
        <w:pStyle w:val="Point0"/>
        <w:rPr>
          <w:noProof/>
        </w:rPr>
      </w:pPr>
      <w:r>
        <w:rPr>
          <w:noProof/>
        </w:rPr>
        <w:t>b)</w:t>
      </w:r>
      <w:r>
        <w:rPr>
          <w:noProof/>
        </w:rPr>
        <w:tab/>
        <w:t>augmentation du droit de douane sur le produit concerné jusqu'à un niveau n'excédant pas celui appliqué aux autres membres de l'OMC;</w:t>
      </w:r>
    </w:p>
    <w:p>
      <w:pPr>
        <w:pStyle w:val="Point0"/>
        <w:rPr>
          <w:noProof/>
        </w:rPr>
      </w:pPr>
      <w:r>
        <w:rPr>
          <w:noProof/>
        </w:rPr>
        <w:t>c)</w:t>
      </w:r>
      <w:r>
        <w:rPr>
          <w:noProof/>
        </w:rPr>
        <w:tab/>
        <w:t>contingent tarifaire.</w:t>
      </w:r>
    </w:p>
    <w:p>
      <w:pPr>
        <w:rPr>
          <w:noProof/>
        </w:rPr>
      </w:pPr>
      <w:r>
        <w:rPr>
          <w:noProof/>
        </w:rPr>
        <w:t>4. Aucune mesure de sauvegarde bilatérale n'est appliquée sur le même produit originaire de la même région ou du même État moins d'un an après l'expiration ou le retrait de mesures précédentes de même nature.</w:t>
      </w:r>
    </w:p>
    <w:p>
      <w:pPr>
        <w:pStyle w:val="Titrearticle"/>
        <w:rPr>
          <w:noProof/>
        </w:rPr>
      </w:pPr>
      <w:r>
        <w:rPr>
          <w:noProof/>
        </w:rPr>
        <w:t>Article 19</w:t>
      </w:r>
    </w:p>
    <w:p>
      <w:pPr>
        <w:pStyle w:val="NormalCentered"/>
        <w:rPr>
          <w:b/>
          <w:bCs/>
          <w:noProof/>
        </w:rPr>
      </w:pPr>
      <w:r>
        <w:rPr>
          <w:b/>
          <w:bCs/>
          <w:noProof/>
        </w:rPr>
        <w:t>Durée et réexamen des mesures de sauvegarde</w:t>
      </w:r>
    </w:p>
    <w:p>
      <w:pPr>
        <w:rPr>
          <w:noProof/>
        </w:rPr>
      </w:pPr>
      <w:r>
        <w:rPr>
          <w:noProof/>
        </w:rPr>
        <w:t xml:space="preserve">1. Une mesure de sauvegarde ne reste en vigueur que durant la période nécessaire pour prévenir ou réparer le préjudice grave ou les perturbations subis. Cette période n'excède pas deux ans, à moins qu'elle ne soit prorogée conformément au paragraphe 2. Si la mesure est limitée à une ou plusieurs des régions ultrapériphériques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la période d'application ne dépasse pas quatre ans.</w:t>
      </w:r>
    </w:p>
    <w:p>
      <w:pPr>
        <w:rPr>
          <w:noProof/>
        </w:rPr>
      </w:pPr>
      <w:r>
        <w:rPr>
          <w:noProof/>
        </w:rPr>
        <w:t xml:space="preserve">2. La durée initiale d'une mesure de sauvegarde peut être prorogée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titre exceptionnel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autant qu'il ait été déterminé que la mesure de sauvegarde continue d'être nécessaire pour prévenir ou réparer un préjudice grave ou des perturbations.</w:t>
      </w:r>
    </w:p>
    <w:p>
      <w:pPr>
        <w:rPr>
          <w:noProof/>
        </w:rPr>
      </w:pPr>
      <w:r>
        <w:rPr>
          <w:noProof/>
        </w:rPr>
        <w:t>3. Les prorogations sont décidées conformément aux procédures du présent règlement applicables aux enquêtes et en recourant aux mêmes procédures que celles utilisées lors de l'institution des mesures initiales.</w:t>
      </w:r>
    </w:p>
    <w:p>
      <w:pPr>
        <w:rPr>
          <w:noProof/>
        </w:rPr>
      </w:pPr>
      <w:r>
        <w:rPr>
          <w:noProof/>
        </w:rPr>
        <w:t>La durée totale d'une mesure de sauvegarde ne peut pas excéder quatre ans, toute mesure provisoire comprise. Dans le cas d'une mesure limitée à des régions ultrapériphériques, cette durée maximale est portée à huit ans.</w:t>
      </w:r>
    </w:p>
    <w:p>
      <w:pPr>
        <w:rPr>
          <w:noProof/>
        </w:rPr>
      </w:pPr>
      <w:r>
        <w:rPr>
          <w:noProof/>
        </w:rPr>
        <w:t>4. Si la durée d'une mesure de sauvegarde dépasse un an, la mesure doit être libéralisée progressivement à intervalles réguliers au cours de sa période d'application, y compris pendant sa prorogation.</w:t>
      </w:r>
    </w:p>
    <w:p>
      <w:pPr>
        <w:rPr>
          <w:noProof/>
        </w:rPr>
      </w:pPr>
      <w:r>
        <w:rPr>
          <w:noProof/>
        </w:rPr>
        <w:t>Des consultations avec la région ou l'État concerné se tiennent périodiquement au sein des organismes institutionnels compétents pour les accords en vue d'établir un calendrier pour leur suppression dès que les circonstances le permettent.</w:t>
      </w:r>
    </w:p>
    <w:p>
      <w:pPr>
        <w:pStyle w:val="Titrearticle"/>
        <w:rPr>
          <w:noProof/>
        </w:rPr>
      </w:pPr>
      <w:r>
        <w:rPr>
          <w:noProof/>
        </w:rPr>
        <w:t>Article 20</w:t>
      </w:r>
    </w:p>
    <w:p>
      <w:pPr>
        <w:pStyle w:val="NormalCentered"/>
        <w:rPr>
          <w:b/>
          <w:bCs/>
          <w:noProof/>
        </w:rPr>
      </w:pPr>
      <w:r>
        <w:rPr>
          <w:b/>
          <w:bCs/>
          <w:noProof/>
        </w:rPr>
        <w:t>Mesures de surveillance</w:t>
      </w:r>
    </w:p>
    <w:p>
      <w:pPr>
        <w:rPr>
          <w:noProof/>
        </w:rPr>
      </w:pPr>
      <w:r>
        <w:rPr>
          <w:noProof/>
        </w:rPr>
        <w:t xml:space="preserve">1. Lorsque l'évolution des importations d'un produit originaire d'un État ACP est telle que celles-ci pourraient causer l'une des situations visées à l'article 12, les importations de ce produit peuvent faire l'objet d'une surveillance préalable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10</w:t>
      </w:r>
    </w:p>
    <w:p>
      <w:pPr>
        <w:rPr>
          <w:noProof/>
        </w:rPr>
      </w:pPr>
      <w:r>
        <w:rPr>
          <w:noProof/>
        </w:rPr>
        <w:t>2. La décision de mise sous surveillance est prise par la Commission conformément à la procédure consultative visée à l'article 21, paragraphe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rPr>
          <w:noProof/>
        </w:rPr>
      </w:pPr>
      <w:r>
        <w:rPr>
          <w:noProof/>
        </w:rPr>
        <w:t>3. Les mesures de surveillance ont une durée limitée. Sauf dispositions contraires, leur validité expire à la fin du deuxième semestre suivant les six premiers mois au cours desquels elles ont été prises.</w:t>
      </w:r>
    </w:p>
    <w:p>
      <w:pPr>
        <w:rPr>
          <w:noProof/>
        </w:rPr>
      </w:pPr>
      <w:r>
        <w:rPr>
          <w:noProof/>
        </w:rPr>
        <w:t xml:space="preserve">4. Le cas échéant, les mesures de surveillance peuvent être limitées au territoire d'une ou de plusieurs régions ultrapériphériques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5. La décision de mise sous surveillance est immédiatement communiquée, pour information, à l'organisme institutionnel compétent établi dans les accords correspondants qui permettent à une région ou un État d'être inclus à l'annexe 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11 (adapté)</w:t>
      </w:r>
    </w:p>
    <w:p>
      <w:pPr>
        <w:pStyle w:val="Titrearticle"/>
        <w:rPr>
          <w:noProof/>
        </w:rPr>
      </w:pPr>
      <w:r>
        <w:rPr>
          <w:noProof/>
        </w:rPr>
        <w:t>Article 21</w:t>
      </w:r>
    </w:p>
    <w:p>
      <w:pPr>
        <w:pStyle w:val="NormalCentered"/>
        <w:rPr>
          <w:b/>
          <w:bCs/>
          <w:noProof/>
        </w:rPr>
      </w:pPr>
      <w:r>
        <w:rPr>
          <w:b/>
          <w:bCs/>
          <w:noProof/>
        </w:rPr>
        <w:t>Comité</w:t>
      </w:r>
    </w:p>
    <w:p>
      <w:pPr>
        <w:rPr>
          <w:noProof/>
        </w:rPr>
      </w:pPr>
      <w:r>
        <w:rPr>
          <w:noProof/>
        </w:rPr>
        <w:t>1. Aux fins des articles 16, 17, 18 et 20, la Commission est assistée par le comité des sauvegardes institué en vertu de l'article 4, paragraphe 1, du règlement (CE) n</w:t>
      </w:r>
      <w:r>
        <w:rPr>
          <w:noProof/>
          <w:vertAlign w:val="superscript"/>
        </w:rPr>
        <w:t>o</w:t>
      </w:r>
      <w:r>
        <w:rPr>
          <w:noProof/>
        </w:rPr>
        <w:t xml:space="preserve"> 260/2009 du Conseil</w:t>
      </w:r>
      <w:r>
        <w:rPr>
          <w:rStyle w:val="FootnoteReference"/>
          <w:noProof/>
        </w:rPr>
        <w:footnoteReference w:id="17"/>
      </w:r>
      <w:r>
        <w:rPr>
          <w:noProof/>
        </w:rPr>
        <w:t>. Ledit comité est un comité au sens du règlement (UE) n</w:t>
      </w:r>
      <w:r>
        <w:rPr>
          <w:noProof/>
          <w:vertAlign w:val="superscript"/>
        </w:rPr>
        <w:t>o</w:t>
      </w:r>
      <w:r>
        <w:rPr>
          <w:noProof/>
        </w:rPr>
        <w:t xml:space="preserve"> 182/2011.</w:t>
      </w:r>
    </w:p>
    <w:p>
      <w:pPr>
        <w:rPr>
          <w:noProof/>
        </w:rPr>
      </w:pPr>
      <w:r>
        <w:rPr>
          <w:noProof/>
        </w:rPr>
        <w:t xml:space="preserve">2. Aux fins des articles 5 et 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ainsi qu'aux fins de l'article 6, paragraphes 11 et 13, et de l'article 36, paragraphe 4, de l'annexe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Commission est assistée par le comité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code des douanes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institué en vertu de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285, paragraphe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règlement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(UE) n° 952/2013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Parlement européen et du Conseil</w:t>
      </w:r>
      <w:r>
        <w:rPr>
          <w:rStyle w:val="FootnoteReference"/>
          <w:noProof/>
        </w:rPr>
        <w:footnoteReference w:id="18"/>
      </w:r>
      <w:r>
        <w:rPr>
          <w:noProof/>
        </w:rPr>
        <w:t>. Ledit comité est un comité au sens du règlement (UE) n</w:t>
      </w:r>
      <w:r>
        <w:rPr>
          <w:noProof/>
          <w:vertAlign w:val="superscript"/>
        </w:rPr>
        <w:t>o</w:t>
      </w:r>
      <w:r>
        <w:rPr>
          <w:noProof/>
        </w:rPr>
        <w:t xml:space="preserve"> 182/2011.</w:t>
      </w:r>
    </w:p>
    <w:p>
      <w:pPr>
        <w:rPr>
          <w:noProof/>
        </w:rPr>
      </w:pPr>
      <w:r>
        <w:rPr>
          <w:noProof/>
        </w:rPr>
        <w:t xml:space="preserve">3. Aux fins des articles 7, 8 et 9, la Commission est assistée par le comité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visé à l'article 229, paragraphe 1, du règlement (UE) n° 1308/2013 du Parlement européen et du Conseil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FootnoteReference"/>
          <w:noProof/>
        </w:rPr>
        <w:footnoteReference w:id="19"/>
      </w:r>
      <w:r>
        <w:rPr>
          <w:noProof/>
        </w:rPr>
        <w:t>. Ledit comité est un comité au sens du règlement (UE) n</w:t>
      </w:r>
      <w:r>
        <w:rPr>
          <w:noProof/>
          <w:vertAlign w:val="superscript"/>
        </w:rPr>
        <w:t>o</w:t>
      </w:r>
      <w:r>
        <w:rPr>
          <w:noProof/>
        </w:rPr>
        <w:t xml:space="preserve"> 182/2011.</w:t>
      </w:r>
    </w:p>
    <w:p>
      <w:pPr>
        <w:rPr>
          <w:noProof/>
        </w:rPr>
      </w:pPr>
      <w:r>
        <w:rPr>
          <w:noProof/>
        </w:rPr>
        <w:lastRenderedPageBreak/>
        <w:t>4. Lorsqu'il est fait référence au présent paragraphe, l'article 4 du règlement (UE) n</w:t>
      </w:r>
      <w:r>
        <w:rPr>
          <w:noProof/>
          <w:vertAlign w:val="superscript"/>
        </w:rPr>
        <w:t>o</w:t>
      </w:r>
      <w:r>
        <w:rPr>
          <w:noProof/>
        </w:rPr>
        <w:t xml:space="preserve"> 182/2011 s'applique.</w:t>
      </w:r>
    </w:p>
    <w:p>
      <w:pPr>
        <w:rPr>
          <w:noProof/>
        </w:rPr>
      </w:pPr>
      <w:r>
        <w:rPr>
          <w:noProof/>
        </w:rPr>
        <w:t>5. Lorsqu'il est fait référence au présent paragraphe, l'article 5 du règlement (UE) n</w:t>
      </w:r>
      <w:r>
        <w:rPr>
          <w:noProof/>
          <w:vertAlign w:val="superscript"/>
        </w:rPr>
        <w:t>o</w:t>
      </w:r>
      <w:r>
        <w:rPr>
          <w:noProof/>
        </w:rPr>
        <w:t xml:space="preserve"> 182/2011 s'applique.</w:t>
      </w:r>
    </w:p>
    <w:p>
      <w:pPr>
        <w:rPr>
          <w:noProof/>
        </w:rPr>
      </w:pPr>
      <w:r>
        <w:rPr>
          <w:noProof/>
        </w:rPr>
        <w:t>6. Lorsqu'il est fait référence au présent paragraphe, l'article 8 du règlement (UE) n</w:t>
      </w:r>
      <w:r>
        <w:rPr>
          <w:noProof/>
          <w:vertAlign w:val="superscript"/>
        </w:rPr>
        <w:t>o </w:t>
      </w:r>
      <w:r>
        <w:rPr>
          <w:noProof/>
        </w:rPr>
        <w:t>182/2011, en liaison avec l'article 4,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Titrearticle"/>
        <w:rPr>
          <w:noProof/>
        </w:rPr>
      </w:pPr>
      <w:r>
        <w:rPr>
          <w:noProof/>
        </w:rPr>
        <w:t>Article 22</w:t>
      </w:r>
    </w:p>
    <w:p>
      <w:pPr>
        <w:pStyle w:val="NormalCentered"/>
        <w:rPr>
          <w:b/>
          <w:bCs/>
          <w:noProof/>
        </w:rPr>
      </w:pPr>
      <w:r>
        <w:rPr>
          <w:b/>
          <w:bCs/>
          <w:noProof/>
        </w:rPr>
        <w:t>Mesures exceptionnelles à application territoriale limitée</w:t>
      </w:r>
    </w:p>
    <w:p>
      <w:pPr>
        <w:rPr>
          <w:noProof/>
        </w:rPr>
      </w:pPr>
      <w:r>
        <w:rPr>
          <w:noProof/>
        </w:rPr>
        <w:t xml:space="preserve">Lorsqu'il apparaît que les conditions prévues pour l'adoption de mesures de sauvegarde bilatérales sont réunies dans un ou plusieurs États membres, la Commission peut, après avoir examiné les solutions alternatives, autoriser à titre exceptionnel </w:t>
      </w:r>
      <w:r>
        <w:rPr>
          <w:rStyle w:val="CRRefonteDeleted"/>
          <w:noProof/>
          <w:highlight w:val="lightGray"/>
          <w:lang w:val="fr-BE" w:eastAsia="fr-FR"/>
        </w:rPr>
        <w:t>et conformément à l'article 134 du traité,</w:t>
      </w:r>
      <w:r>
        <w:rPr>
          <w:noProof/>
        </w:rPr>
        <w:t xml:space="preserve"> l'application de mesures de surveillance ou de sauvegarde limitées à l'État membre ou aux États membres concernés si elle considère que de telles mesures appliquées à ce niveau sont plus appropriées que des mesures applicables à l'ensemble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Ces mesures doivent être strictement limitées dans le temps et perturber le moins possible le fonctionnement du marché intérieur.</w:t>
      </w:r>
    </w:p>
    <w:p>
      <w:pPr>
        <w:pStyle w:val="SectionTitle"/>
        <w:rPr>
          <w:noProof/>
        </w:rPr>
      </w:pPr>
      <w:r>
        <w:rPr>
          <w:noProof/>
        </w:rPr>
        <w:t>CHAPITRE V</w:t>
      </w:r>
    </w:p>
    <w:p>
      <w:pPr>
        <w:pStyle w:val="SectionTitle"/>
        <w:rPr>
          <w:noProof/>
        </w:rPr>
      </w:pPr>
      <w:r>
        <w:rPr>
          <w:noProof/>
        </w:rPr>
        <w:t>DISPOSITIONS DE PROCÉDURE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5 3 (adapté)</w:t>
      </w:r>
    </w:p>
    <w:p>
      <w:pPr>
        <w:pStyle w:val="Titrearticle"/>
        <w:rPr>
          <w:noProof/>
        </w:rPr>
      </w:pPr>
      <w:r>
        <w:rPr>
          <w:noProof/>
        </w:rPr>
        <w:t>Article 23</w:t>
      </w:r>
    </w:p>
    <w:p>
      <w:pPr>
        <w:pStyle w:val="NormalCentered"/>
        <w:rPr>
          <w:b/>
          <w:bCs/>
          <w:noProof/>
        </w:rPr>
      </w:pPr>
      <w:r>
        <w:rPr>
          <w:b/>
          <w:bCs/>
          <w:noProof/>
        </w:rPr>
        <w:t>Adaptation aux évolutions techniques</w:t>
      </w:r>
    </w:p>
    <w:p>
      <w:pPr>
        <w:rPr>
          <w:noProof/>
        </w:rPr>
      </w:pPr>
      <w:r>
        <w:rPr>
          <w:noProof/>
        </w:rPr>
        <w:t>La Commission est habilitée à adopter des actes délégués en conformité avec l'article 24 en ce qui concerne les modifications techniques de l'article 6 et des articles 9 à 22 pouvant s'avérer nécessaires en raison des différences entre le présent règlement et les accords signés avec application provisoire ou conclus conformément à l'article 218 du TFUE avec les régions ou États énumérés à l'annexe I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5 4 (adapté)</w:t>
      </w:r>
    </w:p>
    <w:p>
      <w:pPr>
        <w:pStyle w:val="CRReference"/>
        <w:rPr>
          <w:noProof/>
        </w:rPr>
      </w:pPr>
      <w:r>
        <w:rPr>
          <w:noProof/>
          <w:highlight w:val="lightGray"/>
          <w:lang w:val="fr-BE"/>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lang w:val="fr-BE"/>
        </w:rPr>
        <w:fldChar w:fldCharType="separate"/>
      </w:r>
      <w:r>
        <w:rPr>
          <w:rStyle w:val="CRMarker"/>
          <w:noProof/>
          <w:highlight w:val="lightGray"/>
          <w:lang w:val="fr-BE"/>
        </w:rPr>
        <w:t>ð</w:t>
      </w:r>
      <w:r>
        <w:rPr>
          <w:noProof/>
          <w:highlight w:val="lightGray"/>
          <w:lang w:val="fr-BE"/>
        </w:rPr>
        <w:fldChar w:fldCharType="end"/>
      </w:r>
      <w:r>
        <w:rPr>
          <w:noProof/>
          <w:highlight w:val="lightGray"/>
          <w:lang w:val="fr-BE"/>
        </w:rPr>
        <w:t> nouveau</w:t>
      </w:r>
    </w:p>
    <w:p>
      <w:pPr>
        <w:pStyle w:val="Titrearticle"/>
        <w:rPr>
          <w:noProof/>
        </w:rPr>
      </w:pPr>
      <w:r>
        <w:rPr>
          <w:noProof/>
        </w:rPr>
        <w:t>Article 24</w:t>
      </w:r>
    </w:p>
    <w:p>
      <w:pPr>
        <w:pStyle w:val="NormalCentered"/>
        <w:rPr>
          <w:b/>
          <w:bCs/>
          <w:noProof/>
        </w:rPr>
      </w:pPr>
      <w:r>
        <w:rPr>
          <w:b/>
          <w:bCs/>
          <w:noProof/>
        </w:rPr>
        <w:t>Exercice de la délégation</w:t>
      </w:r>
    </w:p>
    <w:p>
      <w:pPr>
        <w:rPr>
          <w:noProof/>
        </w:rPr>
      </w:pPr>
      <w:r>
        <w:rPr>
          <w:noProof/>
        </w:rPr>
        <w:t>1. Le pouvoir d'adopter des actes délégués conféré à la Commission est soumis aux conditions fixées au présent article.</w:t>
      </w:r>
    </w:p>
    <w:p>
      <w:pPr>
        <w:rPr>
          <w:noProof/>
        </w:rPr>
      </w:pPr>
      <w:r>
        <w:rPr>
          <w:noProof/>
        </w:rPr>
        <w:t xml:space="preserve">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pouvoir d'adopter des actes délégués visé à l'article 3 est conféré à la Commission pour une période de cinq ans à compter du 21 juin 2013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pouvoir d'adopter des actes délégués visé à l'article 2, paragraphes 2 et 3,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à l'article 4, paragraphe 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l'article 5, paragraphe 3, et à l'article 23 est conféré à la Commission pour une période de cinq ans à compter du 20 février 2014.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2, paragraphes 2 et 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à l'article 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à l'article 4, paragraphe 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l'article 5, paragraphe 3, et à l'article 23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Aussitôt qu'elle adopte un acte délégué, la Commission le notifie au Parlement européen et au Conseil simultanément.</w:t>
      </w:r>
    </w:p>
    <w:p>
      <w:pPr>
        <w:rPr>
          <w:noProof/>
        </w:rPr>
      </w:pPr>
      <w:r>
        <w:rPr>
          <w:noProof/>
        </w:rPr>
        <w:t xml:space="preserve">5. Un acte délégué adopté en vertu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 l'article 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l'article 4, paragraphe 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 l'article 5, paragraphe 3, et de l'article 23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deux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mois à l'initiative du Parlement européen ou du Conseil.</w:t>
      </w:r>
    </w:p>
    <w:p>
      <w:pPr>
        <w:rPr>
          <w:noProof/>
        </w:rPr>
      </w:pPr>
      <w:r>
        <w:rPr>
          <w:noProof/>
        </w:rPr>
        <w:t>6. Un acte délégué adopté en vertu de l'article 2, paragraphes 2 et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quatre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37/2014 art. 1 et annexe, pt. 14 13</w:t>
      </w:r>
    </w:p>
    <w:p>
      <w:pPr>
        <w:pStyle w:val="Titrearticle"/>
        <w:rPr>
          <w:noProof/>
        </w:rPr>
      </w:pPr>
      <w:r>
        <w:rPr>
          <w:noProof/>
        </w:rPr>
        <w:t>Article 25</w:t>
      </w:r>
    </w:p>
    <w:p>
      <w:pPr>
        <w:pStyle w:val="NormalCentered"/>
        <w:rPr>
          <w:b/>
          <w:bCs/>
          <w:noProof/>
        </w:rPr>
      </w:pPr>
      <w:r>
        <w:rPr>
          <w:b/>
          <w:bCs/>
          <w:noProof/>
        </w:rPr>
        <w:t>Rapport</w:t>
      </w:r>
    </w:p>
    <w:p>
      <w:pPr>
        <w:rPr>
          <w:noProof/>
        </w:rPr>
      </w:pPr>
      <w:r>
        <w:rPr>
          <w:noProof/>
        </w:rPr>
        <w:t xml:space="preserve">La Commission inclut des informations sur la mise en œuvre du présent règlement dans son rapport annuel sur l'application et la mise en œuvre des mesures de défense commerciale présenté au Parlement européen et au Conseil en application de l'article 22 </w:t>
      </w:r>
      <w:r>
        <w:rPr>
          <w:i/>
          <w:iCs/>
          <w:noProof/>
        </w:rPr>
        <w:t>bis</w:t>
      </w:r>
      <w:r>
        <w:rPr>
          <w:noProof/>
        </w:rPr>
        <w:t xml:space="preserve"> du règlement (CE) n</w:t>
      </w:r>
      <w:r>
        <w:rPr>
          <w:noProof/>
          <w:vertAlign w:val="superscript"/>
        </w:rPr>
        <w:t>o</w:t>
      </w:r>
      <w:r>
        <w:rPr>
          <w:noProof/>
        </w:rPr>
        <w:t xml:space="preserve"> 1225/2009 du Conseil</w:t>
      </w:r>
      <w:r>
        <w:rPr>
          <w:rStyle w:val="FootnoteReference"/>
          <w:noProof/>
        </w:rPr>
        <w:footnoteReference w:id="20"/>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1528/2007 (adapté)</w:t>
      </w:r>
    </w:p>
    <w:p>
      <w:pPr>
        <w:pStyle w:val="SectionTitle"/>
        <w:rPr>
          <w:noProof/>
        </w:rPr>
      </w:pPr>
      <w:r>
        <w:rPr>
          <w:noProof/>
        </w:rPr>
        <w:t>CHAPITRE VI</w:t>
      </w:r>
    </w:p>
    <w:p>
      <w:pPr>
        <w:pStyle w:val="SectionTitle"/>
        <w:rPr>
          <w:noProof/>
        </w:rPr>
      </w:pPr>
      <w:r>
        <w:rPr>
          <w:noProof/>
        </w:rPr>
        <w:t>DISPOSITIONS FINALES</w:t>
      </w:r>
    </w:p>
    <w:p>
      <w:pPr>
        <w:pStyle w:val="Titrearticle"/>
        <w:rPr>
          <w:noProof/>
        </w:rPr>
      </w:pPr>
      <w:r>
        <w:rPr>
          <w:noProof/>
        </w:rPr>
        <w:t>Article 26</w:t>
      </w:r>
    </w:p>
    <w:p>
      <w:pPr>
        <w:pStyle w:val="NormalCentered"/>
        <w:rPr>
          <w:b/>
          <w:bCs/>
          <w:noProof/>
        </w:rPr>
      </w:pPr>
      <w:r>
        <w:rPr>
          <w:b/>
          <w:bCs/>
          <w:noProof/>
        </w:rPr>
        <w:t>Abrogation</w:t>
      </w:r>
    </w:p>
    <w:p>
      <w:pPr>
        <w:rPr>
          <w:noProof/>
        </w:rPr>
      </w:pPr>
      <w:r>
        <w:rPr>
          <w:noProof/>
        </w:rPr>
        <w:t>Le règlement (CE) n</w:t>
      </w:r>
      <w:r>
        <w:rPr>
          <w:noProof/>
          <w:vertAlign w:val="superscript"/>
        </w:rPr>
        <w: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1528/2007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abrogé.</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w:t>
      </w:r>
    </w:p>
    <w:p>
      <w:pPr>
        <w:rPr>
          <w:noProof/>
        </w:rPr>
      </w:pPr>
      <w:r>
        <w:rPr>
          <w:noProof/>
        </w:rPr>
        <w:t>Les références au règlement abrogé s'entendent comme faites au présent règlement et sont à lire selon le tableau de correspondance figurant à l'annexe IV.</w:t>
      </w:r>
    </w:p>
    <w:p>
      <w:pPr>
        <w:pStyle w:val="CRSeparator"/>
        <w:rPr>
          <w:noProof/>
          <w:lang w:val="fr-BE"/>
        </w:rPr>
      </w:pPr>
    </w:p>
    <w:p>
      <w:pPr>
        <w:pStyle w:val="CRReference"/>
        <w:rPr>
          <w:noProof/>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1528/2007 (adapté)</w:t>
      </w:r>
    </w:p>
    <w:p>
      <w:pPr>
        <w:pStyle w:val="Titrearticle"/>
        <w:rPr>
          <w:noProof/>
        </w:rPr>
      </w:pPr>
      <w:r>
        <w:rPr>
          <w:noProof/>
        </w:rPr>
        <w:t>Article 27</w:t>
      </w:r>
    </w:p>
    <w:p>
      <w:pPr>
        <w:pStyle w:val="NormalCentered"/>
        <w:rPr>
          <w:b/>
          <w:bCs/>
          <w:noProof/>
        </w:rPr>
      </w:pPr>
      <w:r>
        <w:rPr>
          <w:b/>
          <w:bCs/>
          <w:noProof/>
        </w:rPr>
        <w:t>Entrée en vigueur</w:t>
      </w:r>
    </w:p>
    <w:p>
      <w:pPr>
        <w:rPr>
          <w:noProof/>
        </w:rPr>
      </w:pPr>
      <w:r>
        <w:rPr>
          <w:noProof/>
        </w:rPr>
        <w:t xml:space="preserve">Le présent règlement entre en vigueur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vingtième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jour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suivant celui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keepNext/>
        <w:spacing w:after="0"/>
        <w:rPr>
          <w:noProof/>
          <w:szCs w:val="20"/>
          <w:lang w:val="fr-BE"/>
        </w:rPr>
      </w:pPr>
      <w:r>
        <w:rPr>
          <w:noProof/>
          <w:szCs w:val="20"/>
          <w:lang w:val="fr-BE"/>
        </w:rPr>
        <w:lastRenderedPageBreak/>
        <w:t>Fait à […], le</w:t>
      </w:r>
    </w:p>
    <w:p>
      <w:pPr>
        <w:keepNext/>
        <w:tabs>
          <w:tab w:val="left" w:pos="4252"/>
        </w:tabs>
        <w:spacing w:before="720" w:after="0"/>
        <w:rPr>
          <w:i/>
          <w:noProof/>
          <w:lang w:val="fr-BE" w:eastAsia="de-DE"/>
        </w:rPr>
      </w:pPr>
      <w:r>
        <w:rPr>
          <w:i/>
          <w:noProof/>
          <w:lang w:val="fr-BE" w:eastAsia="de-DE"/>
        </w:rPr>
        <w:t>Par le Parlement européen</w:t>
      </w:r>
      <w:r>
        <w:rPr>
          <w:i/>
          <w:noProof/>
          <w:lang w:val="fr-BE" w:eastAsia="de-DE"/>
        </w:rPr>
        <w:tab/>
        <w:t>Par le Conseil</w:t>
      </w:r>
    </w:p>
    <w:p>
      <w:pPr>
        <w:tabs>
          <w:tab w:val="left" w:pos="4252"/>
        </w:tabs>
        <w:spacing w:before="0" w:after="0"/>
        <w:jc w:val="left"/>
        <w:rPr>
          <w:noProof/>
        </w:rPr>
      </w:pPr>
      <w:r>
        <w:rPr>
          <w:i/>
          <w:noProof/>
          <w:lang w:eastAsia="de-DE"/>
        </w:rPr>
        <w:t>Le Président</w:t>
      </w:r>
      <w:r>
        <w:rPr>
          <w:i/>
          <w:noProof/>
          <w:lang w:eastAsia="de-DE"/>
        </w:rPr>
        <w:tab/>
        <w:t>Le Président</w:t>
      </w:r>
      <w:bookmarkEnd w:id="0"/>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sz w:val="18"/>
        </w:rPr>
        <w:tab/>
      </w:r>
      <w:r>
        <w:t>COM(87) 868 PV.</w:t>
      </w:r>
    </w:p>
  </w:footnote>
  <w:footnote w:id="2">
    <w:p>
      <w:pPr>
        <w:pStyle w:val="FootnoteText"/>
      </w:pPr>
      <w:r>
        <w:rPr>
          <w:rStyle w:val="FootnoteReference"/>
        </w:rPr>
        <w:footnoteRef/>
      </w:r>
      <w:r>
        <w:rPr>
          <w:sz w:val="18"/>
        </w:rPr>
        <w:tab/>
      </w:r>
      <w:r>
        <w:t>Voir l'annexe 3 de la partie A desdites conclusions.</w:t>
      </w:r>
    </w:p>
  </w:footnote>
  <w:footnote w:id="3">
    <w:p>
      <w:pPr>
        <w:pStyle w:val="FootnoteText"/>
      </w:pPr>
      <w:r>
        <w:rPr>
          <w:rStyle w:val="FootnoteReference"/>
        </w:rPr>
        <w:footnoteRef/>
      </w:r>
      <w:r>
        <w:rPr>
          <w:sz w:val="18"/>
        </w:rPr>
        <w:tab/>
      </w:r>
      <w:r>
        <w:t>Inscrite dans le programme législatif pour 2015.</w:t>
      </w:r>
    </w:p>
  </w:footnote>
  <w:footnote w:id="4">
    <w:p>
      <w:pPr>
        <w:pStyle w:val="FootnoteText"/>
      </w:pPr>
      <w:r>
        <w:rPr>
          <w:rStyle w:val="FootnoteReference"/>
        </w:rPr>
        <w:footnoteRef/>
      </w:r>
      <w:r>
        <w:rPr>
          <w:sz w:val="18"/>
        </w:rPr>
        <w:tab/>
      </w:r>
      <w:r>
        <w:t>Annexe III de la présente proposition.</w:t>
      </w:r>
    </w:p>
  </w:footnote>
  <w:footnote w:id="5">
    <w:p>
      <w:pPr>
        <w:pStyle w:val="FootnoteText"/>
      </w:pPr>
      <w:r>
        <w:rPr>
          <w:rStyle w:val="FootnoteReference"/>
        </w:rPr>
        <w:footnoteRef/>
      </w:r>
      <w:r>
        <w:rPr>
          <w:lang w:val="fr-BE"/>
        </w:rPr>
        <w:tab/>
        <w:t>JO […] du […], p. […].</w:t>
      </w:r>
    </w:p>
  </w:footnote>
  <w:footnote w:id="6">
    <w:p>
      <w:pPr>
        <w:pStyle w:val="FootnoteText"/>
        <w:rPr>
          <w:highlight w:val="lightGray"/>
        </w:rPr>
      </w:pPr>
      <w:r>
        <w:rPr>
          <w:rStyle w:val="FootnoteReference"/>
          <w:highlight w:val="lightGray"/>
          <w:lang w:val="en-US"/>
        </w:rPr>
        <w:footnoteRef/>
      </w:r>
      <w:r>
        <w:rPr>
          <w:highlight w:val="lightGray"/>
          <w:lang w:val="fr-BE"/>
        </w:rPr>
        <w:tab/>
        <w:t>Règlement (CE) n° 1528/2007 du Conseil du 20 décembre 2007 appliquant aux produits originaires de certains États appartenant au groupe des États d'Afrique, des Caraïbes et du Pacifique (ACP) les régimes prévus dans les accords établissant ou conduisant à établir des accords de partenariats économiques (</w:t>
      </w:r>
      <w:r>
        <w:rPr>
          <w:highlight w:val="lightGray"/>
        </w:rPr>
        <w:t>JO L 348 du 31.12.2007, p. 1).</w:t>
      </w:r>
    </w:p>
  </w:footnote>
  <w:footnote w:id="7">
    <w:p>
      <w:pPr>
        <w:pStyle w:val="FootnoteText"/>
        <w:rPr>
          <w:highlight w:val="lightGray"/>
        </w:rPr>
      </w:pPr>
      <w:r>
        <w:rPr>
          <w:rStyle w:val="FootnoteReference"/>
          <w:highlight w:val="lightGray"/>
          <w:lang w:val="en-US"/>
        </w:rPr>
        <w:footnoteRef/>
      </w:r>
      <w:r>
        <w:rPr>
          <w:highlight w:val="lightGray"/>
          <w:lang w:val="fr-BE"/>
        </w:rPr>
        <w:tab/>
      </w:r>
      <w:r>
        <w:rPr>
          <w:highlight w:val="lightGray"/>
        </w:rPr>
        <w:t>Voir annexe III.</w:t>
      </w:r>
    </w:p>
  </w:footnote>
  <w:footnote w:id="8">
    <w:p>
      <w:pPr>
        <w:pStyle w:val="FootnoteText"/>
      </w:pPr>
      <w:r>
        <w:rPr>
          <w:rStyle w:val="FootnoteReference"/>
          <w:lang w:val="en-US"/>
        </w:rPr>
        <w:footnoteRef/>
      </w:r>
      <w:r>
        <w:rPr>
          <w:lang w:val="fr-BE"/>
        </w:rPr>
        <w:tab/>
      </w:r>
      <w:r>
        <w:t>JO L 317 du 15.12.2000, p. 3.</w:t>
      </w:r>
    </w:p>
  </w:footnote>
  <w:footnote w:id="9">
    <w:p>
      <w:pPr>
        <w:pStyle w:val="FootnoteText"/>
      </w:pPr>
      <w:r>
        <w:rPr>
          <w:rStyle w:val="FootnoteReference"/>
        </w:rPr>
        <w:footnoteRef/>
      </w:r>
      <w:r>
        <w:rPr>
          <w:lang w:val="fr-BE"/>
        </w:rPr>
        <w:tab/>
        <w:t>JO L 209 du 11.8.2005, p. 27.</w:t>
      </w:r>
    </w:p>
  </w:footnote>
  <w:footnote w:id="10">
    <w:p>
      <w:pPr>
        <w:pStyle w:val="FootnoteText"/>
      </w:pPr>
      <w:r>
        <w:rPr>
          <w:rStyle w:val="FootnoteReference"/>
          <w:lang w:val="en-US"/>
        </w:rPr>
        <w:footnoteRef/>
      </w:r>
      <w:r>
        <w:rPr>
          <w:lang w:val="fr-BE"/>
        </w:rPr>
        <w:tab/>
        <w:t>JO L 311 du 4.12.1999, p. 1.</w:t>
      </w:r>
    </w:p>
  </w:footnote>
  <w:footnote w:id="11">
    <w:p>
      <w:pPr>
        <w:pStyle w:val="FootnoteText"/>
      </w:pPr>
      <w:r>
        <w:rPr>
          <w:rStyle w:val="FootnoteReference"/>
        </w:rPr>
        <w:footnoteRef/>
      </w:r>
      <w:r>
        <w:tab/>
        <w:t>JO L 68 du 15.3.2005, p. 33.</w:t>
      </w:r>
    </w:p>
  </w:footnote>
  <w:footnote w:id="12">
    <w:p>
      <w:pPr>
        <w:pStyle w:val="FootnoteText"/>
      </w:pPr>
      <w:r>
        <w:rPr>
          <w:rStyle w:val="FootnoteReference"/>
          <w:lang w:val="en-US"/>
        </w:rPr>
        <w:footnoteRef/>
      </w:r>
      <w:r>
        <w:rPr>
          <w:lang w:val="fr-BE"/>
        </w:rPr>
        <w:tab/>
        <w:t>Règlement (CE) n° 515/97 du Conseil du 13 mars 1997 relatif à l'assistance mutuelle entre les autorités administratives des États membres et à la collaboration entre celles-ci et la Commission en vue d'assurer la bonne application des réglementations douanière et agricole (</w:t>
      </w:r>
      <w:r>
        <w:t>JO L 82 du 22.3.1997, p. 1).</w:t>
      </w:r>
    </w:p>
  </w:footnote>
  <w:footnote w:id="13">
    <w:p>
      <w:pPr>
        <w:pStyle w:val="FootnoteText"/>
      </w:pPr>
      <w:r>
        <w:rPr>
          <w:rStyle w:val="FootnoteReference"/>
        </w:rPr>
        <w:footnoteRef/>
      </w:r>
      <w:r>
        <w:tab/>
      </w:r>
      <w:r>
        <w:rPr>
          <w:lang w:val="fr-BE"/>
        </w:rPr>
        <w:t>Règlement (UE) n° 527/2013 du Parlement européen et du Conseil du 21 mai 2013 modifiant le règlement (CE) n° 1528/2007 du Conseil en vue d'exclure un certain nombre de pays de la liste des régions ou États ayant conclu des négociations (JO L 165 du 18.6.2013, p. 59).</w:t>
      </w:r>
    </w:p>
  </w:footnote>
  <w:footnote w:id="14">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5">
    <w:p>
      <w:pPr>
        <w:pStyle w:val="FootnoteText"/>
      </w:pPr>
      <w:r>
        <w:rPr>
          <w:rStyle w:val="FootnoteReference"/>
        </w:rPr>
        <w:footnoteRef/>
      </w:r>
      <w:r>
        <w:rPr>
          <w:lang w:val="fr-BE"/>
        </w:rPr>
        <w:tab/>
        <w:t>Règlement (CE) n° 980/2005 du Conseil du 27 juin 2005 portant application d'un schéma de préférences tarifaires généralisées (JO L 169 du 30.6.2005, p. 1).</w:t>
      </w:r>
    </w:p>
  </w:footnote>
  <w:footnote w:id="16">
    <w:p>
      <w:pPr>
        <w:pStyle w:val="FootnoteText"/>
      </w:pPr>
      <w:r>
        <w:rPr>
          <w:rStyle w:val="FootnoteReference"/>
          <w:lang w:val="en-US"/>
        </w:rPr>
        <w:footnoteRef/>
      </w:r>
      <w:r>
        <w:rPr>
          <w:lang w:val="fr-BE"/>
        </w:rPr>
        <w:tab/>
        <w:t>Règlement (CEE) n° 2454/93 de la Commission du 2 juillet 1993 fixant certaines dispositions d'application du règlement (CEE) n° 2913/92 du Conseil établissant le code des douanes communautaire (</w:t>
      </w:r>
      <w:r>
        <w:t>JO L 253 du 11.10.1993, p. 1).</w:t>
      </w:r>
    </w:p>
  </w:footnote>
  <w:footnote w:id="17">
    <w:p>
      <w:pPr>
        <w:pStyle w:val="FootnoteText"/>
      </w:pPr>
      <w:r>
        <w:rPr>
          <w:rStyle w:val="FootnoteReference"/>
          <w:lang w:val="en-US"/>
        </w:rPr>
        <w:footnoteRef/>
      </w:r>
      <w:r>
        <w:rPr>
          <w:lang w:val="fr-BE"/>
        </w:rPr>
        <w:tab/>
      </w:r>
      <w:r>
        <w:t>Règlement (CE) n</w:t>
      </w:r>
      <w:r>
        <w:rPr>
          <w:vertAlign w:val="superscript"/>
        </w:rPr>
        <w:t>o</w:t>
      </w:r>
      <w:r>
        <w:t xml:space="preserve"> 260/2009 du Conseil du 26 février 2009 relatif au régime commun applicable aux importations (JO L 84 du 31.3.2009, p. 1).</w:t>
      </w:r>
    </w:p>
  </w:footnote>
  <w:footnote w:id="18">
    <w:p>
      <w:pPr>
        <w:pStyle w:val="FootnoteText"/>
      </w:pPr>
      <w:r>
        <w:rPr>
          <w:rStyle w:val="FootnoteReference"/>
        </w:rPr>
        <w:footnoteRef/>
      </w:r>
      <w:r>
        <w:tab/>
        <w:t>Règlement (UE) n</w:t>
      </w:r>
      <w:r>
        <w:rPr>
          <w:vertAlign w:val="superscript"/>
        </w:rPr>
        <w:t>o</w:t>
      </w:r>
      <w:r>
        <w:t xml:space="preserve"> 952/2013 du Parlement européen et du Conseil du 9 octobre 2013 établissant le code des douanes de l'Union (JO L 269 du10.10.2013, p. 1).</w:t>
      </w:r>
    </w:p>
  </w:footnote>
  <w:footnote w:id="19">
    <w:p>
      <w:pPr>
        <w:pStyle w:val="FootnoteText"/>
      </w:pPr>
      <w:r>
        <w:rPr>
          <w:rStyle w:val="FootnoteReference"/>
          <w:lang w:val="en-US"/>
        </w:rPr>
        <w:footnoteRef/>
      </w:r>
      <w:r>
        <w:rPr>
          <w:lang w:val="fr-BE"/>
        </w:rPr>
        <w:tab/>
      </w:r>
      <w:r>
        <w:t>Règlement (UE) n° 1308/2013 du Parlement européen et du Conseil du 17 décembre 2013 portant organisation commune des marchés des produits agricoles et abrogeant les règlements (CEE) n° 922/72, (CEE) n° 234/79, (CE) n° 1037/2001 et (CE) n° 1234/2007 du Conseil (JO L 347 du 20.12.2013, p. 671).</w:t>
      </w:r>
    </w:p>
  </w:footnote>
  <w:footnote w:id="20">
    <w:p>
      <w:pPr>
        <w:pStyle w:val="FootnoteText"/>
      </w:pPr>
      <w:r>
        <w:rPr>
          <w:rStyle w:val="FootnoteReference"/>
          <w:lang w:val="en-US"/>
        </w:rPr>
        <w:footnoteRef/>
      </w:r>
      <w:r>
        <w:rPr>
          <w:lang w:val="fr-BE"/>
        </w:rPr>
        <w:tab/>
      </w:r>
      <w:r>
        <w:t>Règlement (CE) n</w:t>
      </w:r>
      <w:r>
        <w:rPr>
          <w:vertAlign w:val="superscript"/>
        </w:rPr>
        <w:t>o</w:t>
      </w:r>
      <w:r>
        <w:t xml:space="preserve"> 1225/2009 du Conseil du 30 novembre 2009 relatif à la défense contre les importations qui font l'objet d'un dumping de la part de pays non membres de la Communauté européenne (JO L 343 du 22.12.2009,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2C251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058E82F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F9BA0B8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22628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0E46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04B7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043BF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4545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2:18:27"/>
    <w:docVar w:name="DQCDateTime" w:val="2015-06-04 13:48: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6756992199C4EBC9644318438C9933A"/>
    <w:docVar w:name="LW_CROSSREFERENCE" w:val="&lt;UNUSED&gt;"/>
    <w:docVar w:name="LW_DocType" w:val="COM"/>
    <w:docVar w:name="LW_EMISSION" w:val="10.6.2015"/>
    <w:docVar w:name="LW_EMISSION_ISODATE" w:val="2015-06-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28"/>
    <w:docVar w:name="LW_REF.II.NEW.CP_YEAR" w:val="2015"/>
    <w:docVar w:name="LW_REF.INST.NEW" w:val="COM"/>
    <w:docVar w:name="LW_REF.INST.NEW_ADOPTED" w:val="final"/>
    <w:docVar w:name="LW_REF.INST.NEW_TEXT" w:val="(2015) 282"/>
    <w:docVar w:name="LW_REF.INTERNE" w:val="&lt;UNUSED&gt;"/>
    <w:docVar w:name="LW_SOUS.TITRE.OBJ.CP" w:val="&lt;UNUSED&gt;"/>
    <w:docVar w:name="LW_STATUT.CP" w:val="Proposition de"/>
    <w:docVar w:name="LW_SUPERTITRE" w:val="&lt;UNUSED&gt;"/>
    <w:docVar w:name="LW_TITRE.OBJ.CP" w:val="appliquant aux produits originaires de certains États appartenant au groupe des États d'Afrique, des Caraïbes et du Pacifique (ACP) les régimes prévus dans les accords établissant ou conduisant à établir des accords de partenariats économiques (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uiPriority w:val="99"/>
    <w:qFormat/>
    <w:pPr>
      <w:autoSpaceDE w:val="0"/>
      <w:autoSpaceDN w:val="0"/>
    </w:pPr>
    <w:rPr>
      <w:rFonts w:eastAsia="Times New Roman"/>
      <w:b/>
      <w:bCs/>
      <w:szCs w:val="24"/>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super">
    <w:name w:val="super"/>
    <w:rPr>
      <w:sz w:val="17"/>
      <w:vertAlign w:val="superscript"/>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imes New Roman" w:hAnsi="Arial" w:cs="Arial"/>
      <w:lang w:val="fr-FR" w:eastAsia="en-GB"/>
    </w:rPr>
  </w:style>
  <w:style w:type="character" w:customStyle="1" w:styleId="Heading6Char">
    <w:name w:val="Heading 6 Char"/>
    <w:basedOn w:val="DefaultParagraphFont"/>
    <w:link w:val="Heading6"/>
    <w:uiPriority w:val="99"/>
    <w:rPr>
      <w:rFonts w:ascii="Arial" w:eastAsia="Times New Roman" w:hAnsi="Arial" w:cs="Arial"/>
      <w:i/>
      <w:iCs/>
      <w:lang w:val="fr-FR" w:eastAsia="en-GB"/>
    </w:rPr>
  </w:style>
  <w:style w:type="character" w:customStyle="1" w:styleId="Heading7Char">
    <w:name w:val="Heading 7 Char"/>
    <w:basedOn w:val="DefaultParagraphFont"/>
    <w:link w:val="Heading7"/>
    <w:uiPriority w:val="99"/>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uiPriority w:val="99"/>
    <w:qFormat/>
    <w:pPr>
      <w:autoSpaceDE w:val="0"/>
      <w:autoSpaceDN w:val="0"/>
    </w:pPr>
    <w:rPr>
      <w:rFonts w:eastAsia="Times New Roman"/>
      <w:b/>
      <w:bCs/>
      <w:szCs w:val="24"/>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eastAsia="en-GB"/>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uiPriority w:val="99"/>
    <w:pPr>
      <w:autoSpaceDE w:val="0"/>
      <w:autoSpaceDN w:val="0"/>
    </w:pPr>
    <w:rPr>
      <w:rFonts w:ascii="Arial" w:eastAsia="Times New Roman" w:hAnsi="Arial" w:cs="Arial"/>
      <w:b/>
      <w:bCs/>
      <w:szCs w:val="24"/>
      <w:lang w:eastAsia="en-GB"/>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eastAsia="en-GB"/>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character" w:customStyle="1" w:styleId="CRDeleted">
    <w:name w:val="CR Deleted"/>
    <w:rPr>
      <w:dstrike/>
      <w:lang w:val="fr-FR" w:eastAsia="x-none"/>
    </w:rPr>
  </w:style>
  <w:style w:type="character" w:customStyle="1" w:styleId="CRRefonteDeleted">
    <w:name w:val="CR Refonte Deleted"/>
    <w:rPr>
      <w:dstrike/>
      <w:lang w:val="fr-FR" w:eastAsia="x-none"/>
    </w:rPr>
  </w:style>
  <w:style w:type="character" w:customStyle="1" w:styleId="super">
    <w:name w:val="super"/>
    <w:rPr>
      <w:sz w:val="17"/>
      <w:vertAlign w:val="superscript"/>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25</Pages>
  <Words>8278</Words>
  <Characters>43547</Characters>
  <Application>Microsoft Office Word</Application>
  <DocSecurity>0</DocSecurity>
  <Lines>888</Lines>
  <Paragraphs>381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2015-04-30T14:09:00Z</cp:lastPrinted>
  <dcterms:created xsi:type="dcterms:W3CDTF">2015-04-30T14:14:00Z</dcterms:created>
  <dcterms:modified xsi:type="dcterms:W3CDTF">2015-06-04T11:48:00Z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02)</vt:lpwstr>
  </property>
</Properties>
</file>