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89" w:rsidRPr="00695AD0" w:rsidRDefault="00850ECA" w:rsidP="00695AD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65b13c4-4850-49ca-b47a-06f45c81ddfa_0" style="width:568.5pt;height:285.75pt">
            <v:imagedata r:id="rId8" o:title=""/>
          </v:shape>
        </w:pict>
      </w:r>
      <w:bookmarkEnd w:id="0"/>
    </w:p>
    <w:p w:rsidR="009A4A30" w:rsidRPr="00F057D4" w:rsidRDefault="009A4A30" w:rsidP="009A4A30">
      <w:pPr>
        <w:pStyle w:val="HeadingCentered"/>
        <w:spacing w:before="1200" w:after="1480"/>
      </w:pPr>
      <w:r w:rsidRPr="00F057D4">
        <w:br w:type="page"/>
      </w:r>
      <w:r w:rsidRPr="00F057D4">
        <w:lastRenderedPageBreak/>
        <w:t>ТОЧКИ ЗА ОТКРИТО ОБСЪЖДАНЕ</w:t>
      </w:r>
      <w:r w:rsidRPr="00F057D4">
        <w:rPr>
          <w:rStyle w:val="FootnoteReference"/>
        </w:rPr>
        <w:footnoteReference w:id="1"/>
      </w:r>
    </w:p>
    <w:p w:rsidR="009A4A30" w:rsidRPr="00F057D4" w:rsidRDefault="009A4A30" w:rsidP="009A4A30">
      <w:pPr>
        <w:pStyle w:val="NormalRight"/>
        <w:spacing w:before="0"/>
        <w:rPr>
          <w:b/>
        </w:rPr>
      </w:pPr>
      <w:r w:rsidRPr="00F057D4">
        <w:rPr>
          <w:b/>
        </w:rPr>
        <w:t>Страница</w:t>
      </w:r>
    </w:p>
    <w:p w:rsidR="009A4A30" w:rsidRPr="00F057D4" w:rsidRDefault="009A4A30" w:rsidP="009A4A30">
      <w:pPr>
        <w:pStyle w:val="HeadingLeft"/>
        <w:spacing w:before="120"/>
        <w:rPr>
          <w:u w:val="none"/>
        </w:rPr>
      </w:pPr>
      <w:r w:rsidRPr="00F057D4">
        <w:rPr>
          <w:u w:val="none"/>
        </w:rPr>
        <w:t>ОБСЪЖДАНИЯ НА ЗАКОНОДАТЕЛНИ АКТОВЕ</w:t>
      </w:r>
    </w:p>
    <w:p w:rsidR="009A4A30" w:rsidRPr="00F057D4" w:rsidRDefault="009A4A30" w:rsidP="009A4A30">
      <w:pPr>
        <w:spacing w:before="480"/>
        <w:rPr>
          <w:bCs/>
        </w:rPr>
      </w:pPr>
      <w:r w:rsidRPr="00850ECA">
        <w:rPr>
          <w:u w:val="single"/>
        </w:rPr>
        <w:t>ТОЧКИ A</w:t>
      </w:r>
      <w:r w:rsidRPr="00F057D4">
        <w:t xml:space="preserve"> (док. 8088/15 PTS A 31)</w:t>
      </w:r>
    </w:p>
    <w:p w:rsidR="009A4A30" w:rsidRPr="00F057D4" w:rsidRDefault="0014792F" w:rsidP="00A66DBE">
      <w:pPr>
        <w:pStyle w:val="PointManual"/>
        <w:tabs>
          <w:tab w:val="left" w:leader="dot" w:pos="9639"/>
        </w:tabs>
        <w:rPr>
          <w:bCs/>
        </w:rPr>
      </w:pPr>
      <w:r w:rsidRPr="00F057D4">
        <w:t>—</w:t>
      </w:r>
      <w:r w:rsidRPr="00F057D4">
        <w:tab/>
        <w:t>Директива на Съвета относно мерките за координация и сътрудничество за улесняване на консулската закрила на непредставени граждани на Съюза в трети държави и за отмяна на Решение 95/553/EО</w:t>
      </w:r>
      <w:r w:rsidRPr="00F057D4">
        <w:tab/>
        <w:t>3</w:t>
      </w:r>
    </w:p>
    <w:p w:rsidR="009A4A30" w:rsidRPr="00F057D4" w:rsidRDefault="009A4A30" w:rsidP="009A4A30">
      <w:pPr>
        <w:pStyle w:val="NormalCentered"/>
        <w:spacing w:before="600"/>
      </w:pPr>
      <w:r w:rsidRPr="00F057D4">
        <w:t>*</w:t>
      </w:r>
    </w:p>
    <w:p w:rsidR="009A4A30" w:rsidRPr="00F057D4" w:rsidRDefault="009A4A30" w:rsidP="009A4A30">
      <w:pPr>
        <w:pStyle w:val="NormalCentered"/>
        <w:spacing w:before="120"/>
      </w:pPr>
      <w:r w:rsidRPr="00F057D4">
        <w:t>*</w:t>
      </w:r>
      <w:r w:rsidRPr="00F057D4">
        <w:tab/>
        <w:t>*</w:t>
      </w:r>
    </w:p>
    <w:p w:rsidR="009A4A30" w:rsidRPr="00F057D4" w:rsidRDefault="009A4A30" w:rsidP="00F05989">
      <w:pPr>
        <w:pageBreakBefore/>
        <w:spacing w:before="240"/>
        <w:rPr>
          <w:b/>
          <w:u w:val="single"/>
        </w:rPr>
      </w:pPr>
      <w:r w:rsidRPr="00F057D4">
        <w:rPr>
          <w:b/>
          <w:u w:val="single"/>
        </w:rPr>
        <w:lastRenderedPageBreak/>
        <w:t>ОБСЪЖДАНИЯ НА ЗАКОНОДАТЕЛНИ АКТОВЕ</w:t>
      </w:r>
    </w:p>
    <w:p w:rsidR="009A4A30" w:rsidRPr="00F057D4" w:rsidRDefault="009A4A30" w:rsidP="009A4A30">
      <w:pPr>
        <w:rPr>
          <w:b/>
          <w:i/>
          <w:iCs/>
        </w:rPr>
      </w:pPr>
      <w:r w:rsidRPr="00F057D4">
        <w:rPr>
          <w:b/>
          <w:i/>
        </w:rPr>
        <w:t>(открито обсъждане съгласно член 16, параграф 8 от Договора за Европейския съюз)</w:t>
      </w:r>
    </w:p>
    <w:p w:rsidR="00BA6C67" w:rsidRPr="00F057D4" w:rsidRDefault="009A4A30" w:rsidP="009A4A30">
      <w:pPr>
        <w:spacing w:before="240"/>
        <w:rPr>
          <w:bCs/>
        </w:rPr>
      </w:pPr>
      <w:r w:rsidRPr="00F057D4">
        <w:rPr>
          <w:u w:val="single"/>
        </w:rPr>
        <w:t>ТОЧКИ „А“</w:t>
      </w:r>
    </w:p>
    <w:p w:rsidR="002A3A72" w:rsidRPr="00F057D4" w:rsidRDefault="002A3A72" w:rsidP="0014792F">
      <w:pPr>
        <w:pStyle w:val="PointManual"/>
        <w:rPr>
          <w:rFonts w:asciiTheme="majorBidi" w:hAnsiTheme="majorBidi" w:cstheme="majorBidi"/>
          <w:b/>
          <w:bCs/>
        </w:rPr>
      </w:pPr>
      <w:r w:rsidRPr="00F057D4">
        <w:rPr>
          <w:b/>
        </w:rPr>
        <w:t>Директива на Съвета относно мерките за координация и сътрудничество за улесняване на консулската закрила на непредставени граждани на Съюза в трети държави и за отмяна на Решение 95/553/EО</w:t>
      </w:r>
    </w:p>
    <w:p w:rsidR="002A3A72" w:rsidRPr="00F057D4" w:rsidRDefault="002A3A72" w:rsidP="002A3A72">
      <w:pPr>
        <w:pStyle w:val="Text3"/>
      </w:pPr>
      <w:r w:rsidRPr="00F057D4">
        <w:t>7228/15 COCON 6 PESC 290 COTRA 3</w:t>
      </w:r>
    </w:p>
    <w:p w:rsidR="002A3A72" w:rsidRPr="00F057D4" w:rsidRDefault="002A3A72" w:rsidP="002A3A72">
      <w:pPr>
        <w:pStyle w:val="Text4"/>
      </w:pPr>
      <w:r w:rsidRPr="00F057D4">
        <w:t>+ COR 1 (hu)</w:t>
      </w:r>
    </w:p>
    <w:p w:rsidR="002A3A72" w:rsidRPr="00F057D4" w:rsidRDefault="002A3A72" w:rsidP="002A3A72">
      <w:pPr>
        <w:pStyle w:val="Text4"/>
      </w:pPr>
      <w:r w:rsidRPr="00F057D4">
        <w:t>+ REV 1 (ro)</w:t>
      </w:r>
    </w:p>
    <w:p w:rsidR="00836248" w:rsidRPr="00F057D4" w:rsidRDefault="0014792F" w:rsidP="00A66DBE">
      <w:pPr>
        <w:pStyle w:val="Text1"/>
        <w:spacing w:before="200" w:line="360" w:lineRule="auto"/>
      </w:pPr>
      <w:r w:rsidRPr="00F057D4">
        <w:rPr>
          <w:u w:val="single"/>
        </w:rPr>
        <w:t>Съветът</w:t>
      </w:r>
      <w:r w:rsidRPr="00F057D4">
        <w:t xml:space="preserve"> прие посочената по-горе директива на Съвета, като </w:t>
      </w:r>
      <w:r w:rsidRPr="00F057D4">
        <w:rPr>
          <w:u w:val="single"/>
        </w:rPr>
        <w:t>Чешката република и Обединеното кралство</w:t>
      </w:r>
      <w:r w:rsidRPr="00F057D4">
        <w:t xml:space="preserve"> се въздържаха (правно основание: член 23 от Договора за функционирането на Европейския съюз).</w:t>
      </w:r>
    </w:p>
    <w:p w:rsidR="00F05989" w:rsidRPr="00F057D4" w:rsidRDefault="00F05989" w:rsidP="00F05989">
      <w:pPr>
        <w:pStyle w:val="Text1"/>
        <w:spacing w:before="480"/>
        <w:rPr>
          <w:b/>
          <w:bCs/>
          <w:u w:val="single"/>
        </w:rPr>
      </w:pPr>
      <w:r w:rsidRPr="00F057D4">
        <w:rPr>
          <w:b/>
          <w:u w:val="single"/>
        </w:rPr>
        <w:t>Изявление на Белгия</w:t>
      </w:r>
    </w:p>
    <w:p w:rsidR="00F05989" w:rsidRPr="00F057D4" w:rsidRDefault="00F05989" w:rsidP="00F05989">
      <w:pPr>
        <w:pStyle w:val="Text1"/>
        <w:spacing w:before="240"/>
      </w:pPr>
      <w:r w:rsidRPr="00F057D4">
        <w:t>„Белгия винаги се е обявявала в подкрепа на принципа за по-добра европейска координация в областта на консулската помощ. Такава консулска помощ е предвидена, наред с другото, в член 23 от ДФЕС и в член 46 от Хартата на основните права. В този контекст Белгия подкрепи принципа, че една директива относно консулската помощ за граждани на ЕС в чужбина следва да бъде реалистична и прагматична.</w:t>
      </w:r>
    </w:p>
    <w:p w:rsidR="00F05989" w:rsidRPr="00F057D4" w:rsidRDefault="00F05989" w:rsidP="00F05989">
      <w:pPr>
        <w:pStyle w:val="Text1"/>
        <w:spacing w:before="240"/>
      </w:pPr>
      <w:r w:rsidRPr="00F057D4">
        <w:t>Белгия няма да се противопостави на приемането на директивата. Въпреки това, тя се опасява, че крайната цел на директивата може да не бъде постигната поради някои от нейните разпоредби.</w:t>
      </w:r>
    </w:p>
    <w:p w:rsidR="00F05989" w:rsidRPr="00F057D4" w:rsidRDefault="00F05989" w:rsidP="00F05989">
      <w:pPr>
        <w:pStyle w:val="Text1"/>
        <w:spacing w:before="240"/>
      </w:pPr>
      <w:r w:rsidRPr="00F057D4">
        <w:t>Белгия счита например, че правнообвързващият характер на директивата би оправдал установяване, от самото начало, на по-подробни разпоредби относно условията за възстановяване на разходите, предвидени в член 14. Без да се засягат разпоредбите на Директива 2004/38, Белгия има опасения и по повод на връзката между целта, изложена в член 5 от директивата, и националните норми, уреждащи влизането на територията. И накрая, Белгия изразява съжаление, че в директивата не е предвидена по-голяма роля за делегациите на ЕС.</w:t>
      </w:r>
    </w:p>
    <w:p w:rsidR="00F05989" w:rsidRPr="00F057D4" w:rsidRDefault="00F05989" w:rsidP="00F05989">
      <w:pPr>
        <w:pStyle w:val="Text1"/>
        <w:spacing w:before="240"/>
      </w:pPr>
      <w:r w:rsidRPr="00F057D4">
        <w:t>Освен това Белгия тълкува член 3 като даващ възможност на всяка държава членка да реши да предостави сама консулска помощ на гражданите си и на членовете на семействата им, които ги придружават в трети държави, където тя не е представена, и да определи в този контекст равнището на консулската помощ въз основа на наличните бюджетни средства.</w:t>
      </w:r>
    </w:p>
    <w:p w:rsidR="00A66DBE" w:rsidRPr="00F057D4" w:rsidRDefault="00F05989" w:rsidP="00F05989">
      <w:pPr>
        <w:pStyle w:val="Text1"/>
        <w:spacing w:before="240"/>
      </w:pPr>
      <w:r w:rsidRPr="00F057D4">
        <w:t>Белгия счита, че тези въпроси ще трябва да бъде преразгледани в светлината на опита от прилагането на директивата, в контекста на оценката, предвидена в член 19 от тази директива.“</w:t>
      </w:r>
    </w:p>
    <w:p w:rsidR="00A66DBE" w:rsidRPr="00F057D4" w:rsidRDefault="00A66DBE" w:rsidP="00A66DBE">
      <w:pPr>
        <w:pStyle w:val="Text1"/>
        <w:pageBreakBefore/>
        <w:spacing w:before="480"/>
        <w:rPr>
          <w:b/>
          <w:bCs/>
          <w:u w:val="single"/>
        </w:rPr>
      </w:pPr>
      <w:r w:rsidRPr="00F057D4">
        <w:rPr>
          <w:b/>
          <w:u w:val="single"/>
        </w:rPr>
        <w:lastRenderedPageBreak/>
        <w:t>Изявление на Испания</w:t>
      </w:r>
    </w:p>
    <w:p w:rsidR="00BA6C67" w:rsidRPr="00F057D4" w:rsidRDefault="00A66DBE" w:rsidP="00A66DBE">
      <w:pPr>
        <w:pStyle w:val="Text1"/>
        <w:spacing w:before="240"/>
      </w:pPr>
      <w:r w:rsidRPr="00F057D4">
        <w:t>„Испания може да се съгласи с приемането на Директивата на Съвета относно мерките за координиране и сътрудничество за улесняване на консулската закрила за непредставени граждани на Съюза в трети държави и за отмяна на Решение № 95/553/ЕО, с разбирането, че при прегледа, посочен в член 19 параграф 2, ще се направи оценка, въз основа на съответните статистически данни и случаи, дали е имало адекватно споделяне на тежестта между държавите членки, и ще се търси решение за евентуалните неравновесия, които може да са възникнали.</w:t>
      </w:r>
    </w:p>
    <w:p w:rsidR="00BA6C67" w:rsidRPr="00F057D4" w:rsidRDefault="00A66DBE" w:rsidP="00A66DBE">
      <w:pPr>
        <w:pStyle w:val="Text1"/>
        <w:spacing w:before="240"/>
      </w:pPr>
      <w:r w:rsidRPr="00F057D4">
        <w:t>Испания смята, че при прегледа следва да се оцени начинът, по който е действала тази директива, и нейните последици за консулската мрежа на държавите членки, по-специално по отношение на финансовите и човешките им ресурси, както и да се разгледа необходимостта от допълнителни мерки.</w:t>
      </w:r>
    </w:p>
    <w:p w:rsidR="00A66DBE" w:rsidRPr="00F057D4" w:rsidRDefault="00A66DBE" w:rsidP="00A66DBE">
      <w:pPr>
        <w:pStyle w:val="Text1"/>
        <w:spacing w:before="240"/>
      </w:pPr>
      <w:r w:rsidRPr="00F057D4">
        <w:t>Освен това Испания припомня, че представените държавите членки следва, когато е необходимо, да се споразумеят на местно равнище относно практическите условия, за да се осигури адекватно споделяне на тежестта за закрила на непредставените граждани.“</w:t>
      </w:r>
    </w:p>
    <w:p w:rsidR="00A66DBE" w:rsidRPr="00F057D4" w:rsidRDefault="00A66DBE" w:rsidP="00A66DBE">
      <w:pPr>
        <w:pStyle w:val="Text1"/>
        <w:spacing w:before="480"/>
        <w:rPr>
          <w:b/>
          <w:bCs/>
          <w:u w:val="single"/>
        </w:rPr>
      </w:pPr>
      <w:r w:rsidRPr="00F057D4">
        <w:rPr>
          <w:b/>
          <w:u w:val="single"/>
        </w:rPr>
        <w:t>Изявление на Обединеното кралство</w:t>
      </w:r>
    </w:p>
    <w:p w:rsidR="00A66DBE" w:rsidRPr="00F057D4" w:rsidRDefault="00A66DBE" w:rsidP="00A66DBE">
      <w:pPr>
        <w:pStyle w:val="Text1"/>
        <w:spacing w:before="240"/>
      </w:pPr>
      <w:r w:rsidRPr="00F057D4">
        <w:t>„Обединеното кралство желае да се отбележи разбирането му, че консулската помощ и консулската закрила са въпроси, които се решават от държавите членки, и че държавите членки сами определят начина, по който да изпълняват своите задължения. Обединеното кралство счита, че Директивата на Съвета относно „мерките за координация и сътрудничество за улесняване на консулската закрила на непредставени граждани на Съюза в трети държави“ не променя тази позиция.</w:t>
      </w:r>
    </w:p>
    <w:p w:rsidR="00A66DBE" w:rsidRPr="00F057D4" w:rsidRDefault="00A66DBE" w:rsidP="00A66DBE">
      <w:pPr>
        <w:pStyle w:val="Text1"/>
        <w:spacing w:before="240"/>
      </w:pPr>
      <w:r w:rsidRPr="00F057D4">
        <w:t>Освен това Обединеното кралство счита, че в член 23 от Договора за функционирането на Европейския съюз се предвижда ролята на ЕС да се ограничи до определянето на мерките за координация и сътрудничество, необходими за улесняване на консулската закрила на гражданите на Съюза.</w:t>
      </w:r>
    </w:p>
    <w:p w:rsidR="00A66DBE" w:rsidRPr="00F057D4" w:rsidRDefault="00A66DBE" w:rsidP="00A66DBE">
      <w:pPr>
        <w:pStyle w:val="Text1"/>
        <w:spacing w:before="240"/>
      </w:pPr>
      <w:r w:rsidRPr="00F057D4">
        <w:t>За да се избегнат всякакви съмнения — позицията на Обединеното кралство е, че директивата не съдържа никакви предписания относно равнището на закрила, което дадена държава членка следва да предостави, и че тя не включва предоставяне на консулска закрила от самия ЕС.“</w:t>
      </w:r>
    </w:p>
    <w:p w:rsidR="00FC4670" w:rsidRPr="00DA5A7B" w:rsidRDefault="00FC4670" w:rsidP="00836248">
      <w:pPr>
        <w:pStyle w:val="FinalLine"/>
      </w:pPr>
      <w:bookmarkStart w:id="1" w:name="_GoBack"/>
      <w:bookmarkEnd w:id="1"/>
    </w:p>
    <w:sectPr w:rsidR="00FC4670" w:rsidRPr="00DA5A7B" w:rsidSect="00695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48" w:rsidRDefault="00836248" w:rsidP="00836248">
      <w:r>
        <w:separator/>
      </w:r>
    </w:p>
  </w:endnote>
  <w:endnote w:type="continuationSeparator" w:id="0">
    <w:p w:rsidR="00836248" w:rsidRDefault="00836248" w:rsidP="0083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91" w:rsidRPr="00695AD0" w:rsidRDefault="00E36991" w:rsidP="00695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95AD0" w:rsidRPr="00D94637" w:rsidTr="00695A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95AD0" w:rsidRPr="00D94637" w:rsidRDefault="00695A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95AD0" w:rsidRPr="00B310DC" w:rsidTr="00695A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95AD0" w:rsidRPr="00AD7BF2" w:rsidRDefault="00695AD0" w:rsidP="004F54B2">
          <w:pPr>
            <w:pStyle w:val="FooterText"/>
          </w:pPr>
          <w:r>
            <w:t>8125/15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95AD0" w:rsidRPr="00AD7BF2" w:rsidRDefault="00695AD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95AD0" w:rsidRPr="002511D8" w:rsidRDefault="00695AD0" w:rsidP="00D94637">
          <w:pPr>
            <w:pStyle w:val="FooterText"/>
            <w:jc w:val="center"/>
          </w:pPr>
          <w:r>
            <w:t>mc/MK/</w:t>
          </w:r>
          <w:proofErr w:type="spellStart"/>
          <w:r>
            <w:t>rg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95AD0" w:rsidRPr="00B310DC" w:rsidRDefault="00695AD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50ECA">
            <w:rPr>
              <w:noProof/>
            </w:rPr>
            <w:t>4</w:t>
          </w:r>
          <w:r>
            <w:fldChar w:fldCharType="end"/>
          </w:r>
        </w:p>
      </w:tc>
    </w:tr>
    <w:tr w:rsidR="00695AD0" w:rsidRPr="00D94637" w:rsidTr="00695AD0">
      <w:trPr>
        <w:jc w:val="center"/>
      </w:trPr>
      <w:tc>
        <w:tcPr>
          <w:tcW w:w="1774" w:type="pct"/>
          <w:shd w:val="clear" w:color="auto" w:fill="auto"/>
        </w:tcPr>
        <w:p w:rsidR="00695AD0" w:rsidRPr="00AD7BF2" w:rsidRDefault="00695A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95AD0" w:rsidRPr="00AD7BF2" w:rsidRDefault="00695AD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95AD0" w:rsidRPr="00D94637" w:rsidRDefault="00695A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95AD0" w:rsidRPr="00D94637" w:rsidRDefault="00695A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36248" w:rsidRPr="00695AD0" w:rsidRDefault="00836248" w:rsidP="00695AD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95AD0" w:rsidRPr="00D94637" w:rsidTr="00695A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95AD0" w:rsidRPr="00D94637" w:rsidRDefault="00695A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95AD0" w:rsidRPr="00B310DC" w:rsidTr="00695A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95AD0" w:rsidRPr="00AD7BF2" w:rsidRDefault="00695AD0" w:rsidP="004F54B2">
          <w:pPr>
            <w:pStyle w:val="FooterText"/>
          </w:pPr>
          <w:r>
            <w:t>8125/15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95AD0" w:rsidRPr="00AD7BF2" w:rsidRDefault="00695AD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95AD0" w:rsidRPr="002511D8" w:rsidRDefault="00695AD0" w:rsidP="00D94637">
          <w:pPr>
            <w:pStyle w:val="FooterText"/>
            <w:jc w:val="center"/>
          </w:pPr>
          <w:r>
            <w:t>mc/MK/</w:t>
          </w:r>
          <w:proofErr w:type="spellStart"/>
          <w:r>
            <w:t>rg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95AD0" w:rsidRPr="00B310DC" w:rsidRDefault="00695AD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50ECA">
            <w:rPr>
              <w:noProof/>
            </w:rPr>
            <w:t>1</w:t>
          </w:r>
          <w:r>
            <w:fldChar w:fldCharType="end"/>
          </w:r>
        </w:p>
      </w:tc>
    </w:tr>
    <w:tr w:rsidR="00695AD0" w:rsidRPr="00D94637" w:rsidTr="00695AD0">
      <w:trPr>
        <w:jc w:val="center"/>
      </w:trPr>
      <w:tc>
        <w:tcPr>
          <w:tcW w:w="1774" w:type="pct"/>
          <w:shd w:val="clear" w:color="auto" w:fill="auto"/>
        </w:tcPr>
        <w:p w:rsidR="00695AD0" w:rsidRPr="00AD7BF2" w:rsidRDefault="00695A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95AD0" w:rsidRPr="00AD7BF2" w:rsidRDefault="00695AD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95AD0" w:rsidRPr="00D94637" w:rsidRDefault="00695A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95AD0" w:rsidRPr="00D94637" w:rsidRDefault="00695A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36248" w:rsidRPr="00695AD0" w:rsidRDefault="00836248" w:rsidP="00695AD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48" w:rsidRDefault="00836248" w:rsidP="00836248">
      <w:r>
        <w:separator/>
      </w:r>
    </w:p>
  </w:footnote>
  <w:footnote w:type="continuationSeparator" w:id="0">
    <w:p w:rsidR="00836248" w:rsidRDefault="00836248" w:rsidP="00836248">
      <w:r>
        <w:continuationSeparator/>
      </w:r>
    </w:p>
  </w:footnote>
  <w:footnote w:id="1">
    <w:p w:rsidR="009A4A30" w:rsidRPr="00555D80" w:rsidRDefault="009A4A30" w:rsidP="009A4A3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 16, параграф 8 от Договора за Европейския съюз), други обсъждания, открити за обществеността, и открити дебати (член 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91" w:rsidRPr="00695AD0" w:rsidRDefault="00E36991" w:rsidP="00695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91" w:rsidRPr="00695AD0" w:rsidRDefault="00E36991" w:rsidP="00695AD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91" w:rsidRPr="00695AD0" w:rsidRDefault="00E36991" w:rsidP="00695AD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1"/>
  </w:num>
  <w:num w:numId="21">
    <w:abstractNumId w:val="27"/>
  </w:num>
  <w:num w:numId="22">
    <w:abstractNumId w:val="15"/>
  </w:num>
  <w:num w:numId="23">
    <w:abstractNumId w:val="23"/>
  </w:num>
  <w:num w:numId="24">
    <w:abstractNumId w:val="13"/>
  </w:num>
  <w:num w:numId="25">
    <w:abstractNumId w:val="28"/>
  </w:num>
  <w:num w:numId="26">
    <w:abstractNumId w:val="20"/>
  </w:num>
  <w:num w:numId="27">
    <w:abstractNumId w:val="22"/>
  </w:num>
  <w:num w:numId="28">
    <w:abstractNumId w:val="24"/>
  </w:num>
  <w:num w:numId="29">
    <w:abstractNumId w:val="19"/>
  </w:num>
  <w:num w:numId="30">
    <w:abstractNumId w:val="11"/>
  </w:num>
  <w:num w:numId="31">
    <w:abstractNumId w:val="25"/>
  </w:num>
  <w:num w:numId="32">
    <w:abstractNumId w:val="18"/>
  </w:num>
  <w:num w:numId="33">
    <w:abstractNumId w:val="14"/>
  </w:num>
  <w:num w:numId="34">
    <w:abstractNumId w:val="26"/>
  </w:num>
  <w:num w:numId="35">
    <w:abstractNumId w:val="16"/>
  </w:num>
  <w:num w:numId="36">
    <w:abstractNumId w:val="10"/>
  </w:num>
  <w:num w:numId="37">
    <w:abstractNumId w:val="1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65b13c4-4850-49ca-b47a-06f45c81ddf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0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12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19&lt;/text&gt;_x000d__x000a_      &lt;text&gt;RELEX 30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-&amp;#1088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42;&amp;#1066;&amp;#1053;&amp;#1064;&amp;#1053;&amp;#1048; &amp;#1056;&amp;#1040;&amp;#1041;&amp;#1054;&amp;#1058;&amp;#1048;), &amp;#1087;&amp;#1088;&amp;#1086;&amp;#1074;&amp;#1077;&amp;#1076;&amp;#1077;&amp;#1085;&amp;#1086; &amp;#1074; &amp;#1051;&amp;#1102;&amp;#1082;&amp;#1089;&amp;#1077;&amp;#1084;&amp;#1073;&amp;#1077;&amp;#1088;&amp;#1075; &amp;#1085;&amp;#1072; 20 &amp;#1072;&amp;#1087;&amp;#1088;&amp;#1080;&amp;#1083; 2015 &amp;#1075;.&quot;&gt;&amp;lt;FlowDocument FontFamily=&quot;Arial Unicode MS&quot; FontSize=&quot;12&quot; PageWidth=&quot;329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Weight=&quot;Bold&quot; xml:space=&quot;preserve&quot;&amp;gt;3382-&amp;#1088;&amp;#1086; &amp;lt;/Run&amp;gt;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Run FontWeight=&quot;Bold&quot; xml:space=&quot;preserve&quot;&amp;gt;(&amp;#1042;&amp;#1066;&amp;#1053;&amp;#1064;&amp;#1053;&amp;#1048; &amp;#1056;&amp;#1040;&amp;#1041;&amp;#1054;&amp;#1058;&amp;#1048;), &amp;lt;/Run&amp;gt;&amp;#1087;&amp;#1088;&amp;#1086;&amp;#1074;&amp;#1077;&amp;#1076;&amp;#1077;&amp;#1085;&amp;#1086; &amp;#1074; &amp;#1051;&amp;#1102;&amp;#1082;&amp;#1089;&amp;#1077;&amp;#1084;&amp;#1073;&amp;#1077;&amp;#1088;&amp;#1075; &amp;#1085;&amp;#1072; 20 &amp;#1072;&amp;#1087;&amp;#1088;&amp;#1080;&amp;#1083; 2015 &amp;#1075;.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c/MK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36248"/>
    <w:rsid w:val="00010C1D"/>
    <w:rsid w:val="00044BCE"/>
    <w:rsid w:val="000920CB"/>
    <w:rsid w:val="0009656C"/>
    <w:rsid w:val="00096948"/>
    <w:rsid w:val="00131D67"/>
    <w:rsid w:val="0014792F"/>
    <w:rsid w:val="00165755"/>
    <w:rsid w:val="00182F2F"/>
    <w:rsid w:val="00211B76"/>
    <w:rsid w:val="002A2AE8"/>
    <w:rsid w:val="002A3A72"/>
    <w:rsid w:val="003C6E8B"/>
    <w:rsid w:val="005157F5"/>
    <w:rsid w:val="0063379B"/>
    <w:rsid w:val="00695AD0"/>
    <w:rsid w:val="006A38C5"/>
    <w:rsid w:val="006C1AD4"/>
    <w:rsid w:val="006E33E2"/>
    <w:rsid w:val="006F4741"/>
    <w:rsid w:val="0075756A"/>
    <w:rsid w:val="007E04C3"/>
    <w:rsid w:val="00825503"/>
    <w:rsid w:val="00836248"/>
    <w:rsid w:val="00850ECA"/>
    <w:rsid w:val="008826F8"/>
    <w:rsid w:val="008F2530"/>
    <w:rsid w:val="00985E5A"/>
    <w:rsid w:val="009A4A30"/>
    <w:rsid w:val="00A469D7"/>
    <w:rsid w:val="00A66DBE"/>
    <w:rsid w:val="00BA6C67"/>
    <w:rsid w:val="00BE1373"/>
    <w:rsid w:val="00D451E4"/>
    <w:rsid w:val="00DA5A7B"/>
    <w:rsid w:val="00E36991"/>
    <w:rsid w:val="00EF7178"/>
    <w:rsid w:val="00F057D4"/>
    <w:rsid w:val="00F0598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3624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3624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3624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36248"/>
  </w:style>
  <w:style w:type="character" w:customStyle="1" w:styleId="FootnoteTextChar">
    <w:name w:val="Footnote Text Char"/>
    <w:basedOn w:val="DefaultParagraphFont"/>
    <w:rsid w:val="009A4A30"/>
    <w:rPr>
      <w:sz w:val="24"/>
      <w:lang w:val="bg-BG" w:eastAsia="bg-BG"/>
    </w:rPr>
  </w:style>
  <w:style w:type="character" w:customStyle="1" w:styleId="PointManualChar">
    <w:name w:val="Point Manual Char"/>
    <w:rsid w:val="009A4A30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92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95AD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6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6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6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6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6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0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1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2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3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4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0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1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2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3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4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5"/>
      </w:numPr>
    </w:pPr>
  </w:style>
  <w:style w:type="paragraph" w:customStyle="1" w:styleId="DashEqual1">
    <w:name w:val="Dash Equal 1"/>
    <w:basedOn w:val="Dash1"/>
    <w:rsid w:val="006E33E2"/>
    <w:pPr>
      <w:numPr>
        <w:numId w:val="26"/>
      </w:numPr>
    </w:pPr>
  </w:style>
  <w:style w:type="paragraph" w:customStyle="1" w:styleId="DashEqual2">
    <w:name w:val="Dash Equal 2"/>
    <w:basedOn w:val="Dash2"/>
    <w:rsid w:val="006E33E2"/>
    <w:pPr>
      <w:numPr>
        <w:numId w:val="27"/>
      </w:numPr>
    </w:pPr>
  </w:style>
  <w:style w:type="paragraph" w:customStyle="1" w:styleId="DashEqual3">
    <w:name w:val="Dash Equal 3"/>
    <w:basedOn w:val="Dash3"/>
    <w:rsid w:val="006E33E2"/>
    <w:pPr>
      <w:numPr>
        <w:numId w:val="28"/>
      </w:numPr>
    </w:pPr>
  </w:style>
  <w:style w:type="paragraph" w:customStyle="1" w:styleId="DashEqual4">
    <w:name w:val="Dash Equal 4"/>
    <w:basedOn w:val="Dash4"/>
    <w:rsid w:val="006E33E2"/>
    <w:pPr>
      <w:numPr>
        <w:numId w:val="29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7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8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3624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3624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3624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36248"/>
  </w:style>
  <w:style w:type="character" w:customStyle="1" w:styleId="FootnoteTextChar">
    <w:name w:val="Footnote Text Char"/>
    <w:basedOn w:val="DefaultParagraphFont"/>
    <w:rsid w:val="009A4A30"/>
    <w:rPr>
      <w:sz w:val="24"/>
      <w:lang w:val="bg-BG" w:eastAsia="bg-BG"/>
    </w:rPr>
  </w:style>
  <w:style w:type="character" w:customStyle="1" w:styleId="PointManualChar">
    <w:name w:val="Point Manual Char"/>
    <w:rsid w:val="009A4A30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92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95AD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6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6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6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6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6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0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1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2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3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4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0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1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2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3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4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5"/>
      </w:numPr>
    </w:pPr>
  </w:style>
  <w:style w:type="paragraph" w:customStyle="1" w:styleId="DashEqual1">
    <w:name w:val="Dash Equal 1"/>
    <w:basedOn w:val="Dash1"/>
    <w:rsid w:val="006E33E2"/>
    <w:pPr>
      <w:numPr>
        <w:numId w:val="26"/>
      </w:numPr>
    </w:pPr>
  </w:style>
  <w:style w:type="paragraph" w:customStyle="1" w:styleId="DashEqual2">
    <w:name w:val="Dash Equal 2"/>
    <w:basedOn w:val="Dash2"/>
    <w:rsid w:val="006E33E2"/>
    <w:pPr>
      <w:numPr>
        <w:numId w:val="27"/>
      </w:numPr>
    </w:pPr>
  </w:style>
  <w:style w:type="paragraph" w:customStyle="1" w:styleId="DashEqual3">
    <w:name w:val="Dash Equal 3"/>
    <w:basedOn w:val="Dash3"/>
    <w:rsid w:val="006E33E2"/>
    <w:pPr>
      <w:numPr>
        <w:numId w:val="28"/>
      </w:numPr>
    </w:pPr>
  </w:style>
  <w:style w:type="paragraph" w:customStyle="1" w:styleId="DashEqual4">
    <w:name w:val="Dash Equal 4"/>
    <w:basedOn w:val="Dash4"/>
    <w:rsid w:val="006E33E2"/>
    <w:pPr>
      <w:numPr>
        <w:numId w:val="29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7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8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GUSHEVA Rumyana</cp:lastModifiedBy>
  <cp:revision>3</cp:revision>
  <cp:lastPrinted>2015-05-08T10:44:00Z</cp:lastPrinted>
  <dcterms:created xsi:type="dcterms:W3CDTF">2015-05-19T15:10:00Z</dcterms:created>
  <dcterms:modified xsi:type="dcterms:W3CDTF">2015-05-19T15:10:00Z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