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989" w:rsidRPr="00951C4D" w:rsidRDefault="00951C4D" w:rsidP="00951C4D">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6f562f5c-53d4-4530-9f25-2657e955b169_0" style="width:568.55pt;height:285.95pt">
            <v:imagedata r:id="rId8" o:title=""/>
          </v:shape>
        </w:pict>
      </w:r>
      <w:bookmarkEnd w:id="0"/>
    </w:p>
    <w:p w:rsidR="009A4A30" w:rsidRPr="00EC20C2" w:rsidRDefault="009A4A30" w:rsidP="009A4A30">
      <w:pPr>
        <w:pStyle w:val="HeadingCentered"/>
        <w:spacing w:before="1200" w:after="1480"/>
      </w:pPr>
      <w:r w:rsidRPr="00EC20C2">
        <w:br w:type="page"/>
      </w:r>
      <w:r w:rsidRPr="00EC20C2">
        <w:lastRenderedPageBreak/>
        <w:t>POINTS EN DÉLIBÉRATION PUBLIQUE</w:t>
      </w:r>
      <w:r w:rsidRPr="00EC20C2">
        <w:rPr>
          <w:rStyle w:val="FootnoteReference"/>
        </w:rPr>
        <w:footnoteReference w:id="1"/>
      </w:r>
    </w:p>
    <w:p w:rsidR="009A4A30" w:rsidRPr="00EC20C2" w:rsidRDefault="009A4A30" w:rsidP="009A4A30">
      <w:pPr>
        <w:pStyle w:val="NormalRight"/>
        <w:spacing w:before="0"/>
        <w:rPr>
          <w:b/>
        </w:rPr>
      </w:pPr>
      <w:r w:rsidRPr="00EC20C2">
        <w:rPr>
          <w:b/>
        </w:rPr>
        <w:t>Page</w:t>
      </w:r>
    </w:p>
    <w:p w:rsidR="009A4A30" w:rsidRPr="00EC20C2" w:rsidRDefault="009A4A30" w:rsidP="009A4A30">
      <w:pPr>
        <w:pStyle w:val="HeadingLeft"/>
        <w:spacing w:before="120"/>
        <w:rPr>
          <w:u w:val="none"/>
        </w:rPr>
      </w:pPr>
      <w:r w:rsidRPr="00EC20C2">
        <w:rPr>
          <w:u w:val="none"/>
        </w:rPr>
        <w:t>DÉLIBÉRATIONS LÉGISLATIVES</w:t>
      </w:r>
    </w:p>
    <w:p w:rsidR="009A4A30" w:rsidRPr="00EC20C2" w:rsidRDefault="009A4A30" w:rsidP="009A4A30">
      <w:pPr>
        <w:spacing w:before="480"/>
        <w:rPr>
          <w:bCs/>
          <w:lang w:val="en-GB"/>
        </w:rPr>
      </w:pPr>
      <w:r w:rsidRPr="00EC20C2">
        <w:rPr>
          <w:u w:val="single"/>
          <w:lang w:val="en-GB"/>
        </w:rPr>
        <w:t>POINTS "A"</w:t>
      </w:r>
      <w:r w:rsidRPr="00EC20C2">
        <w:rPr>
          <w:lang w:val="en-GB"/>
        </w:rPr>
        <w:t xml:space="preserve"> (doc. 8088/15 PTS A 31)</w:t>
      </w:r>
    </w:p>
    <w:p w:rsidR="009A4A30" w:rsidRPr="00EC20C2" w:rsidRDefault="0014792F" w:rsidP="00A66DBE">
      <w:pPr>
        <w:pStyle w:val="PointManual"/>
        <w:tabs>
          <w:tab w:val="left" w:leader="dot" w:pos="9639"/>
        </w:tabs>
        <w:rPr>
          <w:bCs/>
        </w:rPr>
      </w:pPr>
      <w:r w:rsidRPr="00EC20C2">
        <w:t>-</w:t>
      </w:r>
      <w:r w:rsidRPr="00EC20C2">
        <w:tab/>
      </w:r>
      <w:r w:rsidRPr="00EC20C2">
        <w:rPr>
          <w:rFonts w:asciiTheme="majorBidi" w:hAnsiTheme="majorBidi" w:cstheme="majorBidi"/>
        </w:rPr>
        <w:t>Directive du Conseil établissant les mesures de coordination et de coopération nécessaires pour faciliter la protection consulaire des citoyens de l'Union non représentés dans des pays tiers et abrogeant la décision 95/553/CE</w:t>
      </w:r>
      <w:r w:rsidRPr="00EC20C2">
        <w:tab/>
        <w:t>3</w:t>
      </w:r>
    </w:p>
    <w:p w:rsidR="009A4A30" w:rsidRPr="00EC20C2" w:rsidRDefault="009A4A30" w:rsidP="009A4A30">
      <w:pPr>
        <w:pStyle w:val="NormalCentered"/>
        <w:spacing w:before="600"/>
      </w:pPr>
      <w:r w:rsidRPr="00EC20C2">
        <w:t>*</w:t>
      </w:r>
    </w:p>
    <w:p w:rsidR="009A4A30" w:rsidRPr="00EC20C2" w:rsidRDefault="009A4A30" w:rsidP="009A4A30">
      <w:pPr>
        <w:pStyle w:val="NormalCentered"/>
        <w:spacing w:before="120"/>
      </w:pPr>
      <w:r w:rsidRPr="00EC20C2">
        <w:t>*</w:t>
      </w:r>
      <w:r w:rsidRPr="00EC20C2">
        <w:tab/>
        <w:t>*</w:t>
      </w:r>
    </w:p>
    <w:p w:rsidR="009A4A30" w:rsidRPr="00EC20C2" w:rsidRDefault="00951C4D" w:rsidP="00951C4D">
      <w:pPr>
        <w:spacing w:before="240"/>
        <w:rPr>
          <w:b/>
          <w:u w:val="single"/>
        </w:rPr>
      </w:pPr>
      <w:r>
        <w:rPr>
          <w:b/>
          <w:u w:val="single"/>
        </w:rPr>
        <w:br w:type="page"/>
      </w:r>
      <w:r w:rsidR="009A4A30" w:rsidRPr="00EC20C2">
        <w:rPr>
          <w:b/>
          <w:u w:val="single"/>
        </w:rPr>
        <w:lastRenderedPageBreak/>
        <w:t>DÉLIBÉRATIONS LÉGISLATIVES</w:t>
      </w:r>
    </w:p>
    <w:p w:rsidR="009A4A30" w:rsidRPr="00EC20C2" w:rsidRDefault="009A4A30" w:rsidP="009A4A30">
      <w:pPr>
        <w:rPr>
          <w:b/>
          <w:i/>
          <w:iCs/>
        </w:rPr>
      </w:pPr>
      <w:r w:rsidRPr="00EC20C2">
        <w:rPr>
          <w:b/>
          <w:i/>
        </w:rPr>
        <w:t>(Délibération publique conformément à l'article 16, paragraphe 8, du traité sur l'Union européenne)</w:t>
      </w:r>
    </w:p>
    <w:p w:rsidR="00BA6C67" w:rsidRPr="00EC20C2" w:rsidRDefault="009A4A30" w:rsidP="009A4A30">
      <w:pPr>
        <w:spacing w:before="240"/>
        <w:rPr>
          <w:bCs/>
        </w:rPr>
      </w:pPr>
      <w:r w:rsidRPr="00EC20C2">
        <w:rPr>
          <w:u w:val="single"/>
        </w:rPr>
        <w:t>POINTS "A"</w:t>
      </w:r>
    </w:p>
    <w:p w:rsidR="002A3A72" w:rsidRPr="00EC20C2" w:rsidRDefault="002A3A72" w:rsidP="0014792F">
      <w:pPr>
        <w:pStyle w:val="PointManual"/>
        <w:rPr>
          <w:rFonts w:asciiTheme="majorBidi" w:hAnsiTheme="majorBidi" w:cstheme="majorBidi"/>
          <w:b/>
          <w:bCs/>
        </w:rPr>
      </w:pPr>
      <w:r w:rsidRPr="00EC20C2">
        <w:rPr>
          <w:b/>
          <w:noProof/>
        </w:rPr>
        <w:t>-</w:t>
      </w:r>
      <w:r w:rsidRPr="00EC20C2">
        <w:tab/>
      </w:r>
      <w:r w:rsidRPr="00EC20C2">
        <w:rPr>
          <w:rFonts w:asciiTheme="majorBidi" w:hAnsiTheme="majorBidi" w:cstheme="majorBidi"/>
          <w:b/>
        </w:rPr>
        <w:t>Directive du Conseil établissant les mesures de coordination et de coopération nécessaires pour faciliter la protection consulaire des citoyens de l'Union non représentés dans des pays tiers et abrogeant la décision 95/553/CE</w:t>
      </w:r>
    </w:p>
    <w:p w:rsidR="002A3A72" w:rsidRPr="00EC20C2" w:rsidRDefault="002A3A72" w:rsidP="002A3A72">
      <w:pPr>
        <w:pStyle w:val="Text3"/>
        <w:rPr>
          <w:lang w:val="es-ES"/>
        </w:rPr>
      </w:pPr>
      <w:r w:rsidRPr="00EC20C2">
        <w:rPr>
          <w:lang w:val="es-ES"/>
        </w:rPr>
        <w:t>7228/15 COCON 6 PESC 290 COTRA 3</w:t>
      </w:r>
    </w:p>
    <w:p w:rsidR="002A3A72" w:rsidRPr="00EC20C2" w:rsidRDefault="002A3A72" w:rsidP="002A3A72">
      <w:pPr>
        <w:pStyle w:val="Text4"/>
        <w:rPr>
          <w:lang w:val="es-ES"/>
        </w:rPr>
      </w:pPr>
      <w:r w:rsidRPr="00EC20C2">
        <w:rPr>
          <w:lang w:val="es-ES"/>
        </w:rPr>
        <w:t>+ COR 1 (</w:t>
      </w:r>
      <w:proofErr w:type="spellStart"/>
      <w:r w:rsidRPr="00EC20C2">
        <w:rPr>
          <w:lang w:val="es-ES"/>
        </w:rPr>
        <w:t>hu</w:t>
      </w:r>
      <w:proofErr w:type="spellEnd"/>
      <w:r w:rsidRPr="00EC20C2">
        <w:rPr>
          <w:lang w:val="es-ES"/>
        </w:rPr>
        <w:t>)</w:t>
      </w:r>
    </w:p>
    <w:p w:rsidR="002A3A72" w:rsidRPr="00EC20C2" w:rsidRDefault="002A3A72" w:rsidP="002A3A72">
      <w:pPr>
        <w:pStyle w:val="Text4"/>
        <w:rPr>
          <w:lang w:val="es-ES"/>
        </w:rPr>
      </w:pPr>
      <w:r w:rsidRPr="00EC20C2">
        <w:rPr>
          <w:lang w:val="es-ES"/>
        </w:rPr>
        <w:t>+ REV 1 (ro)</w:t>
      </w:r>
    </w:p>
    <w:p w:rsidR="00836248" w:rsidRPr="00EC20C2" w:rsidRDefault="0014792F" w:rsidP="00A66DBE">
      <w:pPr>
        <w:pStyle w:val="Text1"/>
        <w:spacing w:before="200" w:line="360" w:lineRule="auto"/>
      </w:pPr>
      <w:r w:rsidRPr="00EC20C2">
        <w:rPr>
          <w:u w:val="single"/>
        </w:rPr>
        <w:t>Le Conseil</w:t>
      </w:r>
      <w:r w:rsidRPr="00EC20C2">
        <w:t xml:space="preserve"> a adopté la directive du Conseil susmentionnée, </w:t>
      </w:r>
      <w:r w:rsidRPr="00EC20C2">
        <w:rPr>
          <w:u w:val="single"/>
        </w:rPr>
        <w:t xml:space="preserve">les délégations de la République tchèque et du Royaume-Uni </w:t>
      </w:r>
      <w:r w:rsidRPr="00EC20C2">
        <w:t>s'abstenant. (Base juridique: article 23 du traité sur le fonctionnement de l'Union européenne)</w:t>
      </w:r>
    </w:p>
    <w:p w:rsidR="00F05989" w:rsidRPr="00EC20C2" w:rsidRDefault="00F05989" w:rsidP="00F05989">
      <w:pPr>
        <w:pStyle w:val="Text1"/>
        <w:spacing w:before="480"/>
        <w:rPr>
          <w:b/>
          <w:bCs/>
          <w:u w:val="single"/>
        </w:rPr>
      </w:pPr>
      <w:r w:rsidRPr="00EC20C2">
        <w:rPr>
          <w:b/>
          <w:u w:val="single"/>
        </w:rPr>
        <w:t>Déclaration de la Belgique</w:t>
      </w:r>
    </w:p>
    <w:p w:rsidR="00F05989" w:rsidRPr="00EC20C2" w:rsidRDefault="00F05989" w:rsidP="00F05989">
      <w:pPr>
        <w:pStyle w:val="Text1"/>
        <w:spacing w:before="240"/>
      </w:pPr>
      <w:r w:rsidRPr="00EC20C2">
        <w:t>"La Belgique a toujours soutenu le principe d'une meilleure coordination européenne en matière d'assistance consulaire. Cette assistance consulaire est entre autres prévue tant à l'article 23 TFUE qu'à l'article 46 de la Charte des droits fondamentaux. La Belgique a, dans ce contexte, soutenu le principe d'une directive portant sur l'assistance consulaire des citoyens de l'Union à l'étranger qui soit réaliste et pragmatique.</w:t>
      </w:r>
    </w:p>
    <w:p w:rsidR="00F05989" w:rsidRPr="00EC20C2" w:rsidRDefault="00F05989" w:rsidP="00F05989">
      <w:pPr>
        <w:pStyle w:val="Text1"/>
        <w:spacing w:before="240"/>
      </w:pPr>
      <w:r w:rsidRPr="00EC20C2">
        <w:t>La Belgique ne s'opposera pas à l'adoption de la directive. Toutefois, un certain nombre de ses dispositions lui font craindre que son objectif final ne soit pas atteint.</w:t>
      </w:r>
    </w:p>
    <w:p w:rsidR="00F05989" w:rsidRPr="00EC20C2" w:rsidRDefault="00F05989" w:rsidP="00F05989">
      <w:pPr>
        <w:pStyle w:val="Text1"/>
        <w:spacing w:before="240"/>
      </w:pPr>
      <w:r w:rsidRPr="00EC20C2">
        <w:t>La Belgique estime ainsi que le caractère juridiquement obligatoire de la directive aurait justifié au préalable des arrangements plus précis sur les modalités de remboursement prévues à l'article 14. Sans préjudice de la directive 2004/38 , elle s'interroge aussi sur l'articulation entre l'objectif de la directive dans son article 5 et les règles nationales régissant l'accès au territoire. Elle regrette enfin que la directive n'ait pas prévu un rôle plus important pour les délégations de l'Union européenne.</w:t>
      </w:r>
    </w:p>
    <w:p w:rsidR="00F05989" w:rsidRPr="00EC20C2" w:rsidRDefault="00F05989" w:rsidP="00F05989">
      <w:pPr>
        <w:pStyle w:val="Text1"/>
        <w:spacing w:before="240"/>
      </w:pPr>
      <w:r w:rsidRPr="00EC20C2">
        <w:t>La Belgique interprète par ailleurs l'article 3 comme permettant à tout État membre de décider d'assurer lui- même l'assistance consulaire à l'égard de ses citoyens et des membres de la famille les accompagnant dans les pays tiers où il n'a pas de représentation et de définir, dans ce cadre, le niveau de l'assistance consulaire au regard des moyens budgétaires disponibles.</w:t>
      </w:r>
    </w:p>
    <w:p w:rsidR="00A66DBE" w:rsidRPr="00EC20C2" w:rsidRDefault="00F05989" w:rsidP="00F05989">
      <w:pPr>
        <w:pStyle w:val="Text1"/>
        <w:spacing w:before="240"/>
      </w:pPr>
      <w:r w:rsidRPr="00EC20C2">
        <w:t>Elle estime que ces questions devront, à la lumière de l'expérience qui pourra être tirée de l'application de la directive, être réexaminées à l'occasion de l'évaluation prévue à l'article 19 de la directive."</w:t>
      </w:r>
    </w:p>
    <w:p w:rsidR="00A66DBE" w:rsidRPr="00EC20C2" w:rsidRDefault="00951C4D" w:rsidP="00951C4D">
      <w:pPr>
        <w:pStyle w:val="Text1"/>
        <w:spacing w:before="480"/>
        <w:rPr>
          <w:b/>
          <w:bCs/>
          <w:u w:val="single"/>
        </w:rPr>
      </w:pPr>
      <w:r>
        <w:rPr>
          <w:b/>
          <w:u w:val="single"/>
        </w:rPr>
        <w:br w:type="page"/>
      </w:r>
      <w:r w:rsidR="00A66DBE" w:rsidRPr="00EC20C2">
        <w:rPr>
          <w:b/>
          <w:u w:val="single"/>
        </w:rPr>
        <w:t>Déclaration de l'Espagne</w:t>
      </w:r>
    </w:p>
    <w:p w:rsidR="00BA6C67" w:rsidRPr="00EC20C2" w:rsidRDefault="00A66DBE" w:rsidP="00A66DBE">
      <w:pPr>
        <w:pStyle w:val="Text1"/>
        <w:spacing w:before="240"/>
      </w:pPr>
      <w:r w:rsidRPr="00EC20C2">
        <w:t>"L'Espagne peut approuver l'adoption de la directive du Conseil établissant les mesures de coordination et de coopération nécessaires pour faciliter la protection consulaire des citoyens de l'Union non représentés dans des pays tiers et abrogeant la décision 95/553/CE, étant entendu que le réexamen mentionné à l'article 19, paragraphe 2, permettra de déterminer, sur la base de données statistiques et exemples concrets pertinents, si un partage adéquat de la charge a eu lieu entre les États membres, et s'attaquera aux éventuels déséquilibres survenus.</w:t>
      </w:r>
    </w:p>
    <w:p w:rsidR="00BA6C67" w:rsidRPr="00EC20C2" w:rsidRDefault="00A66DBE" w:rsidP="00A66DBE">
      <w:pPr>
        <w:pStyle w:val="Text1"/>
        <w:spacing w:before="240"/>
      </w:pPr>
      <w:r w:rsidRPr="00EC20C2">
        <w:t>L'Espagne estime que le réexamen devrait évaluer la manière dont la directive a été appliquée et ses effets sur le réseau consulaire des États membres, en particulier en ce qui concerne leurs ressources financières et humaines, ainsi que la nécessité de mesures supplémentaires.</w:t>
      </w:r>
    </w:p>
    <w:p w:rsidR="00A66DBE" w:rsidRPr="00EC20C2" w:rsidRDefault="00A66DBE" w:rsidP="00A66DBE">
      <w:pPr>
        <w:pStyle w:val="Text1"/>
        <w:spacing w:before="240"/>
      </w:pPr>
      <w:r w:rsidRPr="00EC20C2">
        <w:t>En outre, l'Espagne rappelle que les États membres représentés devraient, si nécessaire, convenir d'arrangements pratiques au niveau local, afin qu'un partage adéquat de la charge soit assuré concernant la protection des citoyens non représentés."</w:t>
      </w:r>
    </w:p>
    <w:p w:rsidR="00A66DBE" w:rsidRPr="00EC20C2" w:rsidRDefault="00A66DBE" w:rsidP="00A66DBE">
      <w:pPr>
        <w:pStyle w:val="Text1"/>
        <w:spacing w:before="480"/>
        <w:rPr>
          <w:b/>
          <w:bCs/>
          <w:u w:val="single"/>
        </w:rPr>
      </w:pPr>
      <w:r w:rsidRPr="00EC20C2">
        <w:rPr>
          <w:b/>
          <w:u w:val="single"/>
        </w:rPr>
        <w:t>Déclaration du Royaume-Uni</w:t>
      </w:r>
    </w:p>
    <w:p w:rsidR="00A66DBE" w:rsidRPr="00EC20C2" w:rsidRDefault="00A66DBE" w:rsidP="00A66DBE">
      <w:pPr>
        <w:pStyle w:val="Text1"/>
        <w:spacing w:before="240"/>
      </w:pPr>
      <w:r w:rsidRPr="00EC20C2">
        <w:t>"Le Royaume-Uni souhaite faire acter son point de vue selon lequel l'assistance consulaire et la protection consulaire relèvent des États membres et que ce sont eux qui doivent définir la manière d'exécuter leurs obligations. Le Royaume-uni considère que la directive du Conseil "établissant les mesures de coordination et de coopération nécessaires pour faciliter la protection consulaire des citoyens de l'Union non représentés dans des pays tiers" n'a aucune incidence sur cette position.</w:t>
      </w:r>
    </w:p>
    <w:p w:rsidR="00A66DBE" w:rsidRPr="00EC20C2" w:rsidRDefault="00A66DBE" w:rsidP="00A66DBE">
      <w:pPr>
        <w:pStyle w:val="Text1"/>
        <w:spacing w:before="240"/>
      </w:pPr>
      <w:r w:rsidRPr="00EC20C2">
        <w:t>En outre, le Royaume-Uni estime que l'article 23 du traité sur le fonctionnement de l'Union européenne énonce que le rôle de l'UE se limite à établir les mesures de coordination et de coopération nécessaires pour faciliter la protection consulaire des citoyens de l'Union.</w:t>
      </w:r>
    </w:p>
    <w:p w:rsidR="00A66DBE" w:rsidRPr="00EC20C2" w:rsidRDefault="00A66DBE" w:rsidP="00A66DBE">
      <w:pPr>
        <w:pStyle w:val="Text1"/>
        <w:spacing w:before="240"/>
      </w:pPr>
      <w:r w:rsidRPr="00EC20C2">
        <w:t>Pour dissiper tout doute, la position du Royaume-Uni est que la directive ne comprend aucune prescription relative au niveau de protection qu'un État membre doit accorder et n'impose à l'UE aucune obligation d'assurer une protection consulaire."</w:t>
      </w:r>
    </w:p>
    <w:p w:rsidR="00FC4670" w:rsidRPr="00841FC1" w:rsidRDefault="00FC4670" w:rsidP="00951C4D">
      <w:pPr>
        <w:pStyle w:val="FinalLine"/>
        <w:spacing w:before="600"/>
        <w:ind w:left="3402" w:right="3402"/>
      </w:pPr>
    </w:p>
    <w:sectPr w:rsidR="00FC4670" w:rsidRPr="00841FC1" w:rsidSect="00EC20C2">
      <w:footerReference w:type="default" r:id="rId9"/>
      <w:footerReference w:type="first" r:id="rId10"/>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48" w:rsidRDefault="00836248" w:rsidP="00836248">
      <w:r>
        <w:separator/>
      </w:r>
    </w:p>
  </w:endnote>
  <w:endnote w:type="continuationSeparator" w:id="0">
    <w:p w:rsidR="00836248" w:rsidRDefault="00836248" w:rsidP="0083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C20C2" w:rsidRPr="00D94637" w:rsidTr="00EC20C2">
      <w:trPr>
        <w:jc w:val="center"/>
      </w:trPr>
      <w:tc>
        <w:tcPr>
          <w:tcW w:w="5000" w:type="pct"/>
          <w:gridSpan w:val="7"/>
          <w:shd w:val="clear" w:color="auto" w:fill="auto"/>
          <w:tcMar>
            <w:top w:w="57" w:type="dxa"/>
          </w:tcMar>
        </w:tcPr>
        <w:p w:rsidR="00EC20C2" w:rsidRPr="00D94637" w:rsidRDefault="00EC20C2" w:rsidP="00D94637">
          <w:pPr>
            <w:pStyle w:val="FooterText"/>
            <w:pBdr>
              <w:top w:val="single" w:sz="4" w:space="1" w:color="auto"/>
            </w:pBdr>
            <w:spacing w:before="200"/>
            <w:rPr>
              <w:sz w:val="2"/>
              <w:szCs w:val="2"/>
            </w:rPr>
          </w:pPr>
          <w:bookmarkStart w:id="2" w:name="FOOTER_STANDARD"/>
        </w:p>
      </w:tc>
    </w:tr>
    <w:tr w:rsidR="00EC20C2" w:rsidRPr="00B310DC" w:rsidTr="00EC20C2">
      <w:trPr>
        <w:jc w:val="center"/>
      </w:trPr>
      <w:tc>
        <w:tcPr>
          <w:tcW w:w="2500" w:type="pct"/>
          <w:gridSpan w:val="2"/>
          <w:shd w:val="clear" w:color="auto" w:fill="auto"/>
          <w:tcMar>
            <w:top w:w="0" w:type="dxa"/>
          </w:tcMar>
        </w:tcPr>
        <w:p w:rsidR="00EC20C2" w:rsidRPr="00AD7BF2" w:rsidRDefault="00EC20C2" w:rsidP="004F54B2">
          <w:pPr>
            <w:pStyle w:val="FooterText"/>
          </w:pPr>
          <w:r>
            <w:t>8125/15</w:t>
          </w:r>
          <w:r w:rsidRPr="002511D8">
            <w:t xml:space="preserve"> </w:t>
          </w:r>
          <w:r>
            <w:t>ADD 1</w:t>
          </w:r>
        </w:p>
      </w:tc>
      <w:tc>
        <w:tcPr>
          <w:tcW w:w="625" w:type="pct"/>
          <w:shd w:val="clear" w:color="auto" w:fill="auto"/>
          <w:tcMar>
            <w:top w:w="0" w:type="dxa"/>
          </w:tcMar>
        </w:tcPr>
        <w:p w:rsidR="00EC20C2" w:rsidRPr="00AD7BF2" w:rsidRDefault="00EC20C2" w:rsidP="00D94637">
          <w:pPr>
            <w:pStyle w:val="FooterText"/>
            <w:jc w:val="center"/>
          </w:pPr>
        </w:p>
      </w:tc>
      <w:tc>
        <w:tcPr>
          <w:tcW w:w="1287" w:type="pct"/>
          <w:gridSpan w:val="3"/>
          <w:shd w:val="clear" w:color="auto" w:fill="auto"/>
          <w:tcMar>
            <w:top w:w="0" w:type="dxa"/>
          </w:tcMar>
        </w:tcPr>
        <w:p w:rsidR="00EC20C2" w:rsidRPr="002511D8" w:rsidRDefault="00EC20C2" w:rsidP="00D94637">
          <w:pPr>
            <w:pStyle w:val="FooterText"/>
            <w:jc w:val="center"/>
          </w:pPr>
        </w:p>
      </w:tc>
      <w:tc>
        <w:tcPr>
          <w:tcW w:w="588" w:type="pct"/>
          <w:shd w:val="clear" w:color="auto" w:fill="auto"/>
          <w:tcMar>
            <w:top w:w="0" w:type="dxa"/>
          </w:tcMar>
        </w:tcPr>
        <w:p w:rsidR="00EC20C2" w:rsidRPr="00B310DC" w:rsidRDefault="00EC20C2" w:rsidP="00D94637">
          <w:pPr>
            <w:pStyle w:val="FooterText"/>
            <w:jc w:val="right"/>
          </w:pPr>
          <w:r>
            <w:fldChar w:fldCharType="begin"/>
          </w:r>
          <w:r>
            <w:instrText xml:space="preserve"> PAGE  \* MERGEFORMAT </w:instrText>
          </w:r>
          <w:r>
            <w:fldChar w:fldCharType="separate"/>
          </w:r>
          <w:r w:rsidR="00951C4D">
            <w:rPr>
              <w:noProof/>
            </w:rPr>
            <w:t>2</w:t>
          </w:r>
          <w:r>
            <w:fldChar w:fldCharType="end"/>
          </w:r>
        </w:p>
      </w:tc>
    </w:tr>
    <w:tr w:rsidR="00EC20C2" w:rsidRPr="00D94637" w:rsidTr="00EC20C2">
      <w:trPr>
        <w:jc w:val="center"/>
      </w:trPr>
      <w:tc>
        <w:tcPr>
          <w:tcW w:w="1774" w:type="pct"/>
          <w:shd w:val="clear" w:color="auto" w:fill="auto"/>
        </w:tcPr>
        <w:p w:rsidR="00EC20C2" w:rsidRPr="00AD7BF2" w:rsidRDefault="00EC20C2" w:rsidP="00D94637">
          <w:pPr>
            <w:pStyle w:val="FooterText"/>
            <w:spacing w:before="40"/>
          </w:pPr>
        </w:p>
      </w:tc>
      <w:tc>
        <w:tcPr>
          <w:tcW w:w="1455" w:type="pct"/>
          <w:gridSpan w:val="3"/>
          <w:shd w:val="clear" w:color="auto" w:fill="auto"/>
        </w:tcPr>
        <w:p w:rsidR="00EC20C2" w:rsidRPr="00AD7BF2" w:rsidRDefault="00EC20C2" w:rsidP="00D204D6">
          <w:pPr>
            <w:pStyle w:val="FooterText"/>
            <w:spacing w:before="40"/>
            <w:jc w:val="center"/>
          </w:pPr>
          <w:r>
            <w:t>DPG</w:t>
          </w:r>
        </w:p>
      </w:tc>
      <w:tc>
        <w:tcPr>
          <w:tcW w:w="1147" w:type="pct"/>
          <w:shd w:val="clear" w:color="auto" w:fill="auto"/>
        </w:tcPr>
        <w:p w:rsidR="00EC20C2" w:rsidRPr="00D94637" w:rsidRDefault="00EC20C2" w:rsidP="00D94637">
          <w:pPr>
            <w:pStyle w:val="FooterText"/>
            <w:jc w:val="right"/>
            <w:rPr>
              <w:b/>
              <w:position w:val="-4"/>
              <w:sz w:val="36"/>
            </w:rPr>
          </w:pPr>
        </w:p>
      </w:tc>
      <w:tc>
        <w:tcPr>
          <w:tcW w:w="625" w:type="pct"/>
          <w:gridSpan w:val="2"/>
          <w:shd w:val="clear" w:color="auto" w:fill="auto"/>
        </w:tcPr>
        <w:p w:rsidR="00EC20C2" w:rsidRPr="00D94637" w:rsidRDefault="00EC20C2" w:rsidP="00D94637">
          <w:pPr>
            <w:pStyle w:val="FooterText"/>
            <w:jc w:val="right"/>
            <w:rPr>
              <w:sz w:val="16"/>
            </w:rPr>
          </w:pPr>
          <w:r>
            <w:rPr>
              <w:b/>
              <w:position w:val="-4"/>
              <w:sz w:val="36"/>
            </w:rPr>
            <w:t>FR</w:t>
          </w:r>
        </w:p>
      </w:tc>
    </w:tr>
    <w:bookmarkEnd w:id="2"/>
  </w:tbl>
  <w:p w:rsidR="00836248" w:rsidRPr="00EC20C2" w:rsidRDefault="00836248" w:rsidP="00EC20C2">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EC20C2" w:rsidRPr="00D94637" w:rsidTr="00EC20C2">
      <w:trPr>
        <w:jc w:val="center"/>
      </w:trPr>
      <w:tc>
        <w:tcPr>
          <w:tcW w:w="5000" w:type="pct"/>
          <w:gridSpan w:val="7"/>
          <w:shd w:val="clear" w:color="auto" w:fill="auto"/>
          <w:tcMar>
            <w:top w:w="57" w:type="dxa"/>
          </w:tcMar>
        </w:tcPr>
        <w:p w:rsidR="00EC20C2" w:rsidRPr="00D94637" w:rsidRDefault="00EC20C2" w:rsidP="00D94637">
          <w:pPr>
            <w:pStyle w:val="FooterText"/>
            <w:pBdr>
              <w:top w:val="single" w:sz="4" w:space="1" w:color="auto"/>
            </w:pBdr>
            <w:spacing w:before="200"/>
            <w:rPr>
              <w:sz w:val="2"/>
              <w:szCs w:val="2"/>
            </w:rPr>
          </w:pPr>
        </w:p>
      </w:tc>
    </w:tr>
    <w:tr w:rsidR="00EC20C2" w:rsidRPr="00B310DC" w:rsidTr="00EC20C2">
      <w:trPr>
        <w:jc w:val="center"/>
      </w:trPr>
      <w:tc>
        <w:tcPr>
          <w:tcW w:w="2500" w:type="pct"/>
          <w:gridSpan w:val="2"/>
          <w:shd w:val="clear" w:color="auto" w:fill="auto"/>
          <w:tcMar>
            <w:top w:w="0" w:type="dxa"/>
          </w:tcMar>
        </w:tcPr>
        <w:p w:rsidR="00EC20C2" w:rsidRPr="00AD7BF2" w:rsidRDefault="00EC20C2" w:rsidP="004F54B2">
          <w:pPr>
            <w:pStyle w:val="FooterText"/>
          </w:pPr>
          <w:r>
            <w:t>8125/15</w:t>
          </w:r>
          <w:r w:rsidRPr="002511D8">
            <w:t xml:space="preserve"> </w:t>
          </w:r>
          <w:r>
            <w:t>ADD 1</w:t>
          </w:r>
        </w:p>
      </w:tc>
      <w:tc>
        <w:tcPr>
          <w:tcW w:w="625" w:type="pct"/>
          <w:shd w:val="clear" w:color="auto" w:fill="auto"/>
          <w:tcMar>
            <w:top w:w="0" w:type="dxa"/>
          </w:tcMar>
        </w:tcPr>
        <w:p w:rsidR="00EC20C2" w:rsidRPr="00AD7BF2" w:rsidRDefault="00EC20C2" w:rsidP="00D94637">
          <w:pPr>
            <w:pStyle w:val="FooterText"/>
            <w:jc w:val="center"/>
          </w:pPr>
        </w:p>
      </w:tc>
      <w:tc>
        <w:tcPr>
          <w:tcW w:w="1287" w:type="pct"/>
          <w:gridSpan w:val="3"/>
          <w:shd w:val="clear" w:color="auto" w:fill="auto"/>
          <w:tcMar>
            <w:top w:w="0" w:type="dxa"/>
          </w:tcMar>
        </w:tcPr>
        <w:p w:rsidR="00EC20C2" w:rsidRPr="002511D8" w:rsidRDefault="00EC20C2" w:rsidP="00D94637">
          <w:pPr>
            <w:pStyle w:val="FooterText"/>
            <w:jc w:val="center"/>
          </w:pPr>
        </w:p>
      </w:tc>
      <w:tc>
        <w:tcPr>
          <w:tcW w:w="588" w:type="pct"/>
          <w:shd w:val="clear" w:color="auto" w:fill="auto"/>
          <w:tcMar>
            <w:top w:w="0" w:type="dxa"/>
          </w:tcMar>
        </w:tcPr>
        <w:p w:rsidR="00EC20C2" w:rsidRPr="00B310DC" w:rsidRDefault="00EC20C2" w:rsidP="00D94637">
          <w:pPr>
            <w:pStyle w:val="FooterText"/>
            <w:jc w:val="right"/>
          </w:pPr>
          <w:r>
            <w:fldChar w:fldCharType="begin"/>
          </w:r>
          <w:r>
            <w:instrText xml:space="preserve"> PAGE  \* MERGEFORMAT </w:instrText>
          </w:r>
          <w:r>
            <w:fldChar w:fldCharType="separate"/>
          </w:r>
          <w:r w:rsidR="00951C4D">
            <w:rPr>
              <w:noProof/>
            </w:rPr>
            <w:t>1</w:t>
          </w:r>
          <w:r>
            <w:fldChar w:fldCharType="end"/>
          </w:r>
        </w:p>
      </w:tc>
    </w:tr>
    <w:tr w:rsidR="00EC20C2" w:rsidRPr="00D94637" w:rsidTr="00EC20C2">
      <w:trPr>
        <w:jc w:val="center"/>
      </w:trPr>
      <w:tc>
        <w:tcPr>
          <w:tcW w:w="1774" w:type="pct"/>
          <w:shd w:val="clear" w:color="auto" w:fill="auto"/>
        </w:tcPr>
        <w:p w:rsidR="00EC20C2" w:rsidRPr="00AD7BF2" w:rsidRDefault="00EC20C2" w:rsidP="00D94637">
          <w:pPr>
            <w:pStyle w:val="FooterText"/>
            <w:spacing w:before="40"/>
          </w:pPr>
        </w:p>
      </w:tc>
      <w:tc>
        <w:tcPr>
          <w:tcW w:w="1455" w:type="pct"/>
          <w:gridSpan w:val="3"/>
          <w:shd w:val="clear" w:color="auto" w:fill="auto"/>
        </w:tcPr>
        <w:p w:rsidR="00EC20C2" w:rsidRPr="00AD7BF2" w:rsidRDefault="00EC20C2" w:rsidP="00D204D6">
          <w:pPr>
            <w:pStyle w:val="FooterText"/>
            <w:spacing w:before="40"/>
            <w:jc w:val="center"/>
          </w:pPr>
          <w:r>
            <w:t>DPG</w:t>
          </w:r>
        </w:p>
      </w:tc>
      <w:tc>
        <w:tcPr>
          <w:tcW w:w="1147" w:type="pct"/>
          <w:shd w:val="clear" w:color="auto" w:fill="auto"/>
        </w:tcPr>
        <w:p w:rsidR="00EC20C2" w:rsidRPr="00D94637" w:rsidRDefault="00EC20C2" w:rsidP="00D94637">
          <w:pPr>
            <w:pStyle w:val="FooterText"/>
            <w:jc w:val="right"/>
            <w:rPr>
              <w:b/>
              <w:position w:val="-4"/>
              <w:sz w:val="36"/>
            </w:rPr>
          </w:pPr>
        </w:p>
      </w:tc>
      <w:tc>
        <w:tcPr>
          <w:tcW w:w="625" w:type="pct"/>
          <w:gridSpan w:val="2"/>
          <w:shd w:val="clear" w:color="auto" w:fill="auto"/>
        </w:tcPr>
        <w:p w:rsidR="00EC20C2" w:rsidRPr="00D94637" w:rsidRDefault="00EC20C2" w:rsidP="00D94637">
          <w:pPr>
            <w:pStyle w:val="FooterText"/>
            <w:jc w:val="right"/>
            <w:rPr>
              <w:sz w:val="16"/>
            </w:rPr>
          </w:pPr>
          <w:r>
            <w:rPr>
              <w:b/>
              <w:position w:val="-4"/>
              <w:sz w:val="36"/>
            </w:rPr>
            <w:t>FR</w:t>
          </w:r>
        </w:p>
      </w:tc>
    </w:tr>
  </w:tbl>
  <w:p w:rsidR="00836248" w:rsidRPr="00EC20C2" w:rsidRDefault="00836248" w:rsidP="00EC20C2">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248" w:rsidRDefault="00836248" w:rsidP="00836248">
      <w:r>
        <w:separator/>
      </w:r>
    </w:p>
  </w:footnote>
  <w:footnote w:type="continuationSeparator" w:id="0">
    <w:p w:rsidR="00836248" w:rsidRDefault="00836248" w:rsidP="00836248">
      <w:r>
        <w:continuationSeparator/>
      </w:r>
    </w:p>
  </w:footnote>
  <w:footnote w:id="1">
    <w:p w:rsidR="009A4A30" w:rsidRPr="00362C0A" w:rsidRDefault="009A4A30" w:rsidP="009A4A30">
      <w:pPr>
        <w:pStyle w:val="FootnoteText"/>
        <w:rPr>
          <w:lang w:val="fr-BE"/>
        </w:rPr>
      </w:pPr>
      <w:r>
        <w:rPr>
          <w:rStyle w:val="FootnoteReference"/>
        </w:rPr>
        <w:footnoteRef/>
      </w:r>
      <w:r>
        <w:tab/>
        <w:t>Délibérations sur les actes législatifs de l'Union (article 16, paragraphe 8, du TUE), autres délibérations ouvertes au public et débats publics (article 8 du règlement intérieur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4">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5">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6">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9">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0">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1">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2">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3">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4">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5">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6">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7">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28">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1"/>
  </w:num>
  <w:num w:numId="2">
    <w:abstractNumId w:val="27"/>
  </w:num>
  <w:num w:numId="3">
    <w:abstractNumId w:val="15"/>
  </w:num>
  <w:num w:numId="4">
    <w:abstractNumId w:val="23"/>
  </w:num>
  <w:num w:numId="5">
    <w:abstractNumId w:val="13"/>
  </w:num>
  <w:num w:numId="6">
    <w:abstractNumId w:val="28"/>
  </w:num>
  <w:num w:numId="7">
    <w:abstractNumId w:val="20"/>
  </w:num>
  <w:num w:numId="8">
    <w:abstractNumId w:val="22"/>
  </w:num>
  <w:num w:numId="9">
    <w:abstractNumId w:val="24"/>
  </w:num>
  <w:num w:numId="10">
    <w:abstractNumId w:val="19"/>
  </w:num>
  <w:num w:numId="11">
    <w:abstractNumId w:val="11"/>
  </w:num>
  <w:num w:numId="12">
    <w:abstractNumId w:val="25"/>
  </w:num>
  <w:num w:numId="13">
    <w:abstractNumId w:val="18"/>
  </w:num>
  <w:num w:numId="14">
    <w:abstractNumId w:val="14"/>
  </w:num>
  <w:num w:numId="15">
    <w:abstractNumId w:val="26"/>
  </w:num>
  <w:num w:numId="16">
    <w:abstractNumId w:val="16"/>
  </w:num>
  <w:num w:numId="17">
    <w:abstractNumId w:val="10"/>
  </w:num>
  <w:num w:numId="18">
    <w:abstractNumId w:val="12"/>
  </w:num>
  <w:num w:numId="19">
    <w:abstractNumId w:val="17"/>
  </w:num>
  <w:num w:numId="20">
    <w:abstractNumId w:val="21"/>
  </w:num>
  <w:num w:numId="21">
    <w:abstractNumId w:val="27"/>
  </w:num>
  <w:num w:numId="22">
    <w:abstractNumId w:val="15"/>
  </w:num>
  <w:num w:numId="23">
    <w:abstractNumId w:val="23"/>
  </w:num>
  <w:num w:numId="24">
    <w:abstractNumId w:val="13"/>
  </w:num>
  <w:num w:numId="25">
    <w:abstractNumId w:val="28"/>
  </w:num>
  <w:num w:numId="26">
    <w:abstractNumId w:val="20"/>
  </w:num>
  <w:num w:numId="27">
    <w:abstractNumId w:val="22"/>
  </w:num>
  <w:num w:numId="28">
    <w:abstractNumId w:val="24"/>
  </w:num>
  <w:num w:numId="29">
    <w:abstractNumId w:val="19"/>
  </w:num>
  <w:num w:numId="30">
    <w:abstractNumId w:val="11"/>
  </w:num>
  <w:num w:numId="31">
    <w:abstractNumId w:val="25"/>
  </w:num>
  <w:num w:numId="32">
    <w:abstractNumId w:val="18"/>
  </w:num>
  <w:num w:numId="33">
    <w:abstractNumId w:val="14"/>
  </w:num>
  <w:num w:numId="34">
    <w:abstractNumId w:val="26"/>
  </w:num>
  <w:num w:numId="35">
    <w:abstractNumId w:val="16"/>
  </w:num>
  <w:num w:numId="36">
    <w:abstractNumId w:val="10"/>
  </w:num>
  <w:num w:numId="37">
    <w:abstractNumId w:val="12"/>
  </w:num>
  <w:num w:numId="38">
    <w:abstractNumId w:val="17"/>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6f562f5c-53d4-4530-9f25-2657e955b169&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5-08&lt;/text&gt;_x000d__x000a_  &lt;/metadata&gt;_x000d__x000a_  &lt;metadata key=&quot;md_Prefix&quot; translate=&quot;false&quot;&gt;_x000d__x000a_    &lt;text&gt;&lt;/text&gt;_x000d__x000a_  &lt;/metadata&gt;_x000d__x000a_  &lt;metadata key=&quot;md_DocumentNumber&quot; translate=&quot;false&quot;&gt;_x000d__x000a_    &lt;text&gt;8125&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19&lt;/text&gt;_x000d__x000a_      &lt;text&gt;RELEX 30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translate=&quot;false&quot;&gt;_x000d__x000a_    &lt;basicdatatype&gt;_x000d__x000a_      &lt;originator key=&quot;&quot; /&gt;_x000d__x000a_    &lt;/basicdatatype&gt;_x000d__x000a_  &lt;/metadata&gt;_x000d__x000a_  &lt;metadata key=&quot;md_Recipient&quot; translate=&quot;false&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2e session du Conseil de l'Union européenne  (AFFAIRES ÉTRANGÈRES), tenue à Luxembourg le 20 avril 2015&quot;&gt;&amp;lt;FlowDocument FontFamily=&quot;Arial Unicode MS&quot; FontSize=&quot;12&quot; PageWidth=&quot;329&quot; PagePadding=&quot;0,0,0,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Weight=&quot;Bold&quot;&amp;gt;3382&amp;lt;/Run&amp;gt;&amp;lt;Run BaselineAlignment=&quot;Superscript&quot; FontWeight=&quot;Bold&quot;&amp;gt;e&amp;lt;/Run&amp;gt; session du Conseil de l'Union européenne &amp;lt;Run FontWeight=&quot;Bold&quot; xml:space=&quot;preserve&quot; /&amp;gt;&amp;lt;LineBreak /&amp;gt;&amp;lt;Run FontWeight=&quot;Bold&quot;&amp;gt;(AFFAIRES ÉTRANGÈRES)&amp;lt;/Run&amp;gt;, tenue à Luxembourg le 20 avril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836248"/>
    <w:rsid w:val="00010C1D"/>
    <w:rsid w:val="00044BCE"/>
    <w:rsid w:val="000920CB"/>
    <w:rsid w:val="0009656C"/>
    <w:rsid w:val="00096948"/>
    <w:rsid w:val="00131D67"/>
    <w:rsid w:val="0014792F"/>
    <w:rsid w:val="00165755"/>
    <w:rsid w:val="00182F2F"/>
    <w:rsid w:val="001B07AC"/>
    <w:rsid w:val="00211B76"/>
    <w:rsid w:val="002A2AE8"/>
    <w:rsid w:val="002A3A72"/>
    <w:rsid w:val="00362C0A"/>
    <w:rsid w:val="003C6E8B"/>
    <w:rsid w:val="005157F5"/>
    <w:rsid w:val="0063379B"/>
    <w:rsid w:val="006A38C5"/>
    <w:rsid w:val="006C1AD4"/>
    <w:rsid w:val="006E33E2"/>
    <w:rsid w:val="006F4741"/>
    <w:rsid w:val="0075756A"/>
    <w:rsid w:val="007E04C3"/>
    <w:rsid w:val="00825503"/>
    <w:rsid w:val="00836248"/>
    <w:rsid w:val="00841FC1"/>
    <w:rsid w:val="008826F8"/>
    <w:rsid w:val="008F2530"/>
    <w:rsid w:val="00951C4D"/>
    <w:rsid w:val="009A4A30"/>
    <w:rsid w:val="00A469D7"/>
    <w:rsid w:val="00A66DBE"/>
    <w:rsid w:val="00BA6C67"/>
    <w:rsid w:val="00BE1373"/>
    <w:rsid w:val="00D451E4"/>
    <w:rsid w:val="00EC20C2"/>
    <w:rsid w:val="00EF7178"/>
    <w:rsid w:val="00F05989"/>
    <w:rsid w:val="00F61447"/>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2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0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36248"/>
    <w:pPr>
      <w:spacing w:after="440"/>
      <w:ind w:left="-1134" w:right="-1134"/>
    </w:pPr>
    <w:rPr>
      <w:sz w:val="2"/>
    </w:rPr>
  </w:style>
  <w:style w:type="character" w:customStyle="1" w:styleId="TechnicalBlockChar">
    <w:name w:val="Technical Block Char"/>
    <w:basedOn w:val="DefaultParagraphFont"/>
    <w:rsid w:val="00836248"/>
    <w:rPr>
      <w:sz w:val="24"/>
      <w:szCs w:val="24"/>
      <w:lang w:val="fr-FR" w:eastAsia="fr-FR"/>
    </w:rPr>
  </w:style>
  <w:style w:type="character" w:customStyle="1" w:styleId="HeaderCouncilLargeChar">
    <w:name w:val="Header Council Large Char"/>
    <w:basedOn w:val="TechnicalBlockChar"/>
    <w:link w:val="HeaderCouncilLarge"/>
    <w:rsid w:val="00836248"/>
    <w:rPr>
      <w:sz w:val="2"/>
      <w:szCs w:val="24"/>
      <w:lang w:val="fr-FR" w:eastAsia="fr-FR"/>
    </w:rPr>
  </w:style>
  <w:style w:type="paragraph" w:customStyle="1" w:styleId="FooterText">
    <w:name w:val="Footer Text"/>
    <w:basedOn w:val="Normal"/>
    <w:rsid w:val="00836248"/>
  </w:style>
  <w:style w:type="character" w:customStyle="1" w:styleId="FootnoteTextChar">
    <w:name w:val="Footnote Text Char"/>
    <w:basedOn w:val="DefaultParagraphFont"/>
    <w:rsid w:val="009A4A30"/>
    <w:rPr>
      <w:sz w:val="24"/>
      <w:lang w:val="fr-FR" w:eastAsia="fr-FR"/>
    </w:rPr>
  </w:style>
  <w:style w:type="character" w:customStyle="1" w:styleId="PointManualChar">
    <w:name w:val="Point Manual Char"/>
    <w:rsid w:val="009A4A30"/>
    <w:rPr>
      <w:sz w:val="24"/>
      <w:szCs w:val="24"/>
      <w:lang w:val="fr-FR" w:eastAsia="fr-FR"/>
    </w:rPr>
  </w:style>
  <w:style w:type="character" w:customStyle="1" w:styleId="Heading1Char">
    <w:name w:val="Heading 1 Char"/>
    <w:basedOn w:val="DefaultParagraphFont"/>
    <w:link w:val="Heading1"/>
    <w:uiPriority w:val="9"/>
    <w:rsid w:val="000920CB"/>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20CB"/>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20CB"/>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20CB"/>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51C4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5"/>
      </w:numPr>
      <w:spacing w:before="200"/>
    </w:pPr>
  </w:style>
  <w:style w:type="paragraph" w:customStyle="1" w:styleId="Pointabc1">
    <w:name w:val="Point abc (1)"/>
    <w:basedOn w:val="Normal"/>
    <w:rsid w:val="006E33E2"/>
    <w:pPr>
      <w:numPr>
        <w:ilvl w:val="3"/>
        <w:numId w:val="35"/>
      </w:numPr>
      <w:outlineLvl w:val="0"/>
    </w:pPr>
  </w:style>
  <w:style w:type="paragraph" w:customStyle="1" w:styleId="Pointabc2">
    <w:name w:val="Point abc (2)"/>
    <w:basedOn w:val="Normal"/>
    <w:rsid w:val="006E33E2"/>
    <w:pPr>
      <w:numPr>
        <w:ilvl w:val="5"/>
        <w:numId w:val="35"/>
      </w:numPr>
      <w:outlineLvl w:val="1"/>
    </w:pPr>
  </w:style>
  <w:style w:type="paragraph" w:customStyle="1" w:styleId="Pointabc3">
    <w:name w:val="Point abc (3)"/>
    <w:basedOn w:val="Normal"/>
    <w:rsid w:val="006E33E2"/>
    <w:pPr>
      <w:numPr>
        <w:ilvl w:val="7"/>
        <w:numId w:val="35"/>
      </w:numPr>
      <w:outlineLvl w:val="2"/>
    </w:pPr>
  </w:style>
  <w:style w:type="paragraph" w:customStyle="1" w:styleId="Pointabc4">
    <w:name w:val="Point abc (4)"/>
    <w:basedOn w:val="Normal"/>
    <w:rsid w:val="006E33E2"/>
    <w:pPr>
      <w:numPr>
        <w:ilvl w:val="8"/>
        <w:numId w:val="35"/>
      </w:numPr>
      <w:outlineLvl w:val="3"/>
    </w:pPr>
  </w:style>
  <w:style w:type="paragraph" w:customStyle="1" w:styleId="Point123">
    <w:name w:val="Point 123"/>
    <w:basedOn w:val="Normal"/>
    <w:rsid w:val="006E33E2"/>
    <w:pPr>
      <w:numPr>
        <w:numId w:val="35"/>
      </w:numPr>
      <w:spacing w:before="200"/>
    </w:pPr>
  </w:style>
  <w:style w:type="paragraph" w:customStyle="1" w:styleId="Point1231">
    <w:name w:val="Point 123 (1)"/>
    <w:basedOn w:val="Normal"/>
    <w:rsid w:val="006E33E2"/>
    <w:pPr>
      <w:numPr>
        <w:ilvl w:val="2"/>
        <w:numId w:val="35"/>
      </w:numPr>
      <w:outlineLvl w:val="0"/>
    </w:pPr>
  </w:style>
  <w:style w:type="paragraph" w:customStyle="1" w:styleId="Point1232">
    <w:name w:val="Point 123 (2)"/>
    <w:basedOn w:val="Normal"/>
    <w:rsid w:val="006E33E2"/>
    <w:pPr>
      <w:numPr>
        <w:ilvl w:val="4"/>
        <w:numId w:val="35"/>
      </w:numPr>
      <w:outlineLvl w:val="1"/>
    </w:pPr>
  </w:style>
  <w:style w:type="paragraph" w:customStyle="1" w:styleId="Point1233">
    <w:name w:val="Point 123 (3)"/>
    <w:basedOn w:val="Normal"/>
    <w:rsid w:val="006E33E2"/>
    <w:pPr>
      <w:numPr>
        <w:ilvl w:val="6"/>
        <w:numId w:val="35"/>
      </w:numPr>
      <w:outlineLvl w:val="2"/>
    </w:pPr>
  </w:style>
  <w:style w:type="paragraph" w:customStyle="1" w:styleId="Pointivx">
    <w:name w:val="Point ivx"/>
    <w:basedOn w:val="Normal"/>
    <w:rsid w:val="006E33E2"/>
    <w:pPr>
      <w:numPr>
        <w:numId w:val="36"/>
      </w:numPr>
      <w:spacing w:before="200"/>
    </w:pPr>
  </w:style>
  <w:style w:type="paragraph" w:customStyle="1" w:styleId="Pointivx1">
    <w:name w:val="Point ivx (1)"/>
    <w:basedOn w:val="Normal"/>
    <w:rsid w:val="006E33E2"/>
    <w:pPr>
      <w:numPr>
        <w:ilvl w:val="1"/>
        <w:numId w:val="36"/>
      </w:numPr>
      <w:outlineLvl w:val="0"/>
    </w:pPr>
  </w:style>
  <w:style w:type="paragraph" w:customStyle="1" w:styleId="Pointivx2">
    <w:name w:val="Point ivx (2)"/>
    <w:basedOn w:val="Normal"/>
    <w:rsid w:val="006E33E2"/>
    <w:pPr>
      <w:numPr>
        <w:ilvl w:val="2"/>
        <w:numId w:val="36"/>
      </w:numPr>
      <w:outlineLvl w:val="1"/>
    </w:pPr>
  </w:style>
  <w:style w:type="paragraph" w:customStyle="1" w:styleId="Pointivx3">
    <w:name w:val="Point ivx (3)"/>
    <w:basedOn w:val="Normal"/>
    <w:rsid w:val="006E33E2"/>
    <w:pPr>
      <w:numPr>
        <w:ilvl w:val="3"/>
        <w:numId w:val="36"/>
      </w:numPr>
      <w:outlineLvl w:val="2"/>
    </w:pPr>
  </w:style>
  <w:style w:type="paragraph" w:customStyle="1" w:styleId="Pointivx4">
    <w:name w:val="Point ivx (4)"/>
    <w:basedOn w:val="Normal"/>
    <w:rsid w:val="006E33E2"/>
    <w:pPr>
      <w:numPr>
        <w:ilvl w:val="4"/>
        <w:numId w:val="36"/>
      </w:numPr>
      <w:outlineLvl w:val="3"/>
    </w:pPr>
  </w:style>
  <w:style w:type="paragraph" w:customStyle="1" w:styleId="Bullet">
    <w:name w:val="Bullet"/>
    <w:basedOn w:val="Normal"/>
    <w:rsid w:val="006E33E2"/>
    <w:pPr>
      <w:numPr>
        <w:numId w:val="30"/>
      </w:numPr>
      <w:spacing w:before="200"/>
    </w:pPr>
  </w:style>
  <w:style w:type="paragraph" w:customStyle="1" w:styleId="Bullet1">
    <w:name w:val="Bullet 1"/>
    <w:basedOn w:val="Normal"/>
    <w:rsid w:val="006E33E2"/>
    <w:pPr>
      <w:numPr>
        <w:numId w:val="31"/>
      </w:numPr>
      <w:outlineLvl w:val="0"/>
    </w:pPr>
  </w:style>
  <w:style w:type="paragraph" w:customStyle="1" w:styleId="Bullet2">
    <w:name w:val="Bullet 2"/>
    <w:basedOn w:val="Normal"/>
    <w:rsid w:val="006E33E2"/>
    <w:pPr>
      <w:numPr>
        <w:numId w:val="32"/>
      </w:numPr>
      <w:outlineLvl w:val="1"/>
    </w:pPr>
  </w:style>
  <w:style w:type="paragraph" w:customStyle="1" w:styleId="Bullet3">
    <w:name w:val="Bullet 3"/>
    <w:basedOn w:val="Normal"/>
    <w:rsid w:val="006E33E2"/>
    <w:pPr>
      <w:numPr>
        <w:numId w:val="33"/>
      </w:numPr>
      <w:outlineLvl w:val="2"/>
    </w:pPr>
  </w:style>
  <w:style w:type="paragraph" w:customStyle="1" w:styleId="Bullet4">
    <w:name w:val="Bullet 4"/>
    <w:basedOn w:val="Normal"/>
    <w:rsid w:val="006E33E2"/>
    <w:pPr>
      <w:numPr>
        <w:numId w:val="34"/>
      </w:numPr>
      <w:outlineLvl w:val="3"/>
    </w:pPr>
  </w:style>
  <w:style w:type="paragraph" w:customStyle="1" w:styleId="Dash">
    <w:name w:val="Dash"/>
    <w:basedOn w:val="Normal"/>
    <w:rsid w:val="006E33E2"/>
    <w:pPr>
      <w:numPr>
        <w:numId w:val="20"/>
      </w:numPr>
      <w:spacing w:before="200"/>
    </w:pPr>
  </w:style>
  <w:style w:type="paragraph" w:customStyle="1" w:styleId="Dash1">
    <w:name w:val="Dash 1"/>
    <w:basedOn w:val="Normal"/>
    <w:rsid w:val="006E33E2"/>
    <w:pPr>
      <w:numPr>
        <w:numId w:val="21"/>
      </w:numPr>
      <w:outlineLvl w:val="0"/>
    </w:pPr>
  </w:style>
  <w:style w:type="paragraph" w:customStyle="1" w:styleId="Dash2">
    <w:name w:val="Dash 2"/>
    <w:basedOn w:val="Normal"/>
    <w:rsid w:val="006E33E2"/>
    <w:pPr>
      <w:numPr>
        <w:numId w:val="22"/>
      </w:numPr>
      <w:outlineLvl w:val="1"/>
    </w:pPr>
  </w:style>
  <w:style w:type="paragraph" w:customStyle="1" w:styleId="Dash3">
    <w:name w:val="Dash 3"/>
    <w:basedOn w:val="Normal"/>
    <w:rsid w:val="006E33E2"/>
    <w:pPr>
      <w:numPr>
        <w:numId w:val="23"/>
      </w:numPr>
      <w:outlineLvl w:val="2"/>
    </w:pPr>
  </w:style>
  <w:style w:type="paragraph" w:customStyle="1" w:styleId="Dash4">
    <w:name w:val="Dash 4"/>
    <w:basedOn w:val="Normal"/>
    <w:rsid w:val="006E33E2"/>
    <w:pPr>
      <w:numPr>
        <w:numId w:val="24"/>
      </w:numPr>
      <w:outlineLvl w:val="3"/>
    </w:pPr>
  </w:style>
  <w:style w:type="paragraph" w:customStyle="1" w:styleId="DashEqual">
    <w:name w:val="Dash Equal"/>
    <w:basedOn w:val="Dash"/>
    <w:rsid w:val="006E33E2"/>
    <w:pPr>
      <w:numPr>
        <w:numId w:val="25"/>
      </w:numPr>
    </w:pPr>
  </w:style>
  <w:style w:type="paragraph" w:customStyle="1" w:styleId="DashEqual1">
    <w:name w:val="Dash Equal 1"/>
    <w:basedOn w:val="Dash1"/>
    <w:rsid w:val="006E33E2"/>
    <w:pPr>
      <w:numPr>
        <w:numId w:val="26"/>
      </w:numPr>
    </w:pPr>
  </w:style>
  <w:style w:type="paragraph" w:customStyle="1" w:styleId="DashEqual2">
    <w:name w:val="Dash Equal 2"/>
    <w:basedOn w:val="Dash2"/>
    <w:rsid w:val="006E33E2"/>
    <w:pPr>
      <w:numPr>
        <w:numId w:val="27"/>
      </w:numPr>
    </w:pPr>
  </w:style>
  <w:style w:type="paragraph" w:customStyle="1" w:styleId="DashEqual3">
    <w:name w:val="Dash Equal 3"/>
    <w:basedOn w:val="Dash3"/>
    <w:rsid w:val="006E33E2"/>
    <w:pPr>
      <w:numPr>
        <w:numId w:val="28"/>
      </w:numPr>
    </w:pPr>
  </w:style>
  <w:style w:type="paragraph" w:customStyle="1" w:styleId="DashEqual4">
    <w:name w:val="Dash Equal 4"/>
    <w:basedOn w:val="Dash4"/>
    <w:rsid w:val="006E33E2"/>
    <w:pPr>
      <w:numPr>
        <w:numId w:val="29"/>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7"/>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38"/>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92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2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20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20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836248"/>
    <w:pPr>
      <w:spacing w:after="440"/>
      <w:ind w:left="-1134" w:right="-1134"/>
    </w:pPr>
    <w:rPr>
      <w:sz w:val="2"/>
    </w:rPr>
  </w:style>
  <w:style w:type="character" w:customStyle="1" w:styleId="TechnicalBlockChar">
    <w:name w:val="Technical Block Char"/>
    <w:basedOn w:val="DefaultParagraphFont"/>
    <w:rsid w:val="00836248"/>
    <w:rPr>
      <w:sz w:val="24"/>
      <w:szCs w:val="24"/>
      <w:lang w:val="fr-FR" w:eastAsia="fr-FR"/>
    </w:rPr>
  </w:style>
  <w:style w:type="character" w:customStyle="1" w:styleId="HeaderCouncilLargeChar">
    <w:name w:val="Header Council Large Char"/>
    <w:basedOn w:val="TechnicalBlockChar"/>
    <w:link w:val="HeaderCouncilLarge"/>
    <w:rsid w:val="00836248"/>
    <w:rPr>
      <w:sz w:val="2"/>
      <w:szCs w:val="24"/>
      <w:lang w:val="fr-FR" w:eastAsia="fr-FR"/>
    </w:rPr>
  </w:style>
  <w:style w:type="paragraph" w:customStyle="1" w:styleId="FooterText">
    <w:name w:val="Footer Text"/>
    <w:basedOn w:val="Normal"/>
    <w:rsid w:val="00836248"/>
  </w:style>
  <w:style w:type="character" w:customStyle="1" w:styleId="FootnoteTextChar">
    <w:name w:val="Footnote Text Char"/>
    <w:basedOn w:val="DefaultParagraphFont"/>
    <w:rsid w:val="009A4A30"/>
    <w:rPr>
      <w:sz w:val="24"/>
      <w:lang w:val="fr-FR" w:eastAsia="fr-FR"/>
    </w:rPr>
  </w:style>
  <w:style w:type="character" w:customStyle="1" w:styleId="PointManualChar">
    <w:name w:val="Point Manual Char"/>
    <w:rsid w:val="009A4A30"/>
    <w:rPr>
      <w:sz w:val="24"/>
      <w:szCs w:val="24"/>
      <w:lang w:val="fr-FR" w:eastAsia="fr-FR"/>
    </w:rPr>
  </w:style>
  <w:style w:type="character" w:customStyle="1" w:styleId="Heading1Char">
    <w:name w:val="Heading 1 Char"/>
    <w:basedOn w:val="DefaultParagraphFont"/>
    <w:link w:val="Heading1"/>
    <w:uiPriority w:val="9"/>
    <w:rsid w:val="000920CB"/>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0920CB"/>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0920CB"/>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0920CB"/>
    <w:rPr>
      <w:rFonts w:asciiTheme="majorHAnsi" w:eastAsiaTheme="majorEastAsia" w:hAnsiTheme="majorHAnsi" w:cstheme="majorBidi"/>
      <w:b/>
      <w:bCs/>
      <w:i/>
      <w:iCs/>
      <w:color w:val="4F81BD" w:themeColor="accent1"/>
      <w:sz w:val="24"/>
      <w:szCs w:val="24"/>
      <w:lang w:val="fr-FR" w:eastAsia="fr-FR"/>
    </w:rPr>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rsid w:val="00951C4D"/>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35"/>
      </w:numPr>
      <w:spacing w:before="200"/>
    </w:pPr>
  </w:style>
  <w:style w:type="paragraph" w:customStyle="1" w:styleId="Pointabc1">
    <w:name w:val="Point abc (1)"/>
    <w:basedOn w:val="Normal"/>
    <w:rsid w:val="006E33E2"/>
    <w:pPr>
      <w:numPr>
        <w:ilvl w:val="3"/>
        <w:numId w:val="35"/>
      </w:numPr>
      <w:outlineLvl w:val="0"/>
    </w:pPr>
  </w:style>
  <w:style w:type="paragraph" w:customStyle="1" w:styleId="Pointabc2">
    <w:name w:val="Point abc (2)"/>
    <w:basedOn w:val="Normal"/>
    <w:rsid w:val="006E33E2"/>
    <w:pPr>
      <w:numPr>
        <w:ilvl w:val="5"/>
        <w:numId w:val="35"/>
      </w:numPr>
      <w:outlineLvl w:val="1"/>
    </w:pPr>
  </w:style>
  <w:style w:type="paragraph" w:customStyle="1" w:styleId="Pointabc3">
    <w:name w:val="Point abc (3)"/>
    <w:basedOn w:val="Normal"/>
    <w:rsid w:val="006E33E2"/>
    <w:pPr>
      <w:numPr>
        <w:ilvl w:val="7"/>
        <w:numId w:val="35"/>
      </w:numPr>
      <w:outlineLvl w:val="2"/>
    </w:pPr>
  </w:style>
  <w:style w:type="paragraph" w:customStyle="1" w:styleId="Pointabc4">
    <w:name w:val="Point abc (4)"/>
    <w:basedOn w:val="Normal"/>
    <w:rsid w:val="006E33E2"/>
    <w:pPr>
      <w:numPr>
        <w:ilvl w:val="8"/>
        <w:numId w:val="35"/>
      </w:numPr>
      <w:outlineLvl w:val="3"/>
    </w:pPr>
  </w:style>
  <w:style w:type="paragraph" w:customStyle="1" w:styleId="Point123">
    <w:name w:val="Point 123"/>
    <w:basedOn w:val="Normal"/>
    <w:rsid w:val="006E33E2"/>
    <w:pPr>
      <w:numPr>
        <w:numId w:val="35"/>
      </w:numPr>
      <w:spacing w:before="200"/>
    </w:pPr>
  </w:style>
  <w:style w:type="paragraph" w:customStyle="1" w:styleId="Point1231">
    <w:name w:val="Point 123 (1)"/>
    <w:basedOn w:val="Normal"/>
    <w:rsid w:val="006E33E2"/>
    <w:pPr>
      <w:numPr>
        <w:ilvl w:val="2"/>
        <w:numId w:val="35"/>
      </w:numPr>
      <w:outlineLvl w:val="0"/>
    </w:pPr>
  </w:style>
  <w:style w:type="paragraph" w:customStyle="1" w:styleId="Point1232">
    <w:name w:val="Point 123 (2)"/>
    <w:basedOn w:val="Normal"/>
    <w:rsid w:val="006E33E2"/>
    <w:pPr>
      <w:numPr>
        <w:ilvl w:val="4"/>
        <w:numId w:val="35"/>
      </w:numPr>
      <w:outlineLvl w:val="1"/>
    </w:pPr>
  </w:style>
  <w:style w:type="paragraph" w:customStyle="1" w:styleId="Point1233">
    <w:name w:val="Point 123 (3)"/>
    <w:basedOn w:val="Normal"/>
    <w:rsid w:val="006E33E2"/>
    <w:pPr>
      <w:numPr>
        <w:ilvl w:val="6"/>
        <w:numId w:val="35"/>
      </w:numPr>
      <w:outlineLvl w:val="2"/>
    </w:pPr>
  </w:style>
  <w:style w:type="paragraph" w:customStyle="1" w:styleId="Pointivx">
    <w:name w:val="Point ivx"/>
    <w:basedOn w:val="Normal"/>
    <w:rsid w:val="006E33E2"/>
    <w:pPr>
      <w:numPr>
        <w:numId w:val="36"/>
      </w:numPr>
      <w:spacing w:before="200"/>
    </w:pPr>
  </w:style>
  <w:style w:type="paragraph" w:customStyle="1" w:styleId="Pointivx1">
    <w:name w:val="Point ivx (1)"/>
    <w:basedOn w:val="Normal"/>
    <w:rsid w:val="006E33E2"/>
    <w:pPr>
      <w:numPr>
        <w:ilvl w:val="1"/>
        <w:numId w:val="36"/>
      </w:numPr>
      <w:outlineLvl w:val="0"/>
    </w:pPr>
  </w:style>
  <w:style w:type="paragraph" w:customStyle="1" w:styleId="Pointivx2">
    <w:name w:val="Point ivx (2)"/>
    <w:basedOn w:val="Normal"/>
    <w:rsid w:val="006E33E2"/>
    <w:pPr>
      <w:numPr>
        <w:ilvl w:val="2"/>
        <w:numId w:val="36"/>
      </w:numPr>
      <w:outlineLvl w:val="1"/>
    </w:pPr>
  </w:style>
  <w:style w:type="paragraph" w:customStyle="1" w:styleId="Pointivx3">
    <w:name w:val="Point ivx (3)"/>
    <w:basedOn w:val="Normal"/>
    <w:rsid w:val="006E33E2"/>
    <w:pPr>
      <w:numPr>
        <w:ilvl w:val="3"/>
        <w:numId w:val="36"/>
      </w:numPr>
      <w:outlineLvl w:val="2"/>
    </w:pPr>
  </w:style>
  <w:style w:type="paragraph" w:customStyle="1" w:styleId="Pointivx4">
    <w:name w:val="Point ivx (4)"/>
    <w:basedOn w:val="Normal"/>
    <w:rsid w:val="006E33E2"/>
    <w:pPr>
      <w:numPr>
        <w:ilvl w:val="4"/>
        <w:numId w:val="36"/>
      </w:numPr>
      <w:outlineLvl w:val="3"/>
    </w:pPr>
  </w:style>
  <w:style w:type="paragraph" w:customStyle="1" w:styleId="Bullet">
    <w:name w:val="Bullet"/>
    <w:basedOn w:val="Normal"/>
    <w:rsid w:val="006E33E2"/>
    <w:pPr>
      <w:numPr>
        <w:numId w:val="30"/>
      </w:numPr>
      <w:spacing w:before="200"/>
    </w:pPr>
  </w:style>
  <w:style w:type="paragraph" w:customStyle="1" w:styleId="Bullet1">
    <w:name w:val="Bullet 1"/>
    <w:basedOn w:val="Normal"/>
    <w:rsid w:val="006E33E2"/>
    <w:pPr>
      <w:numPr>
        <w:numId w:val="31"/>
      </w:numPr>
      <w:outlineLvl w:val="0"/>
    </w:pPr>
  </w:style>
  <w:style w:type="paragraph" w:customStyle="1" w:styleId="Bullet2">
    <w:name w:val="Bullet 2"/>
    <w:basedOn w:val="Normal"/>
    <w:rsid w:val="006E33E2"/>
    <w:pPr>
      <w:numPr>
        <w:numId w:val="32"/>
      </w:numPr>
      <w:outlineLvl w:val="1"/>
    </w:pPr>
  </w:style>
  <w:style w:type="paragraph" w:customStyle="1" w:styleId="Bullet3">
    <w:name w:val="Bullet 3"/>
    <w:basedOn w:val="Normal"/>
    <w:rsid w:val="006E33E2"/>
    <w:pPr>
      <w:numPr>
        <w:numId w:val="33"/>
      </w:numPr>
      <w:outlineLvl w:val="2"/>
    </w:pPr>
  </w:style>
  <w:style w:type="paragraph" w:customStyle="1" w:styleId="Bullet4">
    <w:name w:val="Bullet 4"/>
    <w:basedOn w:val="Normal"/>
    <w:rsid w:val="006E33E2"/>
    <w:pPr>
      <w:numPr>
        <w:numId w:val="34"/>
      </w:numPr>
      <w:outlineLvl w:val="3"/>
    </w:pPr>
  </w:style>
  <w:style w:type="paragraph" w:customStyle="1" w:styleId="Dash">
    <w:name w:val="Dash"/>
    <w:basedOn w:val="Normal"/>
    <w:rsid w:val="006E33E2"/>
    <w:pPr>
      <w:numPr>
        <w:numId w:val="20"/>
      </w:numPr>
      <w:spacing w:before="200"/>
    </w:pPr>
  </w:style>
  <w:style w:type="paragraph" w:customStyle="1" w:styleId="Dash1">
    <w:name w:val="Dash 1"/>
    <w:basedOn w:val="Normal"/>
    <w:rsid w:val="006E33E2"/>
    <w:pPr>
      <w:numPr>
        <w:numId w:val="21"/>
      </w:numPr>
      <w:outlineLvl w:val="0"/>
    </w:pPr>
  </w:style>
  <w:style w:type="paragraph" w:customStyle="1" w:styleId="Dash2">
    <w:name w:val="Dash 2"/>
    <w:basedOn w:val="Normal"/>
    <w:rsid w:val="006E33E2"/>
    <w:pPr>
      <w:numPr>
        <w:numId w:val="22"/>
      </w:numPr>
      <w:outlineLvl w:val="1"/>
    </w:pPr>
  </w:style>
  <w:style w:type="paragraph" w:customStyle="1" w:styleId="Dash3">
    <w:name w:val="Dash 3"/>
    <w:basedOn w:val="Normal"/>
    <w:rsid w:val="006E33E2"/>
    <w:pPr>
      <w:numPr>
        <w:numId w:val="23"/>
      </w:numPr>
      <w:outlineLvl w:val="2"/>
    </w:pPr>
  </w:style>
  <w:style w:type="paragraph" w:customStyle="1" w:styleId="Dash4">
    <w:name w:val="Dash 4"/>
    <w:basedOn w:val="Normal"/>
    <w:rsid w:val="006E33E2"/>
    <w:pPr>
      <w:numPr>
        <w:numId w:val="24"/>
      </w:numPr>
      <w:outlineLvl w:val="3"/>
    </w:pPr>
  </w:style>
  <w:style w:type="paragraph" w:customStyle="1" w:styleId="DashEqual">
    <w:name w:val="Dash Equal"/>
    <w:basedOn w:val="Dash"/>
    <w:rsid w:val="006E33E2"/>
    <w:pPr>
      <w:numPr>
        <w:numId w:val="25"/>
      </w:numPr>
    </w:pPr>
  </w:style>
  <w:style w:type="paragraph" w:customStyle="1" w:styleId="DashEqual1">
    <w:name w:val="Dash Equal 1"/>
    <w:basedOn w:val="Dash1"/>
    <w:rsid w:val="006E33E2"/>
    <w:pPr>
      <w:numPr>
        <w:numId w:val="26"/>
      </w:numPr>
    </w:pPr>
  </w:style>
  <w:style w:type="paragraph" w:customStyle="1" w:styleId="DashEqual2">
    <w:name w:val="Dash Equal 2"/>
    <w:basedOn w:val="Dash2"/>
    <w:rsid w:val="006E33E2"/>
    <w:pPr>
      <w:numPr>
        <w:numId w:val="27"/>
      </w:numPr>
    </w:pPr>
  </w:style>
  <w:style w:type="paragraph" w:customStyle="1" w:styleId="DashEqual3">
    <w:name w:val="Dash Equal 3"/>
    <w:basedOn w:val="Dash3"/>
    <w:rsid w:val="006E33E2"/>
    <w:pPr>
      <w:numPr>
        <w:numId w:val="28"/>
      </w:numPr>
    </w:pPr>
  </w:style>
  <w:style w:type="paragraph" w:customStyle="1" w:styleId="DashEqual4">
    <w:name w:val="Dash Equal 4"/>
    <w:basedOn w:val="Dash4"/>
    <w:rsid w:val="006E33E2"/>
    <w:pPr>
      <w:numPr>
        <w:numId w:val="29"/>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37"/>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38"/>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399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TTAN\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2</TotalTime>
  <Pages>4</Pages>
  <Words>727</Words>
  <Characters>4122</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FRATTAROLA Antonietta</cp:lastModifiedBy>
  <cp:revision>3</cp:revision>
  <cp:lastPrinted>2015-05-08T10:44:00Z</cp:lastPrinted>
  <dcterms:created xsi:type="dcterms:W3CDTF">2015-05-20T16:57:00Z</dcterms:created>
  <dcterms:modified xsi:type="dcterms:W3CDTF">2015-05-20T17:00:00Z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3.5.3, Build 20150508</vt:lpwstr>
  </property>
  <property fmtid="{D5CDD505-2E9C-101B-9397-08002B2CF9AE}" pid="5" name="SkipControlLengthPage">
    <vt:lpwstr/>
  </property>
</Properties>
</file>