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14F77E3FB2B400F97CBABDF80F8576D" style="width:450.8pt;height:406.9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ListBullet2"/>
        <w:numPr>
          <w:ilvl w:val="0"/>
          <w:numId w:val="0"/>
        </w:numPr>
        <w:jc w:val="center"/>
        <w:rPr>
          <w:b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Приложение I:</w:t>
      </w:r>
    </w:p>
    <w:p>
      <w:pPr>
        <w:spacing w:after="0"/>
        <w:jc w:val="center"/>
        <w:rPr>
          <w:b/>
          <w:bCs/>
          <w:noProof/>
          <w:color w:val="000000"/>
          <w:sz w:val="24"/>
          <w:szCs w:val="24"/>
        </w:rPr>
      </w:pPr>
      <w:r>
        <w:rPr>
          <w:b/>
          <w:noProof/>
          <w:sz w:val="24"/>
        </w:rPr>
        <w:t>Обзорни данни за напредъка на държавите членки към постигане на целите за 2020 г. в областта на енергията от възобновяеми източници (ВЕИ), %</w:t>
      </w:r>
      <w:r>
        <w:rPr>
          <w:b/>
          <w:bCs/>
          <w:noProof/>
          <w:color w:val="000000"/>
          <w:sz w:val="24"/>
          <w:szCs w:val="24"/>
        </w:rPr>
        <w:br/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13"/>
        <w:gridCol w:w="1113"/>
        <w:gridCol w:w="1116"/>
        <w:gridCol w:w="1112"/>
        <w:gridCol w:w="1116"/>
        <w:gridCol w:w="1112"/>
      </w:tblGrid>
      <w:tr>
        <w:trPr>
          <w:trHeight w:val="974"/>
        </w:trPr>
        <w:tc>
          <w:tcPr>
            <w:tcW w:w="99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Дял на ВЕИ в 2012 г.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Дял на ВЕИ в 2011/2012 г.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(средно)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Изменение на ВЕИ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2011/2012 г.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ind w:firstLineChars="100" w:firstLine="161"/>
              <w:jc w:val="center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Дял на ВЕИ в 2013 г.</w:t>
            </w:r>
          </w:p>
        </w:tc>
        <w:tc>
          <w:tcPr>
            <w:tcW w:w="668" w:type="pct"/>
            <w:vAlign w:val="center"/>
            <w:hideMark/>
          </w:tcPr>
          <w:p>
            <w:pPr>
              <w:spacing w:after="0" w:line="240" w:lineRule="auto"/>
              <w:ind w:leftChars="-2" w:left="-1" w:hangingChars="2" w:hanging="3"/>
              <w:jc w:val="center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Изменение на ВЕИ 2013/2014 г.</w:t>
            </w:r>
          </w:p>
        </w:tc>
        <w:tc>
          <w:tcPr>
            <w:tcW w:w="66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Цел за ВЕИ в 2020 г.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Белгия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България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Чешката република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Дания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27,2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Германия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Естония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Ирландия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Гърция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Испания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Франция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Хърватия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Италия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Кипър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Латвия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35,8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37,1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Литва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Люксембург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Унгария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Малта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Нидерландия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Австрия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32,1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32,6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26,5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Полша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Португалия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Румъния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Словения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Словакия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Финландия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33,7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30,4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36,8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Швеция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51,1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50,0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41,6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52,1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42,6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49,0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Обединеното кралство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</w:tr>
      <w:tr>
        <w:trPr>
          <w:trHeight w:val="315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Европейския съюз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Не се прилага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Не се прилага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</w:tbl>
    <w:p>
      <w:pPr>
        <w:pStyle w:val="Text1"/>
        <w:ind w:left="0"/>
        <w:rPr>
          <w:noProof/>
        </w:rPr>
      </w:pPr>
      <w:r>
        <w:rPr>
          <w:noProof/>
          <w:sz w:val="20"/>
        </w:rPr>
        <w:t xml:space="preserve">Източник: </w:t>
      </w:r>
      <w:r>
        <w:rPr>
          <w:i/>
          <w:noProof/>
          <w:sz w:val="20"/>
        </w:rPr>
        <w:t>Евростат, данни за 2012-2013 г.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AB65C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14F77E3FB2B400F97CBABDF80F8576D"/>
    <w:docVar w:name="LW_CROSSREFERENCE" w:val="{SWD(2015) 117 final}"/>
    <w:docVar w:name="LW_DocType" w:val="NORMAL"/>
    <w:docVar w:name="LW_EMISSION" w:val="15.6.2015"/>
    <w:docVar w:name="LW_EMISSION_ISODATE" w:val="2015-06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74? \u1086?\u1073?\u1083?\u1072?\u1089?\u1090?\u1090?\u1072? \u1085?\u1072? \u1077?\u1085?\u1077?\u1088?\u1092?\u1080?\u1103?\u1090?\u1072? \u1086?\u1090? \u1074?\u1098?\u1079?\u1086?\u1073?\u1085?\u1086?\u1074?\u1103?\u1077?\u1084?\u1080? \u1080?\u1079?\u1090?\u1086?\u1095?\u1085?\u1080?\u1094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5) 29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\u1040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1212</Characters>
  <Application>Microsoft Office Word</Application>
  <DocSecurity>0</DocSecurity>
  <Lines>242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 (ENER)</dc:creator>
  <cp:lastModifiedBy>DIGIT/A3</cp:lastModifiedBy>
  <cp:revision>9</cp:revision>
  <dcterms:created xsi:type="dcterms:W3CDTF">2015-06-03T07:58:00Z</dcterms:created>
  <dcterms:modified xsi:type="dcterms:W3CDTF">2015-06-19T15:26:00Z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