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eastAsia="en-US" w:bidi="ar-SA"/>
        </w:rPr>
      </w:pPr>
      <w:bookmarkStart w:id="0" w:name="_Toc410031293"/>
      <w:bookmarkStart w:id="1" w:name="LW_BM_COVERPAGE"/>
      <w:r>
        <w:rPr>
          <w:noProof/>
          <w:lang w:val="en-GB"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B49B2851C9A84B26A8EE8C3F7F9823D7" style="width:450.75pt;height:321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4"/>
        </w:numPr>
        <w:rPr>
          <w:rFonts w:ascii="Times New Roman" w:hAnsi="Times New Roman"/>
          <w:noProof/>
          <w:sz w:val="24"/>
          <w:szCs w:val="24"/>
        </w:rPr>
      </w:pPr>
      <w:bookmarkStart w:id="2" w:name="_GoBack"/>
      <w:bookmarkEnd w:id="0"/>
      <w:bookmarkEnd w:id="2"/>
      <w:r>
        <w:rPr>
          <w:rFonts w:ascii="Times New Roman" w:hAnsi="Times New Roman"/>
          <w:noProof/>
          <w:sz w:val="24"/>
        </w:rPr>
        <w:lastRenderedPageBreak/>
        <w:t>Въведение</w:t>
      </w:r>
    </w:p>
    <w:p>
      <w:pPr>
        <w:spacing w:before="120"/>
        <w:jc w:val="both"/>
        <w:rPr>
          <w:rFonts w:ascii="Times New Roman" w:hAnsi="Times New Roman"/>
          <w:noProof/>
          <w:sz w:val="24"/>
          <w:szCs w:val="24"/>
        </w:rPr>
      </w:pPr>
      <w:r>
        <w:rPr>
          <w:rFonts w:ascii="Times New Roman" w:hAnsi="Times New Roman"/>
          <w:noProof/>
          <w:sz w:val="24"/>
        </w:rPr>
        <w:t>Повече от десет години след приемането на Регламент № 1606/2002 („Регламент относно МСС“)</w:t>
      </w:r>
      <w:r>
        <w:rPr>
          <w:rStyle w:val="FootnoteReference"/>
          <w:rFonts w:ascii="Times New Roman" w:hAnsi="Times New Roman"/>
          <w:noProof/>
          <w:sz w:val="24"/>
        </w:rPr>
        <w:footnoteReference w:id="2"/>
      </w:r>
      <w:r>
        <w:rPr>
          <w:rFonts w:ascii="Times New Roman" w:hAnsi="Times New Roman"/>
          <w:noProof/>
          <w:sz w:val="24"/>
        </w:rPr>
        <w:t xml:space="preserve"> и след първия преглед на неговото действие през 2008 г.</w:t>
      </w:r>
      <w:r>
        <w:rPr>
          <w:rStyle w:val="FootnoteReference"/>
          <w:rFonts w:ascii="Times New Roman" w:hAnsi="Times New Roman"/>
          <w:noProof/>
          <w:sz w:val="24"/>
        </w:rPr>
        <w:footnoteReference w:id="3"/>
      </w:r>
      <w:r>
        <w:rPr>
          <w:rFonts w:ascii="Times New Roman" w:hAnsi="Times New Roman"/>
          <w:noProof/>
          <w:sz w:val="24"/>
        </w:rPr>
        <w:t>, Комисията реши да направи оценка на напредъка към преследваните с него цели, определени в рамките на Програмата за пригодност и резултатност на регулаторната рамка (REFIT)</w:t>
      </w:r>
      <w:r>
        <w:rPr>
          <w:rStyle w:val="FootnoteReference"/>
          <w:rFonts w:ascii="Times New Roman" w:hAnsi="Times New Roman"/>
          <w:noProof/>
          <w:sz w:val="24"/>
        </w:rPr>
        <w:footnoteReference w:id="4"/>
      </w:r>
      <w:r>
        <w:rPr>
          <w:rFonts w:ascii="Times New Roman" w:hAnsi="Times New Roman"/>
          <w:noProof/>
          <w:sz w:val="24"/>
        </w:rPr>
        <w:t>. Успоредно с това с Регламент (ЕС) № 258/2014</w:t>
      </w:r>
      <w:r>
        <w:rPr>
          <w:rStyle w:val="FootnoteReference"/>
          <w:rFonts w:ascii="Times New Roman" w:hAnsi="Times New Roman"/>
          <w:noProof/>
          <w:sz w:val="24"/>
        </w:rPr>
        <w:footnoteReference w:id="5"/>
      </w:r>
      <w:r>
        <w:rPr>
          <w:rFonts w:ascii="Times New Roman" w:hAnsi="Times New Roman"/>
          <w:noProof/>
          <w:sz w:val="24"/>
        </w:rPr>
        <w:t xml:space="preserve"> от Комисията се изисква да докладва както относно констатациите в оценката, включително, ако е уместно, предложения за изменения, така и относно правилата за управление на съответните органи.</w:t>
      </w:r>
    </w:p>
    <w:p>
      <w:pPr>
        <w:jc w:val="both"/>
        <w:rPr>
          <w:rFonts w:ascii="Times New Roman" w:hAnsi="Times New Roman"/>
          <w:noProof/>
          <w:sz w:val="24"/>
          <w:szCs w:val="24"/>
        </w:rPr>
      </w:pPr>
      <w:r>
        <w:rPr>
          <w:rFonts w:ascii="Times New Roman" w:hAnsi="Times New Roman"/>
          <w:noProof/>
          <w:sz w:val="24"/>
        </w:rPr>
        <w:t>Приемането на международните стандарти за финансово отчитане (МСФО)</w:t>
      </w:r>
      <w:r>
        <w:rPr>
          <w:rStyle w:val="FootnoteReference"/>
          <w:rFonts w:ascii="Times New Roman" w:hAnsi="Times New Roman"/>
          <w:noProof/>
          <w:sz w:val="24"/>
        </w:rPr>
        <w:footnoteReference w:id="6"/>
      </w:r>
      <w:r>
        <w:rPr>
          <w:rFonts w:ascii="Times New Roman" w:hAnsi="Times New Roman"/>
          <w:noProof/>
          <w:sz w:val="24"/>
        </w:rPr>
        <w:t>, издадени от Съвета по международни счетоводни стандарти (СМСС), за използване в ЕС имаше за цел да подобри ефективното функциониране на капиталовите пазари в ЕС и на вътрешния пазар.</w:t>
      </w:r>
    </w:p>
    <w:p>
      <w:pPr>
        <w:jc w:val="both"/>
        <w:rPr>
          <w:rFonts w:ascii="Times New Roman" w:hAnsi="Times New Roman"/>
          <w:noProof/>
          <w:sz w:val="24"/>
          <w:szCs w:val="24"/>
        </w:rPr>
      </w:pPr>
      <w:r>
        <w:rPr>
          <w:rFonts w:ascii="Times New Roman" w:hAnsi="Times New Roman"/>
          <w:noProof/>
          <w:sz w:val="24"/>
        </w:rPr>
        <w:t>По силата на регламента от 2005 г. насам консолидираните финансови отчети на регистрираните на фондовата борса дружества от ЕС</w:t>
      </w:r>
      <w:r>
        <w:rPr>
          <w:rStyle w:val="FootnoteReference"/>
          <w:rFonts w:ascii="Times New Roman" w:hAnsi="Times New Roman"/>
          <w:noProof/>
          <w:sz w:val="24"/>
        </w:rPr>
        <w:footnoteReference w:id="7"/>
      </w:r>
      <w:r>
        <w:rPr>
          <w:rFonts w:ascii="Times New Roman" w:hAnsi="Times New Roman"/>
          <w:noProof/>
          <w:sz w:val="24"/>
        </w:rPr>
        <w:t xml:space="preserve"> се изготвят в съответствие с МСФО. Държавите членки могат да разширят прилагането на МСФО към индивидуални годишни финансови отчети и към дружества, които не са регистрирани на борсата. В „Директивата за прозрачността“ </w:t>
      </w:r>
      <w:r>
        <w:rPr>
          <w:rStyle w:val="FootnoteReference"/>
          <w:rFonts w:ascii="Times New Roman" w:hAnsi="Times New Roman"/>
          <w:noProof/>
          <w:sz w:val="24"/>
        </w:rPr>
        <w:footnoteReference w:id="8"/>
      </w:r>
      <w:r>
        <w:rPr>
          <w:rFonts w:ascii="Times New Roman" w:hAnsi="Times New Roman"/>
          <w:noProof/>
          <w:sz w:val="24"/>
        </w:rPr>
        <w:t>се посочва също така, че всички емитенти (включително извън ЕС), чиито ценни книжа са допуснати до търговия на регулиран пазар, намиращ се или действащ в ЕС, трябва да използват МСФО.</w:t>
      </w:r>
    </w:p>
    <w:p>
      <w:pPr>
        <w:jc w:val="both"/>
        <w:rPr>
          <w:rFonts w:ascii="Times New Roman" w:hAnsi="Times New Roman"/>
          <w:noProof/>
          <w:sz w:val="24"/>
          <w:szCs w:val="24"/>
        </w:rPr>
      </w:pPr>
      <w:r>
        <w:rPr>
          <w:rFonts w:ascii="Times New Roman" w:hAnsi="Times New Roman"/>
          <w:noProof/>
          <w:sz w:val="24"/>
        </w:rPr>
        <w:t>Настоящият доклад обобщава резултатите от оценката и очертава възможностите за подобрения. Придружаващият работен документ на службите на Комисията съдържа допълнителни подробности във връзка с настоящия доклад.</w:t>
      </w:r>
    </w:p>
    <w:p>
      <w:pPr>
        <w:pStyle w:val="Heading1"/>
        <w:numPr>
          <w:ilvl w:val="0"/>
          <w:numId w:val="4"/>
        </w:numPr>
        <w:rPr>
          <w:rFonts w:ascii="Times New Roman" w:hAnsi="Times New Roman"/>
          <w:noProof/>
          <w:sz w:val="24"/>
          <w:szCs w:val="24"/>
        </w:rPr>
      </w:pPr>
      <w:bookmarkStart w:id="3" w:name="_Toc410031295"/>
      <w:r>
        <w:rPr>
          <w:rFonts w:ascii="Times New Roman" w:hAnsi="Times New Roman"/>
          <w:noProof/>
          <w:sz w:val="24"/>
        </w:rPr>
        <w:t>Методология</w:t>
      </w:r>
      <w:bookmarkEnd w:id="3"/>
    </w:p>
    <w:p>
      <w:pPr>
        <w:spacing w:before="120" w:after="120"/>
        <w:jc w:val="both"/>
        <w:rPr>
          <w:rFonts w:ascii="Times New Roman" w:hAnsi="Times New Roman"/>
          <w:noProof/>
          <w:sz w:val="24"/>
          <w:szCs w:val="24"/>
        </w:rPr>
      </w:pPr>
      <w:r>
        <w:rPr>
          <w:rFonts w:ascii="Times New Roman" w:hAnsi="Times New Roman"/>
          <w:noProof/>
          <w:sz w:val="24"/>
        </w:rPr>
        <w:t>Комисията направи оценка, която включваше допитване до мнението на заинтересованите страни чрез обществена консултация (август — ноември 2014 г., 200 отговорили), до неформална експертна група (18 публични и частни организации, 3 заседания през 2014 г.), както и до Счетоводния регулаторен комитет (СРК), в който участват представители на всички държави членки. Тя направи преглед на специализираната литература по въпроса за въздействието на задължителното възприемане на МСФО в ЕС и за изпълнението на МСФО по време на кризата. При оценката Комисията разчиташе на експертния опит на своите служители, както и на становищата на съответните международни и европейски органи. Бяха взети по внимание препоръките на г-н Мейстад</w:t>
      </w:r>
      <w:r>
        <w:rPr>
          <w:rStyle w:val="FootnoteReference"/>
          <w:rFonts w:ascii="Times New Roman" w:hAnsi="Times New Roman"/>
          <w:noProof/>
          <w:sz w:val="24"/>
        </w:rPr>
        <w:footnoteReference w:id="9"/>
      </w:r>
      <w:r>
        <w:rPr>
          <w:rFonts w:ascii="Times New Roman" w:hAnsi="Times New Roman"/>
          <w:noProof/>
          <w:sz w:val="24"/>
        </w:rPr>
        <w:t xml:space="preserve"> за укрепването на приноса на ЕС при установяването на стандарти на международно равнище.</w:t>
      </w:r>
    </w:p>
    <w:p>
      <w:pPr>
        <w:jc w:val="both"/>
        <w:rPr>
          <w:rFonts w:ascii="Times New Roman" w:hAnsi="Times New Roman"/>
          <w:noProof/>
          <w:sz w:val="24"/>
          <w:szCs w:val="24"/>
        </w:rPr>
      </w:pPr>
      <w:r>
        <w:rPr>
          <w:rFonts w:ascii="Times New Roman" w:hAnsi="Times New Roman"/>
          <w:noProof/>
          <w:sz w:val="24"/>
        </w:rPr>
        <w:t>Оценката имаше за цел да сравни ситуацията, при която в сила е Регламентът относно МСС, с това, което би се случило, ако МСФО не бяха приети. Липсваше обаче ясна база за сравнение спрямо МСФО, тъй като в ЕС няма тяхна алтернатива. Общоприетите счетоводни принципи (GAAP) на национално равнище и в САЩ се променяха през разглеждания период.</w:t>
      </w:r>
    </w:p>
    <w:p>
      <w:pPr>
        <w:jc w:val="both"/>
        <w:rPr>
          <w:rFonts w:ascii="Times New Roman" w:hAnsi="Times New Roman"/>
          <w:noProof/>
          <w:sz w:val="24"/>
          <w:szCs w:val="24"/>
        </w:rPr>
      </w:pPr>
      <w:r>
        <w:rPr>
          <w:rFonts w:ascii="Times New Roman" w:hAnsi="Times New Roman"/>
          <w:noProof/>
          <w:sz w:val="24"/>
        </w:rPr>
        <w:t>Оценката беше от гледна точка на ЕС като цяло, без систематичен анализ на взаимодействието на регламента с националното законодателство. Оценката не включва технически преглед на МСФО, нито анализ на отделни стандарти от гледна точка на свързаната с тях административна тежест. В нея не се вземат под внимание евентуални алтернативни счетоводни режими по отношение на дружества от ЕС, които не се търгуват на борсата.</w:t>
      </w:r>
    </w:p>
    <w:p>
      <w:pPr>
        <w:spacing w:after="120"/>
        <w:jc w:val="both"/>
        <w:rPr>
          <w:rFonts w:ascii="Times New Roman" w:hAnsi="Times New Roman"/>
          <w:noProof/>
          <w:sz w:val="24"/>
          <w:szCs w:val="24"/>
        </w:rPr>
      </w:pPr>
      <w:r>
        <w:rPr>
          <w:rFonts w:ascii="Times New Roman" w:hAnsi="Times New Roman"/>
          <w:noProof/>
          <w:sz w:val="24"/>
        </w:rPr>
        <w:t>Трудно може да бъде откроено реалното въздействие на МСФО през разглеждания период, тъй като междувременно настъпиха и други големи регулаторни промени; въздействието също така се различава в зависимост от използваните преди МСФО национални общоприети счетоводни принципи. Също така беше трудно да се получи количествена информация относно дружествата, прилагащи МСФО, и относно разходите и ползите. Наличните проучвания са съсредоточени най-вече върху по-големите дружества. Накрая, участието в обществената консултация бе доброволно и съответно не представлява непременно представителна извадка.</w:t>
      </w:r>
    </w:p>
    <w:p>
      <w:pPr>
        <w:jc w:val="both"/>
        <w:rPr>
          <w:rFonts w:ascii="Times New Roman" w:hAnsi="Times New Roman"/>
          <w:noProof/>
          <w:sz w:val="24"/>
          <w:szCs w:val="24"/>
        </w:rPr>
      </w:pPr>
      <w:r>
        <w:rPr>
          <w:rFonts w:ascii="Times New Roman" w:hAnsi="Times New Roman"/>
          <w:noProof/>
          <w:sz w:val="24"/>
        </w:rPr>
        <w:t>Оценката не се занимава с одита. Широко разпространено е мнението, че са необходими висококачествени одити, за да се гарантират надеждни финансови отчети. През разглеждания период ЕС укрепи нормативната база за задължителните одити, включително за независимия надзор на одиторите и одиторските дружества</w:t>
      </w:r>
      <w:r>
        <w:rPr>
          <w:rStyle w:val="FootnoteReference"/>
          <w:rFonts w:ascii="Times New Roman" w:hAnsi="Times New Roman"/>
          <w:noProof/>
          <w:sz w:val="24"/>
        </w:rPr>
        <w:footnoteReference w:id="10"/>
      </w:r>
      <w:r>
        <w:rPr>
          <w:rFonts w:ascii="Times New Roman" w:hAnsi="Times New Roman"/>
          <w:noProof/>
          <w:sz w:val="24"/>
        </w:rPr>
        <w:t xml:space="preserve">.  </w:t>
      </w:r>
    </w:p>
    <w:p>
      <w:pPr>
        <w:pStyle w:val="Heading1"/>
        <w:numPr>
          <w:ilvl w:val="0"/>
          <w:numId w:val="4"/>
        </w:numPr>
        <w:rPr>
          <w:rFonts w:ascii="Times New Roman" w:hAnsi="Times New Roman"/>
          <w:noProof/>
          <w:sz w:val="24"/>
          <w:szCs w:val="24"/>
        </w:rPr>
      </w:pPr>
      <w:bookmarkStart w:id="4" w:name="_Toc410031296"/>
      <w:r>
        <w:rPr>
          <w:rFonts w:ascii="Times New Roman" w:hAnsi="Times New Roman"/>
          <w:noProof/>
          <w:sz w:val="24"/>
        </w:rPr>
        <w:t>Констатации</w:t>
      </w:r>
      <w:bookmarkEnd w:id="4"/>
    </w:p>
    <w:p>
      <w:pPr>
        <w:pStyle w:val="Heading2"/>
        <w:numPr>
          <w:ilvl w:val="1"/>
          <w:numId w:val="4"/>
        </w:numPr>
        <w:rPr>
          <w:rFonts w:ascii="Times New Roman" w:hAnsi="Times New Roman"/>
          <w:noProof/>
          <w:sz w:val="24"/>
          <w:szCs w:val="24"/>
        </w:rPr>
      </w:pPr>
      <w:bookmarkStart w:id="5" w:name="_Toc410031297"/>
      <w:r>
        <w:rPr>
          <w:rFonts w:ascii="Times New Roman" w:hAnsi="Times New Roman"/>
          <w:noProof/>
          <w:sz w:val="24"/>
        </w:rPr>
        <w:t>Критерии за оценка</w:t>
      </w:r>
      <w:bookmarkEnd w:id="5"/>
      <w:r>
        <w:rPr>
          <w:rFonts w:ascii="Times New Roman" w:hAnsi="Times New Roman"/>
          <w:noProof/>
          <w:sz w:val="24"/>
        </w:rPr>
        <w:t xml:space="preserve"> </w:t>
      </w:r>
    </w:p>
    <w:p>
      <w:pPr>
        <w:pStyle w:val="Heading3"/>
        <w:numPr>
          <w:ilvl w:val="2"/>
          <w:numId w:val="4"/>
        </w:numPr>
        <w:jc w:val="both"/>
        <w:rPr>
          <w:rFonts w:ascii="Times New Roman" w:hAnsi="Times New Roman"/>
          <w:noProof/>
          <w:sz w:val="24"/>
          <w:szCs w:val="24"/>
        </w:rPr>
      </w:pPr>
      <w:bookmarkStart w:id="6" w:name="_Toc410031298"/>
      <w:r>
        <w:rPr>
          <w:rFonts w:ascii="Times New Roman" w:hAnsi="Times New Roman"/>
          <w:noProof/>
          <w:sz w:val="24"/>
        </w:rPr>
        <w:t>Ефективност</w:t>
      </w:r>
      <w:bookmarkEnd w:id="6"/>
    </w:p>
    <w:p>
      <w:pPr>
        <w:spacing w:before="100" w:beforeAutospacing="1"/>
        <w:jc w:val="both"/>
        <w:rPr>
          <w:rFonts w:ascii="Times New Roman" w:hAnsi="Times New Roman"/>
          <w:noProof/>
          <w:sz w:val="24"/>
          <w:szCs w:val="24"/>
        </w:rPr>
      </w:pPr>
      <w:r>
        <w:rPr>
          <w:rFonts w:ascii="Times New Roman" w:hAnsi="Times New Roman"/>
          <w:noProof/>
          <w:sz w:val="24"/>
        </w:rPr>
        <w:t>Целта на Регламента относно МСС бе да се хармонизира финансовото отчитане на дружествата, регистрирани за борсова търговия, чрез гарантиране на високо ниво на прозрачност и съпоставимост на финансовите им отчети, за да се увеличи ефикасното функциониране на капиталовите пазари в ЕС и на вътрешния пазар. Регламентът обръща внимание на значението на МСФО в глобален мащаб, за да може дружествата от ЕС да бъдат равнопоставени в конкуренцията за финансовите ресурси на световните капиталови пазари.</w:t>
      </w:r>
    </w:p>
    <w:p>
      <w:pPr>
        <w:pStyle w:val="Heading4"/>
        <w:rPr>
          <w:rFonts w:ascii="Times New Roman" w:hAnsi="Times New Roman"/>
          <w:noProof/>
          <w:sz w:val="24"/>
          <w:szCs w:val="24"/>
        </w:rPr>
      </w:pPr>
      <w:r>
        <w:rPr>
          <w:rFonts w:ascii="Times New Roman" w:hAnsi="Times New Roman"/>
          <w:noProof/>
          <w:sz w:val="24"/>
        </w:rPr>
        <w:t>Прозрачност и съпоставимост</w:t>
      </w:r>
    </w:p>
    <w:p>
      <w:pPr>
        <w:jc w:val="both"/>
        <w:rPr>
          <w:rFonts w:ascii="Times New Roman" w:hAnsi="Times New Roman"/>
          <w:noProof/>
          <w:sz w:val="24"/>
          <w:szCs w:val="24"/>
        </w:rPr>
      </w:pPr>
      <w:r>
        <w:rPr>
          <w:rFonts w:ascii="Times New Roman" w:hAnsi="Times New Roman"/>
          <w:noProof/>
          <w:sz w:val="24"/>
        </w:rPr>
        <w:t>Комисията установи, че Регламентът относно МСС е повишил прозрачността на финансовите отчети чрез подобряване на качеството на счетоводното отчитане и оповестяването, както и чрез повече количествено изразени показатели, което от своя страна води до по-точни пазарни очаквания и аналитични прогнози. Независимо от оставащите различия, той е спомогнал и за по-голямата съпоставимост между финансовите отчети в рамките на промишлените отрасли и между тях, както и на международно равнище.</w:t>
      </w:r>
    </w:p>
    <w:p>
      <w:pPr>
        <w:jc w:val="both"/>
        <w:rPr>
          <w:rFonts w:ascii="Times New Roman" w:hAnsi="Times New Roman"/>
          <w:noProof/>
          <w:sz w:val="24"/>
          <w:szCs w:val="24"/>
        </w:rPr>
      </w:pPr>
      <w:r>
        <w:rPr>
          <w:rFonts w:ascii="Times New Roman" w:hAnsi="Times New Roman"/>
          <w:noProof/>
          <w:sz w:val="24"/>
        </w:rPr>
        <w:t>Данните показват, че качеството на финансовите отчети, изготвени съгласно МСФО, е добро, което от своя страна предполага, че и самите стандарти са с високо качество. Има обаче и критични коментари — във връзка със сложността на стандартите. В констатациите се посочва, че в повечето случаи тази сложност е неизбежна, тъй като тя произтича от сложността на самата стопанска дейност; Въпреки че стандартите не отчитат спецификите на конкретен отрасъл, те са смятани за достатъчно гъвкави, за да обхванат повечето бизнес модели. Породиха се обаче известни опасения относно тяхната пригодност за дългосрочните инвеститори, както и относно мащаба на оповестяването.</w:t>
      </w:r>
    </w:p>
    <w:p>
      <w:pPr>
        <w:jc w:val="both"/>
        <w:rPr>
          <w:rFonts w:ascii="Times New Roman" w:hAnsi="Times New Roman"/>
          <w:noProof/>
          <w:sz w:val="24"/>
          <w:szCs w:val="24"/>
        </w:rPr>
      </w:pPr>
      <w:r>
        <w:rPr>
          <w:rFonts w:ascii="Times New Roman" w:hAnsi="Times New Roman"/>
          <w:noProof/>
          <w:sz w:val="24"/>
        </w:rPr>
        <w:t>В Регламента относно МСС се посочва, че доброто финансово отчитане зависи от правилното и стриктно прилагане. Съгласно Директивата за прозрачността прилагането на счетоводните стандарти е в прерогативите на отделните държави членки; Европейският орган за ценни книжа и пазари (European Securities and Markets Authority — ESMA) координира тяхната работа по задълбочаването на сближаването на надзорните практики и за осигуряване на последователно прилагане на МСФО в ЕС.</w:t>
      </w:r>
    </w:p>
    <w:p>
      <w:pPr>
        <w:jc w:val="both"/>
        <w:rPr>
          <w:rFonts w:ascii="Times New Roman" w:hAnsi="Times New Roman"/>
          <w:noProof/>
          <w:sz w:val="24"/>
          <w:szCs w:val="24"/>
        </w:rPr>
      </w:pPr>
      <w:r>
        <w:rPr>
          <w:rFonts w:ascii="Times New Roman" w:hAnsi="Times New Roman"/>
          <w:noProof/>
          <w:sz w:val="24"/>
        </w:rPr>
        <w:t>Събраните данни сочат, че са налице необходимите механизми, за да се гарантира адекватното прилагане на МСФО, и че ESMA играе важна роля за насърчаването на последователността и съгласуваността при правоприлагането в целия ЕС. Данните показват обаче и че остават някои различия между държавите членки в областта на прилагането.  Неотдавна ESMA публикува нови насоки за прилагане</w:t>
      </w:r>
      <w:r>
        <w:rPr>
          <w:rStyle w:val="FootnoteReference"/>
          <w:rFonts w:ascii="Times New Roman" w:hAnsi="Times New Roman"/>
          <w:noProof/>
          <w:sz w:val="24"/>
        </w:rPr>
        <w:footnoteReference w:id="11"/>
      </w:r>
      <w:r>
        <w:rPr>
          <w:rFonts w:ascii="Times New Roman" w:hAnsi="Times New Roman"/>
          <w:noProof/>
          <w:sz w:val="24"/>
        </w:rPr>
        <w:t>, които биха могли да доведат до по-нататъшни подобрения в тази област, но е твърде рано, за да се оцени тяхното въздействие.</w:t>
      </w:r>
    </w:p>
    <w:p>
      <w:pPr>
        <w:jc w:val="both"/>
        <w:rPr>
          <w:rFonts w:ascii="Times New Roman" w:hAnsi="Times New Roman"/>
          <w:noProof/>
          <w:sz w:val="24"/>
          <w:szCs w:val="24"/>
        </w:rPr>
      </w:pPr>
      <w:r>
        <w:rPr>
          <w:rFonts w:ascii="Times New Roman" w:hAnsi="Times New Roman"/>
          <w:noProof/>
          <w:sz w:val="24"/>
        </w:rPr>
        <w:t>Последователното прилагане на стандартите може да зависи от начина, по който те се тълкуват. ESMA препраща случаите на разнобой в практиката към Комитета за разяснения на МСФО. Комисията приветства ефективното сътрудничество между двата органа.</w:t>
      </w:r>
    </w:p>
    <w:p>
      <w:pPr>
        <w:pStyle w:val="Heading4"/>
        <w:rPr>
          <w:rFonts w:ascii="Times New Roman" w:hAnsi="Times New Roman"/>
          <w:noProof/>
          <w:sz w:val="24"/>
          <w:szCs w:val="24"/>
        </w:rPr>
      </w:pPr>
      <w:r>
        <w:rPr>
          <w:rFonts w:ascii="Times New Roman" w:hAnsi="Times New Roman"/>
          <w:noProof/>
          <w:sz w:val="24"/>
        </w:rPr>
        <w:t>Ефективното функциониране на капиталовите пазари в ЕС и на вътрешния пазар</w:t>
      </w:r>
    </w:p>
    <w:p>
      <w:pPr>
        <w:jc w:val="both"/>
        <w:rPr>
          <w:rFonts w:ascii="Times New Roman" w:hAnsi="Times New Roman"/>
          <w:noProof/>
          <w:sz w:val="24"/>
          <w:szCs w:val="24"/>
        </w:rPr>
      </w:pPr>
      <w:r>
        <w:rPr>
          <w:rFonts w:ascii="Times New Roman" w:hAnsi="Times New Roman"/>
          <w:noProof/>
          <w:sz w:val="24"/>
        </w:rPr>
        <w:t>Комисията установи подобрения във функционирането на капиталовите пазари: по-голяма ликвидност; по-ниски разходи за капитал; увеличаване на трансграничните сделки; по-лесен достъп до капитал на равнище ЕС и на световно равнище; подобрена защита на инвеститорите и запазване на тяхното доверие. При все това, както беше посочено по-горе, въздействието на МСФО не може да бъде изолирано от останалите промени, оказващи влияние върху капиталовите пазари.</w:t>
      </w:r>
    </w:p>
    <w:p>
      <w:pPr>
        <w:jc w:val="both"/>
        <w:rPr>
          <w:rFonts w:ascii="Times New Roman" w:hAnsi="Times New Roman"/>
          <w:noProof/>
          <w:sz w:val="24"/>
          <w:szCs w:val="24"/>
        </w:rPr>
      </w:pPr>
      <w:r>
        <w:rPr>
          <w:rFonts w:ascii="Times New Roman" w:hAnsi="Times New Roman"/>
          <w:noProof/>
          <w:sz w:val="24"/>
        </w:rPr>
        <w:t>Широко обсъден бе въпросът доколко и дали използването на МСФО е допринесло за изострянето на финансовата криза. Коментарите бяха разнородни. В центъра на вниманието попадат два счетоводни аспекта. Първият е използването на текущите цени (справедлива стойност) за определяне стойността на финансови инструменти. Когато пазарите са настроени прекалено оптимистично или прекалено песимистично, може да има надценяване/подценяване. От друга страна, някои инструменти, като например банкови заеми, се отчитат въз основа на тяхната себестойност, като постоянно трябва да се преценява дали клиентите ще изплатят дължимите суми. По време на финансовата криза приложимият стандарт за обезценка на кредити беше широко критикуван за това, че е довел до „твърде малко и твърде закъсняло“ заделяне на резерви. Другите критики са свързани с липсата на оповестяване от някои банки. След обстойна надлежна процедура CМСС публикува през 2014 г. нов стандарт за финансови инструменти (МСФО 9), на който в момента се прави оценка за приемане. Като цяло финансовата криза показа, че стандартите могат да окажат широко икономическо въздействие (вж. 3.2).</w:t>
      </w:r>
    </w:p>
    <w:p>
      <w:pPr>
        <w:pStyle w:val="Heading4"/>
        <w:rPr>
          <w:rFonts w:ascii="Times New Roman" w:hAnsi="Times New Roman"/>
          <w:noProof/>
          <w:sz w:val="24"/>
          <w:szCs w:val="24"/>
        </w:rPr>
      </w:pPr>
      <w:r>
        <w:rPr>
          <w:rFonts w:ascii="Times New Roman" w:hAnsi="Times New Roman"/>
          <w:noProof/>
          <w:sz w:val="24"/>
        </w:rPr>
        <w:t>Световни стандарти</w:t>
      </w:r>
    </w:p>
    <w:p>
      <w:pPr>
        <w:spacing w:after="120"/>
        <w:jc w:val="both"/>
        <w:rPr>
          <w:rFonts w:ascii="Times New Roman" w:hAnsi="Times New Roman"/>
          <w:noProof/>
          <w:sz w:val="24"/>
          <w:szCs w:val="24"/>
        </w:rPr>
      </w:pPr>
      <w:r>
        <w:rPr>
          <w:rFonts w:ascii="Times New Roman" w:hAnsi="Times New Roman"/>
          <w:noProof/>
          <w:sz w:val="24"/>
        </w:rPr>
        <w:t>Регламентът относно МСС предвижда МСФО да станат световни стандарти, което би било от полза за европейските дружества. Заинтересованите страни смятат, че решението на ЕС да приеме МСФО дава тласък за постигането на доверие и за приемането на МСФО в световен мащаб. Към днешна дата над сто страни приемат МСФО, а стандартите са подкрепени от такива международни структури като Г-20, Съветът за финансова стабилност (СФС), Световната банка, Международния валутен фонд и Базелския комитет за банков надзор.</w:t>
      </w:r>
    </w:p>
    <w:p>
      <w:pPr>
        <w:spacing w:after="120"/>
        <w:jc w:val="both"/>
        <w:rPr>
          <w:rFonts w:ascii="Times New Roman" w:hAnsi="Times New Roman"/>
          <w:noProof/>
          <w:sz w:val="24"/>
          <w:szCs w:val="24"/>
        </w:rPr>
      </w:pPr>
      <w:r>
        <w:rPr>
          <w:rFonts w:ascii="Times New Roman" w:hAnsi="Times New Roman"/>
          <w:noProof/>
          <w:sz w:val="24"/>
        </w:rPr>
        <w:t>Съединените щати не позволяват на своите местни дружества да използват МСФО, което представлява съществено ограничение на тяхното прилагане в световен мащаб. Споразумението за „еквивалентност“, с което Комисията по ценните книжа и фондовите борси (SEC) на САЩ приема финансовите отчети за чуждестранни дружества, изготвени съобразно МСФО, е смятано за изключително полезно за около 90 големи емитента от ЕС, регистрирани за борсова търговия в САЩ.</w:t>
      </w:r>
    </w:p>
    <w:p>
      <w:pPr>
        <w:spacing w:after="120"/>
        <w:jc w:val="both"/>
        <w:rPr>
          <w:rFonts w:ascii="Times New Roman" w:hAnsi="Times New Roman"/>
          <w:noProof/>
          <w:sz w:val="24"/>
          <w:szCs w:val="24"/>
        </w:rPr>
      </w:pPr>
      <w:r>
        <w:rPr>
          <w:rFonts w:ascii="Times New Roman" w:hAnsi="Times New Roman"/>
          <w:noProof/>
          <w:sz w:val="24"/>
        </w:rPr>
        <w:t>През 2002 г. СМСС и американският орган за определяне на стандарти (Съветът по финансово-счетоводни стандарти — FASB) започнаха програма за сближаване на своите съответни стандарти. Финансовата криза подчерта значението на тази дейност, която бе активно подкрепяна от Г-20 и Съвета за финансова стабилност. В някои области обаче горепосочените структури не съумяха да постигнат общи позиции.</w:t>
      </w:r>
    </w:p>
    <w:p>
      <w:pPr>
        <w:pStyle w:val="Heading3"/>
        <w:numPr>
          <w:ilvl w:val="2"/>
          <w:numId w:val="4"/>
        </w:numPr>
        <w:jc w:val="both"/>
        <w:rPr>
          <w:rFonts w:ascii="Times New Roman" w:hAnsi="Times New Roman"/>
          <w:noProof/>
          <w:sz w:val="24"/>
          <w:szCs w:val="24"/>
        </w:rPr>
      </w:pPr>
      <w:bookmarkStart w:id="7" w:name="_Toc410031299"/>
      <w:r>
        <w:rPr>
          <w:rFonts w:ascii="Times New Roman" w:hAnsi="Times New Roman"/>
          <w:noProof/>
          <w:sz w:val="24"/>
        </w:rPr>
        <w:t>Ефикасност</w:t>
      </w:r>
      <w:bookmarkEnd w:id="7"/>
    </w:p>
    <w:p>
      <w:pPr>
        <w:spacing w:before="120"/>
        <w:jc w:val="both"/>
        <w:rPr>
          <w:rFonts w:ascii="Times New Roman" w:hAnsi="Times New Roman"/>
          <w:noProof/>
          <w:sz w:val="24"/>
          <w:szCs w:val="24"/>
        </w:rPr>
      </w:pPr>
      <w:r>
        <w:rPr>
          <w:rFonts w:ascii="Times New Roman" w:hAnsi="Times New Roman"/>
          <w:noProof/>
          <w:sz w:val="24"/>
        </w:rPr>
        <w:t>Като цяло, данните от оценката показаха, че ползите от прилагането на Регламента относно МСС надхвърлят разходите.</w:t>
      </w:r>
    </w:p>
    <w:p>
      <w:pPr>
        <w:jc w:val="both"/>
        <w:rPr>
          <w:rFonts w:ascii="Times New Roman" w:hAnsi="Times New Roman"/>
          <w:noProof/>
          <w:sz w:val="24"/>
          <w:szCs w:val="24"/>
        </w:rPr>
      </w:pPr>
      <w:r>
        <w:rPr>
          <w:rFonts w:ascii="Times New Roman" w:hAnsi="Times New Roman"/>
          <w:noProof/>
          <w:sz w:val="24"/>
        </w:rPr>
        <w:t>Към счетоводните стандарти обаче не може лесно да бъде приложен традиционният анализ на разходите и ползите, тъй като ползите не подлежат на количествена оценка в парично изражение; липсват достатъчно данни за разходите и е налице неравномерно разпределение на разходите и ползите, при което разходите в голяма степен са направени от дружествата при изготвянето на финансови отчети по МСФО, докато ползите се поделят между тях, ползвателите на финансови отчети, включително инвеститорите, и икономиката като цяло.</w:t>
      </w:r>
    </w:p>
    <w:p>
      <w:pPr>
        <w:jc w:val="both"/>
        <w:rPr>
          <w:rFonts w:ascii="Times New Roman" w:hAnsi="Times New Roman"/>
          <w:noProof/>
          <w:sz w:val="24"/>
          <w:szCs w:val="24"/>
        </w:rPr>
      </w:pPr>
      <w:r>
        <w:rPr>
          <w:rFonts w:ascii="Times New Roman" w:hAnsi="Times New Roman"/>
          <w:noProof/>
          <w:sz w:val="24"/>
        </w:rPr>
        <w:t>Независимо от това МСФО получиха широката подкрепа на дружествата, което означава, че разходите са съизмерими с ползите. Наличните данни показват, че съотношението на разходите към ползите зависи от характеристиките на дружеството, като например размер и мащаб на международните операции. Някои заинтересовани страни виждат предимства при разширяването на използването на МСФО — дружествата имат възможност да приемат МСФО и да реализират икономии на разходи, особено при дружествата от публично търгувани групи. Също така, някои участници предлагат опростена версия на МСФО, с по-малко оповестявания, която да бъде приложима за дъщерни дружества на публично търгувани групи. Беше отбелязано, че разходите за преминаване към МСФО може да представляват пречка при първично публично предлагане, особено за малките и средните предприятия (МСП).</w:t>
      </w:r>
    </w:p>
    <w:p>
      <w:pPr>
        <w:jc w:val="both"/>
        <w:rPr>
          <w:rFonts w:ascii="Times New Roman" w:hAnsi="Times New Roman"/>
          <w:noProof/>
          <w:sz w:val="24"/>
          <w:szCs w:val="24"/>
        </w:rPr>
      </w:pPr>
      <w:r>
        <w:rPr>
          <w:rFonts w:ascii="Times New Roman" w:hAnsi="Times New Roman"/>
          <w:noProof/>
          <w:sz w:val="24"/>
        </w:rPr>
        <w:t>Ползвателите на финансовите отчети оценяват ползите от МСФО за подобряване на прозрачността и съпоставимостта на финансовите отчети.</w:t>
      </w:r>
    </w:p>
    <w:p>
      <w:pPr>
        <w:jc w:val="both"/>
        <w:rPr>
          <w:rFonts w:ascii="Times New Roman" w:hAnsi="Times New Roman"/>
          <w:noProof/>
          <w:sz w:val="24"/>
          <w:szCs w:val="24"/>
        </w:rPr>
      </w:pPr>
      <w:r>
        <w:rPr>
          <w:rFonts w:ascii="Times New Roman" w:hAnsi="Times New Roman"/>
          <w:noProof/>
          <w:sz w:val="24"/>
        </w:rPr>
        <w:t>Всички заинтересовани страни са изразходвали средства при разработването и одобряването на стандарти. Отзивите сочат, че напоследък балансът между ползите и разходите е неблагоприятно повлиян от честите промени на стандартите, тяхната сложност и нарастващия обем на оповестяването.</w:t>
      </w:r>
      <w:bookmarkStart w:id="8" w:name="_Toc410031300"/>
    </w:p>
    <w:p>
      <w:pPr>
        <w:pStyle w:val="Heading3"/>
        <w:numPr>
          <w:ilvl w:val="2"/>
          <w:numId w:val="4"/>
        </w:numPr>
        <w:jc w:val="both"/>
        <w:rPr>
          <w:rFonts w:ascii="Times New Roman" w:hAnsi="Times New Roman"/>
          <w:noProof/>
          <w:sz w:val="24"/>
          <w:szCs w:val="24"/>
        </w:rPr>
      </w:pPr>
      <w:r>
        <w:rPr>
          <w:rFonts w:ascii="Times New Roman" w:hAnsi="Times New Roman"/>
          <w:noProof/>
          <w:sz w:val="24"/>
        </w:rPr>
        <w:t>Адекватност</w:t>
      </w:r>
      <w:bookmarkEnd w:id="8"/>
      <w:r>
        <w:rPr>
          <w:rFonts w:ascii="Times New Roman" w:hAnsi="Times New Roman"/>
          <w:noProof/>
          <w:sz w:val="24"/>
        </w:rPr>
        <w:t xml:space="preserve"> </w:t>
      </w:r>
    </w:p>
    <w:p>
      <w:pPr>
        <w:spacing w:before="100" w:beforeAutospacing="1"/>
        <w:jc w:val="both"/>
        <w:rPr>
          <w:rFonts w:ascii="Times New Roman" w:hAnsi="Times New Roman"/>
          <w:noProof/>
          <w:sz w:val="24"/>
          <w:szCs w:val="24"/>
        </w:rPr>
      </w:pPr>
      <w:r>
        <w:rPr>
          <w:rFonts w:ascii="Times New Roman" w:hAnsi="Times New Roman"/>
          <w:noProof/>
          <w:sz w:val="24"/>
        </w:rPr>
        <w:t>Като цяло, данните от оценката показаха, че ползите от прилагането на Регламента относно МСС надхвърлят разходите.</w:t>
      </w:r>
    </w:p>
    <w:p>
      <w:pPr>
        <w:jc w:val="both"/>
        <w:rPr>
          <w:rFonts w:ascii="Times New Roman" w:hAnsi="Times New Roman"/>
          <w:noProof/>
          <w:sz w:val="24"/>
          <w:szCs w:val="24"/>
        </w:rPr>
      </w:pPr>
      <w:r>
        <w:rPr>
          <w:rFonts w:ascii="Times New Roman" w:hAnsi="Times New Roman"/>
          <w:noProof/>
          <w:sz w:val="24"/>
        </w:rPr>
        <w:t>Нарастващата глобализация на капиталовите пазари още повече подчерта необходимостта от единни правила за финансово отчитане. На капиталовите пазари в ЕС през 2002 г. нямаше равнопоставени условия за търгуваните на борсата дружества. Тези условия вече са факт, така че дебатът е съсредоточен върху равнопоставеността на условията в световен мащаб. Както беше отбелязано, редица международни организации подкрепят утвърждаването на МСФО като световни стандарти.</w:t>
      </w:r>
    </w:p>
    <w:p>
      <w:pPr>
        <w:spacing w:after="120"/>
        <w:jc w:val="both"/>
        <w:rPr>
          <w:rFonts w:ascii="Times New Roman" w:hAnsi="Times New Roman"/>
          <w:noProof/>
          <w:sz w:val="24"/>
          <w:szCs w:val="24"/>
        </w:rPr>
      </w:pPr>
      <w:r>
        <w:rPr>
          <w:rFonts w:ascii="Times New Roman" w:hAnsi="Times New Roman"/>
          <w:noProof/>
          <w:sz w:val="24"/>
        </w:rPr>
        <w:t>Кризата доказва необходимостта от анализ на въздействието на Регламента върху финансовите пазари и икономиката. В Регламента относно МСС се посочва, че като условие за интеграцията им в ЕС международните стандарти следва да са от полза за европейското обществено благо. Терминът „обществено благо“ не е определен, но може да се предположи, че то включва широката финансова стабилност и икономическа целесъобразност. По-специално, необходимо е да се оцени дали счетоводните стандарти биха могли да бъдат в ущърб на икономиката или на определени заинтересовани страни, като например на дългосрочните инвеститори. Също така нараства нуждата от цялостно разглеждани регламенти, с отчитане на техния кумулативен ефект.</w:t>
      </w:r>
    </w:p>
    <w:p>
      <w:pPr>
        <w:spacing w:after="120"/>
        <w:jc w:val="both"/>
        <w:rPr>
          <w:rFonts w:ascii="Times New Roman" w:hAnsi="Times New Roman"/>
          <w:noProof/>
          <w:sz w:val="24"/>
          <w:szCs w:val="24"/>
        </w:rPr>
      </w:pPr>
      <w:r>
        <w:rPr>
          <w:rFonts w:ascii="Times New Roman" w:hAnsi="Times New Roman"/>
          <w:noProof/>
          <w:sz w:val="24"/>
        </w:rPr>
        <w:t>При приемането на Регламента относно МСС беше постигнато съгласие, че целите му засягат по-скоро регистрираните на фондова борса дружества от ЕС, което беше отразено в обхвата на задължителното прилагане, който държавите членки могат да разширят. Някои заинтересовани страни считат, че използването на МСФО би могло потенциално да доведе до сходни ползи, по-специално за инвеститорите, ако използването им бъде разширено (напр. върху индивидуалните годишни финансови отчети на търгуваните на борсата дружества, които не изготвят консолидирани финансови отчети). Други изтъкнаха риска от налагане на сложни стандарти за МСП.</w:t>
      </w:r>
    </w:p>
    <w:p>
      <w:pPr>
        <w:pStyle w:val="Heading3"/>
        <w:numPr>
          <w:ilvl w:val="2"/>
          <w:numId w:val="4"/>
        </w:numPr>
        <w:jc w:val="both"/>
        <w:rPr>
          <w:rFonts w:ascii="Times New Roman" w:hAnsi="Times New Roman"/>
          <w:noProof/>
          <w:sz w:val="24"/>
          <w:szCs w:val="24"/>
        </w:rPr>
      </w:pPr>
      <w:bookmarkStart w:id="9" w:name="_Toc410031301"/>
      <w:r>
        <w:rPr>
          <w:rFonts w:ascii="Times New Roman" w:hAnsi="Times New Roman"/>
          <w:noProof/>
          <w:sz w:val="24"/>
        </w:rPr>
        <w:t>Съгласуваност</w:t>
      </w:r>
      <w:bookmarkEnd w:id="9"/>
    </w:p>
    <w:p>
      <w:pPr>
        <w:pStyle w:val="Heading4"/>
        <w:spacing w:before="120"/>
        <w:rPr>
          <w:rFonts w:ascii="Times New Roman" w:hAnsi="Times New Roman"/>
          <w:noProof/>
          <w:sz w:val="24"/>
          <w:szCs w:val="24"/>
        </w:rPr>
      </w:pPr>
      <w:r>
        <w:rPr>
          <w:rFonts w:ascii="Times New Roman" w:hAnsi="Times New Roman"/>
          <w:noProof/>
          <w:sz w:val="24"/>
        </w:rPr>
        <w:t>В рамките на Регламента относно МСС</w:t>
      </w:r>
    </w:p>
    <w:p>
      <w:pPr>
        <w:spacing w:after="120"/>
        <w:jc w:val="both"/>
        <w:rPr>
          <w:rFonts w:ascii="Times New Roman" w:hAnsi="Times New Roman"/>
          <w:noProof/>
          <w:sz w:val="24"/>
          <w:szCs w:val="24"/>
        </w:rPr>
      </w:pPr>
      <w:r>
        <w:rPr>
          <w:rFonts w:ascii="Times New Roman" w:hAnsi="Times New Roman"/>
          <w:noProof/>
          <w:sz w:val="24"/>
        </w:rPr>
        <w:t>Приетите от Европейския съюз МСФО са кодифицирани в правно обвързващия Регламент (ЕО) № 1126/2008 на Комисията</w:t>
      </w:r>
      <w:r>
        <w:rPr>
          <w:rStyle w:val="FootnoteReference"/>
          <w:rFonts w:ascii="Times New Roman" w:hAnsi="Times New Roman"/>
          <w:noProof/>
          <w:sz w:val="24"/>
        </w:rPr>
        <w:footnoteReference w:id="12"/>
      </w:r>
      <w:r>
        <w:rPr>
          <w:rFonts w:ascii="Times New Roman" w:hAnsi="Times New Roman"/>
          <w:noProof/>
          <w:sz w:val="24"/>
        </w:rPr>
        <w:t>, изменян във връзка с всеки нов стандарт и промяна. Два пъти годишно Комисията изготвя необвързваща консолидирана версия на настоящите стандарти на всички езици на ЕС. Получената информация разкрива необходимостта от подобряване на превода за някои езици, практически трудности при консолидирането на стандартите и някои несъответствия между СМСС и консолидираните текстове на ЕС. Ето защо една официална кодификация на всички МСФО от страна на Комисията би могла да бъде полезна.</w:t>
      </w:r>
    </w:p>
    <w:p>
      <w:pPr>
        <w:spacing w:after="120"/>
        <w:jc w:val="both"/>
        <w:rPr>
          <w:rFonts w:ascii="Times New Roman" w:hAnsi="Times New Roman"/>
          <w:noProof/>
          <w:sz w:val="24"/>
          <w:szCs w:val="24"/>
        </w:rPr>
      </w:pPr>
      <w:r>
        <w:rPr>
          <w:rFonts w:ascii="Times New Roman" w:hAnsi="Times New Roman"/>
          <w:noProof/>
          <w:sz w:val="24"/>
        </w:rPr>
        <w:t>Някои заинтересовани страни също така поставят въпроса за нуждата от гаранция извън рамките на редовната процедура на СМСС, както и за съответствието на новите стандарти или изменения със съществуващата организация на МСФО.</w:t>
      </w:r>
    </w:p>
    <w:p>
      <w:pPr>
        <w:pStyle w:val="Heading4"/>
        <w:rPr>
          <w:rFonts w:ascii="Times New Roman" w:hAnsi="Times New Roman"/>
          <w:noProof/>
          <w:sz w:val="24"/>
          <w:szCs w:val="24"/>
        </w:rPr>
      </w:pPr>
      <w:r>
        <w:rPr>
          <w:rFonts w:ascii="Times New Roman" w:hAnsi="Times New Roman"/>
          <w:noProof/>
          <w:sz w:val="24"/>
        </w:rPr>
        <w:t>С други законодателни актове на ЕС</w:t>
      </w:r>
    </w:p>
    <w:p>
      <w:pPr>
        <w:spacing w:before="120" w:after="120"/>
        <w:jc w:val="both"/>
        <w:rPr>
          <w:rFonts w:ascii="Times New Roman" w:hAnsi="Times New Roman"/>
          <w:noProof/>
          <w:sz w:val="24"/>
          <w:szCs w:val="24"/>
        </w:rPr>
      </w:pPr>
      <w:r>
        <w:rPr>
          <w:rFonts w:ascii="Times New Roman" w:hAnsi="Times New Roman"/>
          <w:noProof/>
          <w:sz w:val="24"/>
        </w:rPr>
        <w:t>Комисията се ангажира да спомогне за преодоляване на всички противоречия във взаимодействието между Регламента относно МСС и Директивата за счетоводството. До този момент правилното тълкуване и методи на транспониране от държавите членки дадоха възможност тези противоречия да бъдат преодолени.</w:t>
      </w:r>
    </w:p>
    <w:p>
      <w:pPr>
        <w:spacing w:before="120" w:after="120"/>
        <w:jc w:val="both"/>
        <w:rPr>
          <w:rFonts w:ascii="Times New Roman" w:hAnsi="Times New Roman"/>
          <w:noProof/>
          <w:sz w:val="24"/>
          <w:szCs w:val="24"/>
        </w:rPr>
      </w:pPr>
      <w:r>
        <w:rPr>
          <w:rFonts w:ascii="Times New Roman" w:hAnsi="Times New Roman"/>
          <w:noProof/>
          <w:sz w:val="24"/>
        </w:rPr>
        <w:t>Правилата за поддържане на капитал и разпределение на дивидентите също бяха посочени като източник на трудности от правен характер, които могат да възникнат в някои юрисдикции в случаите, когато държавите членки разрешават или изискват използването на МСФО при индивидуални годишни финансови отчети, на които се основава подлежащата на разпределение печалба. Всяка държава членка решава как да отрази тези въпроси в своето национално законодателство в рамките на капиталовите изисквания на ЕС.</w:t>
      </w:r>
    </w:p>
    <w:p>
      <w:pPr>
        <w:spacing w:after="120"/>
        <w:jc w:val="both"/>
        <w:rPr>
          <w:rFonts w:ascii="Times New Roman" w:hAnsi="Times New Roman"/>
          <w:noProof/>
          <w:sz w:val="24"/>
          <w:szCs w:val="24"/>
        </w:rPr>
      </w:pPr>
      <w:r>
        <w:rPr>
          <w:rFonts w:ascii="Times New Roman" w:hAnsi="Times New Roman"/>
          <w:noProof/>
          <w:sz w:val="24"/>
        </w:rPr>
        <w:t xml:space="preserve">Според действащата </w:t>
      </w:r>
      <w:r>
        <w:rPr>
          <w:rFonts w:ascii="Times New Roman" w:hAnsi="Times New Roman"/>
          <w:i/>
          <w:noProof/>
          <w:sz w:val="24"/>
        </w:rPr>
        <w:t>Концептуална рамка</w:t>
      </w:r>
      <w:r>
        <w:rPr>
          <w:rFonts w:ascii="Times New Roman" w:hAnsi="Times New Roman"/>
          <w:noProof/>
          <w:sz w:val="24"/>
        </w:rPr>
        <w:t xml:space="preserve"> на СМСС целта на финансовите отчети с общо предназначение е да предоставят информация за отчитащия се субект, която би била от полза на реални и потенциални инвеститори, заемодатели и други кредитори. Въпреки че финансова информация на базата на МСФО е отправна точка за голяма част от пруденциалните правила, СМСС не включва пруденциални надзорни или регулаторни органи в списъка на ползвателите. Необходимо е обаче да се гарантира, че финансовата информация съответства на нуждите, като същевременно се дава възможност на пруденциалните регулаторни органи да могат да изискват друга информация за постигането на различните цели, които си поставят.</w:t>
      </w:r>
    </w:p>
    <w:p>
      <w:pPr>
        <w:spacing w:before="120" w:after="120"/>
        <w:jc w:val="both"/>
        <w:rPr>
          <w:rFonts w:ascii="Times New Roman" w:hAnsi="Times New Roman"/>
          <w:noProof/>
          <w:sz w:val="24"/>
          <w:szCs w:val="24"/>
        </w:rPr>
      </w:pPr>
      <w:r>
        <w:rPr>
          <w:rFonts w:ascii="Times New Roman" w:hAnsi="Times New Roman"/>
          <w:noProof/>
          <w:sz w:val="24"/>
        </w:rPr>
        <w:t>Получените данни сочат, че въпреки различните модели за отчитане на дружествата, налагани от МСФО, регулаторни изисквания, данъчни правила и капиталови изисквания, тези различия до голяма степен се считат за пропорционални и оправдани предвид преследваните цели.</w:t>
      </w:r>
    </w:p>
    <w:p>
      <w:pPr>
        <w:pStyle w:val="Heading3"/>
        <w:numPr>
          <w:ilvl w:val="2"/>
          <w:numId w:val="4"/>
        </w:numPr>
        <w:jc w:val="both"/>
        <w:rPr>
          <w:rFonts w:ascii="Times New Roman" w:hAnsi="Times New Roman"/>
          <w:noProof/>
          <w:sz w:val="24"/>
          <w:szCs w:val="24"/>
        </w:rPr>
      </w:pPr>
      <w:bookmarkStart w:id="10" w:name="_Toc410031302"/>
      <w:r>
        <w:rPr>
          <w:rFonts w:ascii="Times New Roman" w:hAnsi="Times New Roman"/>
          <w:noProof/>
          <w:sz w:val="24"/>
        </w:rPr>
        <w:t>Добавена стойност за ЕС</w:t>
      </w:r>
      <w:bookmarkEnd w:id="10"/>
    </w:p>
    <w:p>
      <w:pPr>
        <w:spacing w:before="120" w:after="120"/>
        <w:jc w:val="both"/>
        <w:rPr>
          <w:rFonts w:ascii="Times New Roman" w:hAnsi="Times New Roman"/>
          <w:noProof/>
          <w:sz w:val="24"/>
          <w:szCs w:val="24"/>
        </w:rPr>
      </w:pPr>
      <w:r>
        <w:rPr>
          <w:rFonts w:ascii="Times New Roman" w:hAnsi="Times New Roman"/>
          <w:noProof/>
          <w:sz w:val="24"/>
        </w:rPr>
        <w:t>В края на 90-те години интернационализацията на дружества, изграждането на единния пазар и глобализацията на финансовите пазари доведоха до необходимостта от общ счетоводен език за дружествата, регистрирани за борсова търговия. Някои дружества трябваше да изготвят допълнителен набор от сметки съгласно международните стандарти или стандартите на САЩ, тъй като техният национален сметкоплан не бе признат на международно равнище. ЕС реши да прилага МСФО за дружества, регистрирани за борсова търговия, чрез регламент, тъй като трудностите при съчетаването на различни счетоводни традиции между държавите членки биха възпрепятствали адекватното прилагане на счетоводните директиви.</w:t>
      </w:r>
    </w:p>
    <w:p>
      <w:pPr>
        <w:spacing w:after="120"/>
        <w:jc w:val="both"/>
        <w:rPr>
          <w:rFonts w:ascii="Times New Roman" w:hAnsi="Times New Roman"/>
          <w:noProof/>
          <w:sz w:val="24"/>
          <w:szCs w:val="24"/>
        </w:rPr>
      </w:pPr>
      <w:r>
        <w:rPr>
          <w:rFonts w:ascii="Times New Roman" w:hAnsi="Times New Roman"/>
          <w:noProof/>
          <w:sz w:val="24"/>
        </w:rPr>
        <w:t xml:space="preserve">Данните сочат, че целите на регламента са постигнати по ефикасен и ефективен начин и че те са все още актуални. Също така, към днешна дата все още няма ясно определена алтернатива на МСФО. Ето защо Регламентът продължава да има добавена стойност за Европа, като намалява трансграничните бариери чрез общи международни счетоводни правила. Той дава възможност ЕС да участва авторитетно в разработването на международни стандарти. </w:t>
      </w:r>
    </w:p>
    <w:p>
      <w:pPr>
        <w:spacing w:after="120"/>
        <w:jc w:val="both"/>
        <w:rPr>
          <w:rFonts w:ascii="Times New Roman" w:hAnsi="Times New Roman"/>
          <w:noProof/>
          <w:sz w:val="24"/>
          <w:szCs w:val="24"/>
        </w:rPr>
      </w:pPr>
      <w:r>
        <w:rPr>
          <w:rFonts w:ascii="Times New Roman" w:hAnsi="Times New Roman"/>
          <w:noProof/>
          <w:sz w:val="24"/>
        </w:rPr>
        <w:t>Данните показаха, че балансът между задължителния обхват на приложение на регламента и възможността държавите членки да разширят използването на МСФО на национално равнище гарантира надлежно субсидиарността и пропорционалността. Държавите членки са приложили вариантите по различни начини, които отразяват техните специфични икономически и правни условия. Обхватът на задължителното използване на МСФО не е толкова широк, така че да включва и дружествата, които не са регистрирани за борсова търговия, или индивидуалните финансови отчети.</w:t>
      </w:r>
    </w:p>
    <w:p>
      <w:pPr>
        <w:pStyle w:val="Heading2"/>
        <w:numPr>
          <w:ilvl w:val="1"/>
          <w:numId w:val="4"/>
        </w:numPr>
        <w:rPr>
          <w:rFonts w:ascii="Times New Roman" w:hAnsi="Times New Roman"/>
          <w:noProof/>
          <w:sz w:val="24"/>
          <w:szCs w:val="24"/>
        </w:rPr>
      </w:pPr>
      <w:bookmarkStart w:id="11" w:name="_Toc410031303"/>
      <w:r>
        <w:rPr>
          <w:rFonts w:ascii="Times New Roman" w:hAnsi="Times New Roman"/>
          <w:noProof/>
          <w:sz w:val="24"/>
        </w:rPr>
        <w:t>Процедура и критерии за одобрение</w:t>
      </w:r>
      <w:bookmarkEnd w:id="11"/>
      <w:r>
        <w:rPr>
          <w:rFonts w:ascii="Times New Roman" w:hAnsi="Times New Roman"/>
          <w:noProof/>
          <w:sz w:val="24"/>
        </w:rPr>
        <w:t xml:space="preserve"> </w:t>
      </w:r>
    </w:p>
    <w:p>
      <w:pPr>
        <w:pStyle w:val="Heading3"/>
        <w:numPr>
          <w:ilvl w:val="2"/>
          <w:numId w:val="4"/>
        </w:numPr>
        <w:jc w:val="both"/>
        <w:rPr>
          <w:rFonts w:ascii="Times New Roman" w:hAnsi="Times New Roman"/>
          <w:noProof/>
          <w:sz w:val="24"/>
          <w:szCs w:val="24"/>
        </w:rPr>
      </w:pPr>
      <w:r>
        <w:rPr>
          <w:rFonts w:ascii="Times New Roman" w:hAnsi="Times New Roman"/>
          <w:noProof/>
          <w:sz w:val="24"/>
        </w:rPr>
        <w:t>Механизъм за приемане — процедура</w:t>
      </w:r>
    </w:p>
    <w:p>
      <w:pPr>
        <w:spacing w:before="120"/>
        <w:jc w:val="both"/>
        <w:rPr>
          <w:rFonts w:ascii="Times New Roman" w:hAnsi="Times New Roman"/>
          <w:noProof/>
          <w:sz w:val="24"/>
          <w:szCs w:val="24"/>
        </w:rPr>
      </w:pPr>
      <w:r>
        <w:rPr>
          <w:rFonts w:ascii="Times New Roman" w:hAnsi="Times New Roman"/>
          <w:noProof/>
          <w:sz w:val="24"/>
        </w:rPr>
        <w:t>Издадените от СМСС МСФО се одобряват от Комисията в рамките на процедурата по комитология. Процедурата е необходима, за да се гарантира, че стандартите, разработени от частни организации, отговарят на определени критерии и са подходящи за европейската икономика, още преди да станат част от правото на ЕС.</w:t>
      </w:r>
    </w:p>
    <w:p>
      <w:pPr>
        <w:jc w:val="both"/>
        <w:rPr>
          <w:rFonts w:ascii="Times New Roman" w:hAnsi="Times New Roman"/>
          <w:noProof/>
          <w:sz w:val="24"/>
          <w:szCs w:val="24"/>
        </w:rPr>
      </w:pPr>
      <w:r>
        <w:rPr>
          <w:rFonts w:ascii="Times New Roman" w:hAnsi="Times New Roman"/>
          <w:noProof/>
          <w:sz w:val="24"/>
        </w:rPr>
        <w:t>Комисията гарантира, че процедурата протича гладко и ефикасно; допитването показа, че според повечето заинтересовани страни тя функционира добре. Графикът на процедурата буди известни опасения, тъй като създава известна регулаторна несигурност. Независимо от това трябва да бъде взета под внимание необходимостта от подходяща процедура, която дава достатъчно време на заинтересованите страни да дадат своя принос, доколкото е целесъобразно.</w:t>
      </w:r>
    </w:p>
    <w:p>
      <w:pPr>
        <w:jc w:val="both"/>
        <w:rPr>
          <w:rFonts w:ascii="Times New Roman" w:hAnsi="Times New Roman"/>
          <w:noProof/>
          <w:sz w:val="24"/>
          <w:szCs w:val="24"/>
        </w:rPr>
      </w:pPr>
      <w:r>
        <w:rPr>
          <w:rFonts w:ascii="Times New Roman" w:hAnsi="Times New Roman"/>
          <w:noProof/>
          <w:sz w:val="24"/>
        </w:rPr>
        <w:t>Друг важен фактор в процеса на одобрение е пълното разбиране на въздействието на даден стандарт. Към днешна дата СМСС е предоставил ограничен анализ на влиянието на неговите нормативни уредби, като акцентът е върху качеството на предоставяната информация за ползвателите на финансовите отчети. Освен това службите на Комисията и на Европейската консултативна група за финансова отчетност (ЕКГФО) правят оценка на въздействието на стандарта на равнище ЕС.</w:t>
      </w:r>
    </w:p>
    <w:p>
      <w:pPr>
        <w:pStyle w:val="Heading3"/>
        <w:numPr>
          <w:ilvl w:val="2"/>
          <w:numId w:val="4"/>
        </w:numPr>
        <w:jc w:val="both"/>
        <w:rPr>
          <w:rFonts w:ascii="Times New Roman" w:hAnsi="Times New Roman"/>
          <w:noProof/>
          <w:sz w:val="24"/>
          <w:szCs w:val="24"/>
        </w:rPr>
      </w:pPr>
      <w:r>
        <w:rPr>
          <w:rFonts w:ascii="Times New Roman" w:hAnsi="Times New Roman"/>
          <w:noProof/>
          <w:sz w:val="24"/>
        </w:rPr>
        <w:t>Механизъм на приемане — гъвкавост</w:t>
      </w:r>
    </w:p>
    <w:p>
      <w:pPr>
        <w:spacing w:before="120"/>
        <w:jc w:val="both"/>
        <w:rPr>
          <w:rFonts w:ascii="Times New Roman" w:hAnsi="Times New Roman"/>
          <w:noProof/>
          <w:sz w:val="24"/>
          <w:szCs w:val="24"/>
        </w:rPr>
      </w:pPr>
      <w:r>
        <w:rPr>
          <w:rFonts w:ascii="Times New Roman" w:hAnsi="Times New Roman"/>
          <w:noProof/>
          <w:sz w:val="24"/>
        </w:rPr>
        <w:t>Някои заинтересовани страни в Европа считат, че Регламентът относно МСС е лишен от гъвкавост, тъй като той не позволява МСФО да бъдат изменени посредством добавянето на текст, а „заличаването“ („премахване“) на текст е възможно само в ограничени случаи. Едно подобно заличаване, което е в сила от 2005 г. в ЕС, бе използвано от редица банки. Някои заинтересовани страни считат, че стандартите, издадени от СМСС, следва да не бъдат променяни за прилагането в Европа. В доклада „Мейстад“ се посочва, че в тази област е необходима предпазливост и повечето заинтересовани страни подкрепят запазването на статуквото.</w:t>
      </w:r>
    </w:p>
    <w:p>
      <w:pPr>
        <w:jc w:val="both"/>
        <w:rPr>
          <w:rFonts w:ascii="Times New Roman" w:hAnsi="Times New Roman"/>
          <w:noProof/>
          <w:sz w:val="24"/>
          <w:szCs w:val="24"/>
        </w:rPr>
      </w:pPr>
      <w:r>
        <w:rPr>
          <w:rFonts w:ascii="Times New Roman" w:hAnsi="Times New Roman"/>
          <w:noProof/>
          <w:sz w:val="24"/>
        </w:rPr>
        <w:t>В получената обратна информация също се споделя мнението,  че с реформата на ЕКГФО следва да се увеличи влиянието на Европа в разработването на стандарти на по-ранен етап от процеса.</w:t>
      </w:r>
    </w:p>
    <w:p>
      <w:pPr>
        <w:pStyle w:val="Heading3"/>
        <w:numPr>
          <w:ilvl w:val="2"/>
          <w:numId w:val="4"/>
        </w:numPr>
        <w:jc w:val="both"/>
        <w:rPr>
          <w:rFonts w:ascii="Times New Roman" w:hAnsi="Times New Roman"/>
          <w:noProof/>
          <w:sz w:val="24"/>
          <w:szCs w:val="24"/>
        </w:rPr>
      </w:pPr>
      <w:r>
        <w:rPr>
          <w:rFonts w:ascii="Times New Roman" w:hAnsi="Times New Roman"/>
          <w:noProof/>
          <w:sz w:val="24"/>
        </w:rPr>
        <w:t>Критерии за одобрение</w:t>
      </w:r>
    </w:p>
    <w:p>
      <w:pPr>
        <w:spacing w:before="120"/>
        <w:jc w:val="both"/>
        <w:rPr>
          <w:rFonts w:ascii="Times New Roman" w:hAnsi="Times New Roman"/>
          <w:noProof/>
          <w:sz w:val="24"/>
          <w:szCs w:val="24"/>
        </w:rPr>
      </w:pPr>
      <w:r>
        <w:rPr>
          <w:rFonts w:ascii="Times New Roman" w:hAnsi="Times New Roman"/>
          <w:noProof/>
          <w:sz w:val="24"/>
        </w:rPr>
        <w:t>Регламентът относно МСС определя редица критерии, които трябва да бъдат изпълнени преди одобрението им в ЕС. Стандартът следва да не е в противоречие с принципа на „вярната и точна“ оценка, установен в Директивата за счетоводството, следва да допринася за общественото благо в Европа и следва да отговаря на основни критерии, свързани с качеството на необходимите за финансовите отчети данни. В доклада Мейстад се отбеляза, че като елементи на общественото благо може да бъдат добавени два други критерия: стандартите не следва да застрашават финансовата стабилност и не трябва да възпрепятстват икономическото развитие на Съюза. Като алтернатива в доклада се предлага да се излезе със съобщение, което дава насоки за тълкуване на критерия за обществено благо.</w:t>
      </w:r>
    </w:p>
    <w:p>
      <w:pPr>
        <w:jc w:val="both"/>
        <w:rPr>
          <w:rFonts w:ascii="Times New Roman" w:hAnsi="Times New Roman"/>
          <w:noProof/>
          <w:sz w:val="24"/>
          <w:szCs w:val="24"/>
        </w:rPr>
      </w:pPr>
      <w:r>
        <w:rPr>
          <w:rFonts w:ascii="Times New Roman" w:hAnsi="Times New Roman"/>
          <w:noProof/>
          <w:sz w:val="24"/>
        </w:rPr>
        <w:t>Като цяло отзивите показаха адекватността на съществуващите критерии. Някои заинтересовани страни биха искали в Регламента да бъдат включени други критерии. Не се очертава обаче споделяно от мнозинството становище за добавяне на конкретен критерий. Някои заинтересовани страни обаче са на мнение, че ще бъде от полза по-конкретно да се определи обхвата на понятието „европейско обществено благо“, докато други смятат, че наименованието е достатъчно общо, за да има смисъл, и на практика позволява по-голяма гъвкавост. Повечето заинтересовани страни не препоръчват извършване на каквито и да било изменения на Регламента относно МСС и предпочитат Комисията да идентифицира областите на насоченост на ЕКГФО за всеки отделен случай.</w:t>
      </w:r>
    </w:p>
    <w:p>
      <w:pPr>
        <w:jc w:val="both"/>
        <w:rPr>
          <w:rFonts w:ascii="Times New Roman" w:hAnsi="Times New Roman"/>
          <w:noProof/>
          <w:sz w:val="24"/>
          <w:szCs w:val="24"/>
        </w:rPr>
      </w:pPr>
      <w:r>
        <w:rPr>
          <w:rFonts w:ascii="Times New Roman" w:hAnsi="Times New Roman"/>
          <w:noProof/>
          <w:sz w:val="24"/>
        </w:rPr>
        <w:t>Предизвикателството е да се осигури общо разбиране на понятията в регламента, включително „обществено благо“ и „вярно и точно“. В последния случай някои заинтересовани страни препоръчват да се преценява поотделно за всеки стандарт дали той води до благоразумно водене на счетоводство. Според тях това е важен фактор за осигуряване на вярна и точна представа. Комисията, заедно с ЕКГФО, следва да изготви насоки за по-добро разбиране на критериите за одобрение.</w:t>
      </w:r>
    </w:p>
    <w:p>
      <w:pPr>
        <w:pStyle w:val="Heading2"/>
        <w:numPr>
          <w:ilvl w:val="1"/>
          <w:numId w:val="4"/>
        </w:numPr>
        <w:rPr>
          <w:rFonts w:ascii="Times New Roman" w:hAnsi="Times New Roman"/>
          <w:noProof/>
          <w:sz w:val="24"/>
          <w:szCs w:val="24"/>
        </w:rPr>
      </w:pPr>
      <w:bookmarkStart w:id="12" w:name="_Toc410031304"/>
      <w:r>
        <w:rPr>
          <w:rFonts w:ascii="Times New Roman" w:hAnsi="Times New Roman"/>
          <w:noProof/>
          <w:sz w:val="24"/>
        </w:rPr>
        <w:t>Управление</w:t>
      </w:r>
      <w:bookmarkEnd w:id="12"/>
    </w:p>
    <w:p>
      <w:pPr>
        <w:pStyle w:val="Heading3"/>
        <w:numPr>
          <w:ilvl w:val="2"/>
          <w:numId w:val="4"/>
        </w:numPr>
        <w:jc w:val="both"/>
        <w:rPr>
          <w:rFonts w:ascii="Times New Roman" w:hAnsi="Times New Roman"/>
          <w:noProof/>
          <w:sz w:val="24"/>
          <w:szCs w:val="24"/>
        </w:rPr>
      </w:pPr>
      <w:bookmarkStart w:id="13" w:name="_Toc410031305"/>
      <w:r>
        <w:rPr>
          <w:rFonts w:ascii="Times New Roman" w:hAnsi="Times New Roman"/>
          <w:noProof/>
          <w:sz w:val="24"/>
        </w:rPr>
        <w:t>Фондация за МСФО</w:t>
      </w:r>
      <w:bookmarkEnd w:id="13"/>
    </w:p>
    <w:p>
      <w:pPr>
        <w:spacing w:before="120"/>
        <w:jc w:val="both"/>
        <w:rPr>
          <w:rFonts w:ascii="Times New Roman" w:hAnsi="Times New Roman"/>
          <w:noProof/>
          <w:sz w:val="24"/>
          <w:szCs w:val="24"/>
        </w:rPr>
      </w:pPr>
      <w:r>
        <w:rPr>
          <w:rFonts w:ascii="Times New Roman" w:hAnsi="Times New Roman"/>
          <w:noProof/>
          <w:sz w:val="24"/>
        </w:rPr>
        <w:t>Фондацията за МСФО е независима организация за определяне на счетоводни стандарти за над 100 държави. Ето защо тя се нуждае от силни механизми за управление, с които да се гарантира публичната отчетност.</w:t>
      </w:r>
    </w:p>
    <w:p>
      <w:pPr>
        <w:jc w:val="both"/>
        <w:rPr>
          <w:rFonts w:ascii="Times New Roman" w:hAnsi="Times New Roman"/>
          <w:noProof/>
          <w:sz w:val="24"/>
          <w:szCs w:val="24"/>
        </w:rPr>
      </w:pPr>
      <w:r>
        <w:rPr>
          <w:rFonts w:ascii="Times New Roman" w:hAnsi="Times New Roman"/>
          <w:noProof/>
          <w:sz w:val="24"/>
        </w:rPr>
        <w:t>Тя има тристепенна структура на управление, насочена към насърчаване на прозрачността, разделяне на задълженията и адекватен надзор. Съветът за текущо наблюдение на публичните органи, включително Европейската комисия, прави необходимото, за да се гарантира, че Фондацията за МСФО е обект на публичен надзор. Той може да отнася въпросите от широк обществен интерес към СМСС.</w:t>
      </w:r>
    </w:p>
    <w:p>
      <w:pPr>
        <w:jc w:val="both"/>
        <w:rPr>
          <w:rFonts w:ascii="Times New Roman" w:hAnsi="Times New Roman"/>
          <w:noProof/>
          <w:sz w:val="24"/>
          <w:szCs w:val="24"/>
        </w:rPr>
      </w:pPr>
      <w:r>
        <w:rPr>
          <w:rFonts w:ascii="Times New Roman" w:hAnsi="Times New Roman"/>
          <w:noProof/>
          <w:sz w:val="24"/>
        </w:rPr>
        <w:t>През 2013 г. Фондацията за МСФО бе финансирана главно чрез вноски. Нейните усилия са насочени към създаване на (задължителни) национални режими за финансиране, пропорционално на БВП на държавата. До този момент изпълнението на тази задача не е лесно, тъй като много държави, които използват МСФО, не предоставят съизмерими вноски. Следователно фондацията продължава да разчита на доброволни вноски, често от частния сектор, които могат да доведат до риск от конфликт на интереси. ЕС като цяло, заедно с вноските на държавите членки, е основният източник на финансиране за Фондацията за МСФО, с многогодишен ангажимент, който предоставя стабилен източник на финансиране и намалява зависимостта от частния сектор.</w:t>
      </w:r>
    </w:p>
    <w:p>
      <w:pPr>
        <w:jc w:val="both"/>
        <w:rPr>
          <w:rFonts w:ascii="Times New Roman" w:hAnsi="Times New Roman"/>
          <w:noProof/>
          <w:sz w:val="24"/>
          <w:szCs w:val="24"/>
        </w:rPr>
      </w:pPr>
      <w:r>
        <w:rPr>
          <w:rFonts w:ascii="Times New Roman" w:hAnsi="Times New Roman"/>
          <w:noProof/>
          <w:sz w:val="24"/>
        </w:rPr>
        <w:t>В разглеждания период настъпиха редица положителни промени: беше създаден Консултативен форум за счетоводни стандарти, с европейското представителство; бяха отправени препоръки към попечителите от консултативна група относно методологията за работа на място и анализи на последиците, които ще се изпълняват от СМСС; бяха въведени прегледи след прилагането на стандартите.</w:t>
      </w:r>
    </w:p>
    <w:p>
      <w:pPr>
        <w:jc w:val="both"/>
        <w:rPr>
          <w:rFonts w:ascii="Times New Roman" w:hAnsi="Times New Roman"/>
          <w:noProof/>
          <w:sz w:val="24"/>
          <w:szCs w:val="24"/>
        </w:rPr>
      </w:pPr>
      <w:r>
        <w:rPr>
          <w:rFonts w:ascii="Times New Roman" w:hAnsi="Times New Roman"/>
          <w:noProof/>
          <w:sz w:val="24"/>
        </w:rPr>
        <w:t xml:space="preserve">В отговор на исканията на заинтересовани страни, включително на опасенията от страна на ЕС, СМСС развива </w:t>
      </w:r>
      <w:r>
        <w:rPr>
          <w:rStyle w:val="Emphasis"/>
          <w:rFonts w:ascii="Times New Roman" w:hAnsi="Times New Roman"/>
          <w:noProof/>
          <w:sz w:val="24"/>
        </w:rPr>
        <w:t>Концептуална рамка</w:t>
      </w:r>
      <w:r>
        <w:rPr>
          <w:rFonts w:ascii="Times New Roman" w:hAnsi="Times New Roman"/>
          <w:noProof/>
          <w:sz w:val="24"/>
        </w:rPr>
        <w:t xml:space="preserve"> за подобряване на финансовата отчетност чрез предоставяне на пълен и актуализиран набор от понятия, които да бъдат използвани в бъдеще. Проектопредложението беше публикувано на 28 май 2015 г. В него се разглеждат голям брой важни въпроси, включително възстановяване на концепцията за предпазливост като важен елемент на финансовата отчетност.</w:t>
      </w:r>
    </w:p>
    <w:p>
      <w:pPr>
        <w:jc w:val="both"/>
        <w:rPr>
          <w:rFonts w:ascii="Times New Roman" w:hAnsi="Times New Roman"/>
          <w:b/>
          <w:noProof/>
          <w:sz w:val="24"/>
          <w:szCs w:val="24"/>
        </w:rPr>
      </w:pPr>
      <w:r>
        <w:rPr>
          <w:rFonts w:ascii="Times New Roman" w:hAnsi="Times New Roman"/>
          <w:noProof/>
          <w:sz w:val="24"/>
        </w:rPr>
        <w:t>В устава на Фондацията за МСФО е заложен преглед на нейната организационна структура на всеки пет години. Досегашните прегледи значително подобриха управлението ѝ. Следващият преглед ще даде възможност за разглеждане на въпроса относно финансирането на Фондацията и процеса на вземане на решение, включително ролята на Съвета за текущо наблюдение.</w:t>
      </w:r>
    </w:p>
    <w:p>
      <w:pPr>
        <w:pStyle w:val="Heading3"/>
        <w:numPr>
          <w:ilvl w:val="2"/>
          <w:numId w:val="4"/>
        </w:numPr>
        <w:jc w:val="both"/>
        <w:rPr>
          <w:rFonts w:ascii="Times New Roman" w:hAnsi="Times New Roman"/>
          <w:noProof/>
          <w:sz w:val="24"/>
          <w:szCs w:val="24"/>
        </w:rPr>
      </w:pPr>
      <w:bookmarkStart w:id="14" w:name="_Toc410031306"/>
      <w:r>
        <w:rPr>
          <w:rFonts w:ascii="Times New Roman" w:hAnsi="Times New Roman"/>
          <w:noProof/>
          <w:sz w:val="24"/>
        </w:rPr>
        <w:t>ЕКГФО</w:t>
      </w:r>
      <w:bookmarkEnd w:id="14"/>
    </w:p>
    <w:p>
      <w:pPr>
        <w:spacing w:before="120"/>
        <w:jc w:val="both"/>
        <w:rPr>
          <w:rFonts w:ascii="Times New Roman" w:hAnsi="Times New Roman"/>
          <w:noProof/>
          <w:sz w:val="24"/>
          <w:szCs w:val="24"/>
        </w:rPr>
      </w:pPr>
      <w:r>
        <w:rPr>
          <w:rFonts w:ascii="Times New Roman" w:hAnsi="Times New Roman"/>
          <w:noProof/>
          <w:sz w:val="24"/>
        </w:rPr>
        <w:t>През юли 2014 г. Комисията публикува доклад</w:t>
      </w:r>
      <w:r>
        <w:rPr>
          <w:noProof/>
          <w:vertAlign w:val="superscript"/>
        </w:rPr>
        <w:footnoteReference w:id="13"/>
      </w:r>
      <w:r>
        <w:rPr>
          <w:rFonts w:ascii="Times New Roman" w:hAnsi="Times New Roman"/>
          <w:noProof/>
          <w:sz w:val="24"/>
        </w:rPr>
        <w:t xml:space="preserve"> относно напредъка, постигнат в прилагането на реформата на ЕКГФО в резултат на доклада „Мейстад“. Комисията направи благоприятно заключение относно постигнатия до момента напредък. Реформата породи действие на 31 октомври 2014 г. с влизането в сила на измененията на устава и вътрешния правилник на ЕКГФО. Тя предвижда създаването на нов съвет на ЕКГФО — нов орган за вземане на решения, с балансирано представителство на публичните и частните интереси. Целта е да се подсили легитимността на заеманите позиции и да се даде тласък към постигането на целта Европа „да говори с един глас.“</w:t>
      </w:r>
    </w:p>
    <w:p>
      <w:pPr>
        <w:pStyle w:val="Heading1"/>
        <w:numPr>
          <w:ilvl w:val="0"/>
          <w:numId w:val="4"/>
        </w:numPr>
        <w:jc w:val="both"/>
        <w:rPr>
          <w:rFonts w:ascii="Times New Roman" w:hAnsi="Times New Roman"/>
          <w:noProof/>
          <w:sz w:val="24"/>
          <w:szCs w:val="24"/>
        </w:rPr>
      </w:pPr>
      <w:bookmarkStart w:id="15" w:name="_Toc410031307"/>
      <w:r>
        <w:rPr>
          <w:rFonts w:ascii="Times New Roman" w:hAnsi="Times New Roman"/>
          <w:noProof/>
          <w:sz w:val="24"/>
        </w:rPr>
        <w:t>Заключения и следващи стъпки</w:t>
      </w:r>
    </w:p>
    <w:bookmarkEnd w:id="15"/>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Комисията е удовлетворена от цялостното качество на оценката и в този контекст смята, че общите резултати са подкрепени с достатъчно доказателства, въпреки ограничените количествени данни. Ключовите констатации показаха, че целите на регламента са били постигнати.</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Данните показват, че реформата на ЕКГФО през разглеждания период се възприема като важна за укрепването на влиянието на ЕС при разработването на МСФО.</w:t>
      </w:r>
    </w:p>
    <w:p>
      <w:pPr>
        <w:spacing w:after="120"/>
        <w:jc w:val="both"/>
        <w:rPr>
          <w:rFonts w:ascii="Times New Roman" w:hAnsi="Times New Roman"/>
          <w:noProof/>
          <w:sz w:val="24"/>
          <w:szCs w:val="24"/>
        </w:rPr>
      </w:pPr>
      <w:r>
        <w:rPr>
          <w:rFonts w:ascii="Times New Roman" w:hAnsi="Times New Roman"/>
          <w:noProof/>
          <w:sz w:val="24"/>
        </w:rPr>
        <w:t>Съществуват обаче възможности за подобряване на прилагането на разпоредбите на Регламента относно МСС и Комисията набеляза редица практически стъпки, които евентуално да бъдат предприети.</w:t>
      </w:r>
    </w:p>
    <w:p>
      <w:pPr>
        <w:pStyle w:val="Heading4"/>
        <w:rPr>
          <w:rFonts w:ascii="Times New Roman" w:hAnsi="Times New Roman"/>
          <w:noProof/>
          <w:sz w:val="24"/>
          <w:szCs w:val="24"/>
        </w:rPr>
      </w:pPr>
      <w:r>
        <w:rPr>
          <w:rFonts w:ascii="Times New Roman" w:hAnsi="Times New Roman"/>
          <w:noProof/>
          <w:sz w:val="24"/>
        </w:rPr>
        <w:t>Функциониране на Регламента относно МСС</w:t>
      </w:r>
    </w:p>
    <w:p>
      <w:pPr>
        <w:numPr>
          <w:ilvl w:val="0"/>
          <w:numId w:val="11"/>
        </w:numPr>
        <w:jc w:val="both"/>
        <w:rPr>
          <w:rFonts w:ascii="Times New Roman" w:hAnsi="Times New Roman"/>
          <w:b/>
          <w:noProof/>
          <w:sz w:val="24"/>
          <w:szCs w:val="24"/>
        </w:rPr>
      </w:pPr>
      <w:r>
        <w:rPr>
          <w:rFonts w:ascii="Times New Roman" w:hAnsi="Times New Roman"/>
          <w:noProof/>
          <w:sz w:val="24"/>
        </w:rPr>
        <w:t xml:space="preserve">В получените отговори се застъпва тезата, че </w:t>
      </w:r>
      <w:r>
        <w:rPr>
          <w:rFonts w:ascii="Times New Roman" w:hAnsi="Times New Roman"/>
          <w:b/>
          <w:noProof/>
          <w:sz w:val="24"/>
        </w:rPr>
        <w:t>обхватът на Регламента</w:t>
      </w:r>
      <w:r>
        <w:rPr>
          <w:rFonts w:ascii="Times New Roman" w:hAnsi="Times New Roman"/>
          <w:noProof/>
          <w:sz w:val="24"/>
        </w:rPr>
        <w:t xml:space="preserve">, както и възможностите, дадени на държавите членки, са подходящи. В „Зелена книга – Изграждане на съюз на капиталовите пазари“ </w:t>
      </w:r>
      <w:r>
        <w:rPr>
          <w:rStyle w:val="FootnoteReference"/>
          <w:rFonts w:ascii="Times New Roman" w:hAnsi="Times New Roman"/>
          <w:noProof/>
          <w:sz w:val="24"/>
        </w:rPr>
        <w:footnoteReference w:id="14"/>
      </w:r>
      <w:r>
        <w:rPr>
          <w:rFonts w:ascii="Times New Roman" w:hAnsi="Times New Roman"/>
          <w:noProof/>
          <w:sz w:val="24"/>
        </w:rPr>
        <w:t>, Комисията постави началото на дебат за това дали е необходимо разработването на равнище ЕС на висококачествен и опростен счетоводен стандарт за МСП, чиито ценни книжа се търгуват на многостранни системи за търгуване (МСТ), по-специално пазарите за растеж за МСП.</w:t>
      </w:r>
    </w:p>
    <w:p>
      <w:pPr>
        <w:numPr>
          <w:ilvl w:val="0"/>
          <w:numId w:val="11"/>
        </w:numPr>
        <w:spacing w:after="120"/>
        <w:jc w:val="both"/>
        <w:rPr>
          <w:rFonts w:ascii="Times New Roman" w:hAnsi="Times New Roman"/>
          <w:noProof/>
          <w:sz w:val="24"/>
          <w:szCs w:val="24"/>
        </w:rPr>
      </w:pPr>
      <w:r>
        <w:rPr>
          <w:rFonts w:ascii="Times New Roman" w:hAnsi="Times New Roman"/>
          <w:noProof/>
          <w:sz w:val="24"/>
        </w:rPr>
        <w:t xml:space="preserve">Комисията подкрепя </w:t>
      </w:r>
      <w:r>
        <w:rPr>
          <w:rFonts w:ascii="Times New Roman" w:hAnsi="Times New Roman"/>
          <w:b/>
          <w:noProof/>
          <w:sz w:val="24"/>
        </w:rPr>
        <w:t>МСФО като глобални стандарти</w:t>
      </w:r>
      <w:r>
        <w:rPr>
          <w:rFonts w:ascii="Times New Roman" w:hAnsi="Times New Roman"/>
          <w:noProof/>
          <w:sz w:val="24"/>
        </w:rPr>
        <w:t xml:space="preserve"> и продължава да настоява пред Комисията за ценните книжа и фондовите борси на САЩ те да бъдат използвани от местните дружества от САЩ. Сближаването не е самоцел, тъй като МСФО следва да бъдат с високо качество и подходящи за европейските пазари, а оттам и за други юрисдикции по света. Комисията счита, че ангажиментът за използване на МСФО следва да бъде доказан чрез установяване на постоянни финансови вноски за финансиране на Фондацията за МСФО, пропорционални на БВП на съответната държава. Ето защо Комисията призовава с Прегледа на управлението за 2015 г. на Фондацията за МСФО да се гарантира, че използването на МСФО, както и наличието на постоянен финансов принос, са условия за членство в управителните и контролните органи на Фондацията за МСФО и на СМСС.</w:t>
      </w:r>
    </w:p>
    <w:p>
      <w:pPr>
        <w:numPr>
          <w:ilvl w:val="0"/>
          <w:numId w:val="11"/>
        </w:numPr>
        <w:spacing w:after="120"/>
        <w:jc w:val="both"/>
        <w:rPr>
          <w:rFonts w:ascii="Times New Roman" w:hAnsi="Times New Roman"/>
          <w:noProof/>
          <w:sz w:val="24"/>
          <w:szCs w:val="24"/>
        </w:rPr>
      </w:pPr>
      <w:r>
        <w:rPr>
          <w:rFonts w:ascii="Times New Roman" w:hAnsi="Times New Roman"/>
          <w:noProof/>
          <w:sz w:val="24"/>
        </w:rPr>
        <w:t xml:space="preserve">Ефективността и ефикасността на Регламента зависят от </w:t>
      </w:r>
      <w:r>
        <w:rPr>
          <w:rFonts w:ascii="Times New Roman" w:hAnsi="Times New Roman"/>
          <w:b/>
          <w:noProof/>
          <w:sz w:val="24"/>
        </w:rPr>
        <w:t>качеството на самите стандарти</w:t>
      </w:r>
      <w:r>
        <w:rPr>
          <w:rFonts w:ascii="Times New Roman" w:hAnsi="Times New Roman"/>
          <w:noProof/>
          <w:sz w:val="24"/>
        </w:rPr>
        <w:t>, които следва да продължат да бъдат анализирани по подходящ начин при тяхното разработване и приемане. По-конкретно, следва да бъде взето под внимание взаимодействието между Регламента относно МСС и други законодателни актове на ЕС въз основа на общо виждане за цялостната съгласуваност и въздействие, сложността на стандартите и обема на изискванията за оповестяване. Комисията ще разгледа възможността за укрепване на правилата на ЕС, свързани с разпределението на дивиденти.</w:t>
      </w:r>
    </w:p>
    <w:p>
      <w:pPr>
        <w:numPr>
          <w:ilvl w:val="0"/>
          <w:numId w:val="11"/>
        </w:numPr>
        <w:jc w:val="both"/>
        <w:rPr>
          <w:rFonts w:ascii="Times New Roman" w:hAnsi="Times New Roman"/>
          <w:noProof/>
          <w:sz w:val="24"/>
          <w:szCs w:val="24"/>
        </w:rPr>
      </w:pPr>
      <w:r>
        <w:rPr>
          <w:rFonts w:ascii="Times New Roman" w:hAnsi="Times New Roman"/>
          <w:noProof/>
          <w:sz w:val="24"/>
        </w:rPr>
        <w:t xml:space="preserve">Комисията насърчава държавите членки да прилагат </w:t>
      </w:r>
      <w:r>
        <w:rPr>
          <w:rFonts w:ascii="Times New Roman" w:hAnsi="Times New Roman"/>
          <w:b/>
          <w:noProof/>
          <w:sz w:val="24"/>
        </w:rPr>
        <w:t>насоките на ESMA за принудително изпълнение</w:t>
      </w:r>
      <w:r>
        <w:rPr>
          <w:rFonts w:ascii="Times New Roman" w:hAnsi="Times New Roman"/>
          <w:noProof/>
          <w:sz w:val="24"/>
        </w:rPr>
        <w:t xml:space="preserve">. Във връзка със „Зелената книга – Изграждане на съюз на капиталовите пазари“ Комисията ще разгледа дали правомощията на европейските надзорни органи, включително на ESMA, са достатъчни за осигуряване на последователен надзор и дали за пазарните участници би било полезно да прилагат по-ефективни подходи към пазарното и надзорното отчитане с участието на ESMA и националните органи — в зависимост от случая.  </w:t>
      </w:r>
    </w:p>
    <w:p>
      <w:pPr>
        <w:numPr>
          <w:ilvl w:val="0"/>
          <w:numId w:val="11"/>
        </w:numPr>
        <w:jc w:val="both"/>
        <w:rPr>
          <w:rFonts w:ascii="Times New Roman" w:hAnsi="Times New Roman"/>
          <w:noProof/>
          <w:sz w:val="24"/>
          <w:szCs w:val="24"/>
        </w:rPr>
      </w:pPr>
      <w:r>
        <w:rPr>
          <w:rFonts w:ascii="Times New Roman" w:hAnsi="Times New Roman"/>
          <w:noProof/>
          <w:sz w:val="24"/>
        </w:rPr>
        <w:t>С цел опростяване на законодателството и постигане на съгласуваност Комисията ще обмисли възможността за кодификация на законодателството за одобряване на МСФО в средносрочен план след утвърждаването на някои стандарти, които още не са одобрени. Комисията ще търси начини да укрепи сътрудничеството с Фондацията за МСФО, по-специално в областта на преводите.</w:t>
      </w:r>
    </w:p>
    <w:p>
      <w:pPr>
        <w:pStyle w:val="Heading4"/>
        <w:rPr>
          <w:rFonts w:ascii="Times New Roman" w:hAnsi="Times New Roman"/>
          <w:noProof/>
          <w:sz w:val="24"/>
          <w:szCs w:val="24"/>
        </w:rPr>
      </w:pPr>
      <w:r>
        <w:rPr>
          <w:rFonts w:ascii="Times New Roman" w:hAnsi="Times New Roman"/>
          <w:noProof/>
          <w:sz w:val="24"/>
        </w:rPr>
        <w:t>Процес на одобрение</w:t>
      </w:r>
    </w:p>
    <w:p>
      <w:pPr>
        <w:numPr>
          <w:ilvl w:val="0"/>
          <w:numId w:val="7"/>
        </w:numPr>
        <w:jc w:val="both"/>
        <w:rPr>
          <w:rFonts w:ascii="Times New Roman" w:hAnsi="Times New Roman"/>
          <w:noProof/>
          <w:sz w:val="24"/>
          <w:szCs w:val="24"/>
        </w:rPr>
      </w:pPr>
      <w:r>
        <w:rPr>
          <w:rFonts w:ascii="Times New Roman" w:hAnsi="Times New Roman"/>
          <w:noProof/>
          <w:sz w:val="24"/>
        </w:rPr>
        <w:t>Комисията ще гарантира, че нейните искания за становището на ЕКГФО във връзка с приемането отразяват конкретни опасения, включително въпроси за отделни случаи, свързани с общественото благо, с оглед на това в становището на ЕКГФО да им бъде отделено необходимото внимание. Участието на държавите членки на по-ранен етап от процеса ще повиши информираността на службите на Комисията за всякакви опасения, а реформираната структура на управление ЕКГФО ще повиши нейната способност да отговори на повдигнатите въпроси. Комисията ще разработи идеи и практики на работа чрез диалог с ръководството на ЕКГФО, както и с други институции на ЕС.</w:t>
      </w:r>
    </w:p>
    <w:p>
      <w:pPr>
        <w:numPr>
          <w:ilvl w:val="0"/>
          <w:numId w:val="7"/>
        </w:numPr>
        <w:jc w:val="both"/>
        <w:rPr>
          <w:rFonts w:ascii="Times New Roman" w:hAnsi="Times New Roman"/>
          <w:noProof/>
          <w:sz w:val="24"/>
          <w:szCs w:val="24"/>
        </w:rPr>
      </w:pPr>
      <w:r>
        <w:rPr>
          <w:rFonts w:ascii="Times New Roman" w:hAnsi="Times New Roman"/>
          <w:noProof/>
          <w:sz w:val="24"/>
        </w:rPr>
        <w:t>Комисията насърчава ЕКГФО да развие своя капацитет в областта на анализа на въздействието на стандартите, включително макроикономическото въздействие. Комисията приветства наблюдателите от ЕЦБ и европейските надзорни органи на ръководството на ЕКГФО по силата на реформираните правила за управление, които активно споделят своите виждания с управителния съвет, за да се улесни работата в някои области, като например последиците за финансовата стабилност.</w:t>
      </w:r>
    </w:p>
    <w:p>
      <w:pPr>
        <w:pStyle w:val="Heading4"/>
        <w:rPr>
          <w:rFonts w:ascii="Times New Roman" w:hAnsi="Times New Roman"/>
          <w:noProof/>
          <w:sz w:val="24"/>
          <w:szCs w:val="24"/>
        </w:rPr>
      </w:pPr>
      <w:r>
        <w:rPr>
          <w:rFonts w:ascii="Times New Roman" w:hAnsi="Times New Roman"/>
          <w:noProof/>
          <w:sz w:val="24"/>
        </w:rPr>
        <w:t>Механизми за управление на отговорните организации</w:t>
      </w:r>
    </w:p>
    <w:p>
      <w:pPr>
        <w:numPr>
          <w:ilvl w:val="0"/>
          <w:numId w:val="6"/>
        </w:numPr>
        <w:jc w:val="both"/>
        <w:rPr>
          <w:rFonts w:ascii="Times New Roman" w:hAnsi="Times New Roman"/>
          <w:noProof/>
          <w:sz w:val="24"/>
          <w:szCs w:val="24"/>
        </w:rPr>
      </w:pPr>
      <w:r>
        <w:rPr>
          <w:rFonts w:ascii="Times New Roman" w:hAnsi="Times New Roman"/>
          <w:noProof/>
          <w:sz w:val="24"/>
        </w:rPr>
        <w:t>Комисията признава подобренията в управлението на Фондацията за МСФО. Въпреки това, като член на Съвета за текущо управление, Комисията призовава този орган да пренасочи вниманието си от въпросите за вътрешната организация към въпросите от общ интерес, които биха могли да бъдат отнесени към Фондацията за МСФО.</w:t>
      </w:r>
    </w:p>
    <w:p>
      <w:pPr>
        <w:numPr>
          <w:ilvl w:val="0"/>
          <w:numId w:val="6"/>
        </w:numPr>
        <w:jc w:val="both"/>
        <w:rPr>
          <w:rFonts w:ascii="Times New Roman" w:hAnsi="Times New Roman"/>
          <w:noProof/>
          <w:sz w:val="24"/>
          <w:szCs w:val="24"/>
        </w:rPr>
      </w:pPr>
      <w:r>
        <w:rPr>
          <w:rFonts w:ascii="Times New Roman" w:hAnsi="Times New Roman"/>
          <w:noProof/>
          <w:sz w:val="24"/>
        </w:rPr>
        <w:t>Комисията призовава СМСС при разработването на своите стандарти да засили анализите на въздействието, да отчита специфичните нужди на инвеститорите с различни времеви хоризонти за инвестиции и да осигури специфични решения, особено що се отнася до дългосрочни инвеститори.</w:t>
      </w:r>
    </w:p>
    <w:p>
      <w:pPr>
        <w:numPr>
          <w:ilvl w:val="0"/>
          <w:numId w:val="6"/>
        </w:numPr>
        <w:jc w:val="both"/>
        <w:rPr>
          <w:rFonts w:ascii="Times New Roman" w:hAnsi="Times New Roman"/>
          <w:noProof/>
          <w:sz w:val="24"/>
          <w:szCs w:val="24"/>
        </w:rPr>
      </w:pPr>
      <w:r>
        <w:rPr>
          <w:rFonts w:ascii="Times New Roman" w:hAnsi="Times New Roman"/>
          <w:noProof/>
          <w:sz w:val="24"/>
        </w:rPr>
        <w:t xml:space="preserve">Комисията приветства намерението на СМСС да въведе отново принципа на предпазливост в </w:t>
      </w:r>
      <w:r>
        <w:rPr>
          <w:rFonts w:ascii="Times New Roman" w:hAnsi="Times New Roman"/>
          <w:i/>
          <w:noProof/>
          <w:sz w:val="24"/>
        </w:rPr>
        <w:t>Концептуалната рамка</w:t>
      </w:r>
      <w:r>
        <w:rPr>
          <w:rFonts w:ascii="Times New Roman" w:hAnsi="Times New Roman"/>
          <w:noProof/>
          <w:sz w:val="24"/>
        </w:rPr>
        <w:t>.</w:t>
      </w:r>
    </w:p>
    <w:p>
      <w:pPr>
        <w:numPr>
          <w:ilvl w:val="0"/>
          <w:numId w:val="6"/>
        </w:numPr>
        <w:jc w:val="both"/>
        <w:rPr>
          <w:rFonts w:ascii="Times New Roman" w:hAnsi="Times New Roman"/>
          <w:noProof/>
          <w:sz w:val="24"/>
          <w:szCs w:val="24"/>
        </w:rPr>
      </w:pPr>
      <w:r>
        <w:rPr>
          <w:rFonts w:ascii="Times New Roman" w:hAnsi="Times New Roman"/>
          <w:noProof/>
          <w:sz w:val="24"/>
        </w:rPr>
        <w:t>Комисията одобри и контролира провеждането на реформата на управлението на ЕКГФО през 2014 г. С цел да се гарантира постигането на целта за укрепване на влиянието на ЕС при разработването на международните счетоводни стандарти, Комисията ще продължи внимателно да следи влиянието на реформата и ще докладва ежегодно в съответствие с Регламент 258/2014.</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Регламент (ЕО) № 1606/2002 на Европейския парламент и на Съвета от 19 юли 2002 г. за прилагането на международните счетоводни стандарти (ОВ L 243, 11.9.2002 г.).</w:t>
      </w:r>
    </w:p>
  </w:footnote>
  <w:footnote w:id="3">
    <w:p>
      <w:pPr>
        <w:pStyle w:val="FootnoteText"/>
        <w:rPr>
          <w:lang w:val="en-GB"/>
        </w:rPr>
      </w:pPr>
      <w:r>
        <w:rPr>
          <w:rStyle w:val="FootnoteReference"/>
        </w:rPr>
        <w:footnoteRef/>
      </w:r>
      <w:r>
        <w:t xml:space="preserve"> </w:t>
      </w:r>
      <w:r>
        <w:rPr>
          <w:rFonts w:ascii="Times New Roman" w:hAnsi="Times New Roman"/>
        </w:rPr>
        <w:t>COM(2008) 215.</w:t>
      </w:r>
    </w:p>
  </w:footnote>
  <w:footnote w:id="4">
    <w:p>
      <w:pPr>
        <w:pStyle w:val="FootnoteText"/>
        <w:rPr>
          <w:lang w:val="en-GB"/>
        </w:rPr>
      </w:pPr>
      <w:r>
        <w:rPr>
          <w:rStyle w:val="FootnoteReference"/>
        </w:rPr>
        <w:footnoteRef/>
      </w:r>
      <w:r>
        <w:t xml:space="preserve"> </w:t>
      </w:r>
      <w:r>
        <w:rPr>
          <w:rFonts w:ascii="Times New Roman" w:hAnsi="Times New Roman"/>
        </w:rPr>
        <w:t>COM(2014) 368.</w:t>
      </w:r>
    </w:p>
  </w:footnote>
  <w:footnote w:id="5">
    <w:p>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Член 9, параграф 2 от Регламент (ЕС) № 258/2014 на Европейския парламент и на Съвета от 3 април 2014 г. за създаване на програма на Съюза в подкрепа на специфични дейности в областта на финансовото отчитане и одита за периода 2014—2020 г. и за отмяна на Решение № 716/2009/ЕО, ОВ L 105, 8.4.2014 г.</w:t>
      </w:r>
    </w:p>
  </w:footnote>
  <w:footnote w:id="6">
    <w:p>
      <w:pPr>
        <w:pStyle w:val="FootnoteText"/>
        <w:jc w:val="both"/>
        <w:rPr>
          <w:lang w:val="en-GB"/>
        </w:rPr>
      </w:pPr>
      <w:r>
        <w:rPr>
          <w:rStyle w:val="FootnoteReference"/>
          <w:rFonts w:ascii="Times New Roman" w:hAnsi="Times New Roman"/>
        </w:rPr>
        <w:footnoteRef/>
      </w:r>
      <w:r>
        <w:rPr>
          <w:rFonts w:ascii="Times New Roman" w:hAnsi="Times New Roman"/>
        </w:rPr>
        <w:t xml:space="preserve"> Международните счетоводни стандарти (МСС) бяха първоначално издадени от Комитета по международните счетоводни стандарти (КМСС), предшественик на СМСС.</w:t>
      </w:r>
    </w:p>
  </w:footnote>
  <w:footnote w:id="7">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С ценни книжа, търгувани на регулиран пазар на ЕС.</w:t>
      </w:r>
    </w:p>
  </w:footnote>
  <w:footnote w:id="8">
    <w:p>
      <w:pPr>
        <w:pStyle w:val="FootnoteText"/>
        <w:jc w:val="both"/>
        <w:rPr>
          <w:lang w:val="en-GB"/>
        </w:rPr>
      </w:pPr>
      <w:r>
        <w:rPr>
          <w:rStyle w:val="FootnoteReference"/>
          <w:rFonts w:ascii="Times New Roman" w:hAnsi="Times New Roman"/>
        </w:rPr>
        <w:footnoteRef/>
      </w:r>
      <w:r>
        <w:rPr>
          <w:rFonts w:ascii="Times New Roman" w:hAnsi="Times New Roman"/>
        </w:rPr>
        <w:t xml:space="preserve"> Директива 2004/109/ЕО на Европейския парламент и на Съвета от 15 декември 2004 г. относно хармонизиране изискванията за прозрачност по отношение на информацията за издателите, чиито ценни книжа са допуснати за търгуване на регулиран пазар, и за изменение на Директива 2001/34/ЕО (ОВ L 390, 31.12.2004 г.).</w:t>
      </w:r>
    </w:p>
  </w:footnote>
  <w:footnote w:id="9">
    <w:p>
      <w:pPr>
        <w:pStyle w:val="FootnoteText"/>
        <w:jc w:val="both"/>
        <w:rPr>
          <w:lang w:val="en-GB"/>
        </w:rPr>
      </w:pPr>
      <w:r>
        <w:rPr>
          <w:rStyle w:val="FootnoteReference"/>
        </w:rPr>
        <w:footnoteRef/>
      </w:r>
      <w:r>
        <w:t xml:space="preserve"> </w:t>
      </w:r>
      <w:r>
        <w:rPr>
          <w:rFonts w:ascii="Times New Roman" w:hAnsi="Times New Roman"/>
        </w:rPr>
        <w:t>Should IFRS Standards be more "European"?; Mission to reinforce the EU’s contribution to the development of international accounting standards; Доклад, изготвен от Philippe Maystadt — октомври 2013 г.</w:t>
      </w:r>
      <w:r>
        <w:t xml:space="preserve"> </w:t>
      </w:r>
    </w:p>
  </w:footnote>
  <w:footnote w:id="10">
    <w:p>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Директива 2006/43 относно задължителния одит на годишните счетоводни отчети и консолидираните счетоводни отчети, изменена с Директива 2014/56 и Регламент № 537/2014, приложим, считано от средата на юни 2016 г. </w:t>
      </w:r>
    </w:p>
  </w:footnote>
  <w:footnote w:id="11">
    <w:p>
      <w:pPr>
        <w:pStyle w:val="FootnoteText"/>
        <w:rPr>
          <w:lang w:val="en-GB"/>
        </w:rPr>
      </w:pPr>
      <w:r>
        <w:rPr>
          <w:rStyle w:val="FootnoteReference"/>
        </w:rPr>
        <w:footnoteRef/>
      </w:r>
      <w:r>
        <w:t xml:space="preserve"> </w:t>
      </w:r>
      <w:r>
        <w:rPr>
          <w:rFonts w:ascii="Times New Roman" w:hAnsi="Times New Roman"/>
        </w:rPr>
        <w:t>ESMA/2014/807.</w:t>
      </w:r>
    </w:p>
  </w:footnote>
  <w:footnote w:id="12">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Регламент (ЕО) № 1126/2008 на Комисията от 3 ноември 2008 г. за приемане на някои международни счетоводни стандарти в съответствие с Регламент (ЕО) № 1606/2002 на Европейския парламент и на Съвета, ОВ L 320, 29.11.2008 г.</w:t>
      </w:r>
    </w:p>
  </w:footnote>
  <w:footnote w:id="13">
    <w:p>
      <w:pPr>
        <w:pStyle w:val="FootnoteText"/>
        <w:rPr>
          <w:rFonts w:ascii="Times New Roman" w:hAnsi="Times New Roman"/>
          <w:lang w:val="en-GB"/>
        </w:rPr>
      </w:pPr>
      <w:r>
        <w:rPr>
          <w:rStyle w:val="FootnoteReference"/>
          <w:sz w:val="18"/>
        </w:rPr>
        <w:footnoteRef/>
      </w:r>
      <w:r>
        <w:rPr>
          <w:sz w:val="18"/>
        </w:rPr>
        <w:t xml:space="preserve"> </w:t>
      </w:r>
      <w:r>
        <w:rPr>
          <w:rFonts w:ascii="Times New Roman" w:hAnsi="Times New Roman"/>
        </w:rPr>
        <w:t>COM(2014) 396.</w:t>
      </w:r>
    </w:p>
  </w:footnote>
  <w:footnote w:id="14">
    <w:p>
      <w:pPr>
        <w:pStyle w:val="FootnoteText"/>
        <w:rPr>
          <w:lang w:val="fr-BE"/>
        </w:rPr>
      </w:pPr>
      <w:r>
        <w:rPr>
          <w:rStyle w:val="FootnoteReference"/>
        </w:rPr>
        <w:footnoteRef/>
      </w:r>
      <w:r>
        <w:t xml:space="preserve"> </w:t>
      </w:r>
      <w:r>
        <w:rPr>
          <w:rFonts w:ascii="Times New Roman" w:hAnsi="Times New Roman"/>
        </w:rPr>
        <w:t xml:space="preserve">COM(2015)063.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764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
    <w:nsid w:val="0E145578"/>
    <w:multiLevelType w:val="hybridMultilevel"/>
    <w:tmpl w:val="610C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90B93"/>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
    <w:nsid w:val="25113990"/>
    <w:multiLevelType w:val="hybridMultilevel"/>
    <w:tmpl w:val="DDBA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445C34"/>
    <w:multiLevelType w:val="hybridMultilevel"/>
    <w:tmpl w:val="3D7E5A74"/>
    <w:lvl w:ilvl="0" w:tplc="83863B32">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006C30"/>
    <w:multiLevelType w:val="hybridMultilevel"/>
    <w:tmpl w:val="61DE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717BC4"/>
    <w:multiLevelType w:val="hybridMultilevel"/>
    <w:tmpl w:val="AC748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8C648C"/>
    <w:multiLevelType w:val="hybridMultilevel"/>
    <w:tmpl w:val="095A265E"/>
    <w:lvl w:ilvl="0" w:tplc="309296A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B44280"/>
    <w:multiLevelType w:val="hybridMultilevel"/>
    <w:tmpl w:val="38D81740"/>
    <w:lvl w:ilvl="0" w:tplc="6AD620EA">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D6782E"/>
    <w:multiLevelType w:val="hybridMultilevel"/>
    <w:tmpl w:val="A8FA1EC0"/>
    <w:lvl w:ilvl="0" w:tplc="9FD081D4">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5D050A"/>
    <w:multiLevelType w:val="hybridMultilevel"/>
    <w:tmpl w:val="ABB00080"/>
    <w:lvl w:ilvl="0" w:tplc="08090001">
      <w:start w:val="1"/>
      <w:numFmt w:val="bullet"/>
      <w:lvlText w:val=""/>
      <w:lvlJc w:val="left"/>
      <w:pPr>
        <w:ind w:left="720" w:hanging="360"/>
      </w:pPr>
      <w:rPr>
        <w:rFonts w:ascii="Symbol" w:hAnsi="Symbol" w:hint="default"/>
      </w:rPr>
    </w:lvl>
    <w:lvl w:ilvl="1" w:tplc="6C64D86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0B5994"/>
    <w:multiLevelType w:val="hybridMultilevel"/>
    <w:tmpl w:val="91F843D0"/>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2">
    <w:nsid w:val="6F0154BF"/>
    <w:multiLevelType w:val="hybridMultilevel"/>
    <w:tmpl w:val="E4B49156"/>
    <w:lvl w:ilvl="0" w:tplc="08090001">
      <w:start w:val="1"/>
      <w:numFmt w:val="bullet"/>
      <w:lvlText w:val=""/>
      <w:lvlJc w:val="left"/>
      <w:pPr>
        <w:ind w:left="720" w:hanging="360"/>
      </w:pPr>
      <w:rPr>
        <w:rFonts w:ascii="Symbol" w:hAnsi="Symbol" w:hint="default"/>
      </w:rPr>
    </w:lvl>
    <w:lvl w:ilvl="1" w:tplc="163C6CFC">
      <w:start w:val="4"/>
      <w:numFmt w:val="bullet"/>
      <w:lvlText w:val="-"/>
      <w:lvlJc w:val="left"/>
      <w:pPr>
        <w:tabs>
          <w:tab w:val="num" w:pos="1440"/>
        </w:tabs>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5C6A39"/>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abstractNumId w:val="7"/>
  </w:num>
  <w:num w:numId="2">
    <w:abstractNumId w:val="8"/>
  </w:num>
  <w:num w:numId="3">
    <w:abstractNumId w:val="13"/>
  </w:num>
  <w:num w:numId="4">
    <w:abstractNumId w:val="2"/>
  </w:num>
  <w:num w:numId="5">
    <w:abstractNumId w:val="7"/>
  </w:num>
  <w:num w:numId="6">
    <w:abstractNumId w:val="4"/>
  </w:num>
  <w:num w:numId="7">
    <w:abstractNumId w:val="3"/>
  </w:num>
  <w:num w:numId="8">
    <w:abstractNumId w:val="12"/>
  </w:num>
  <w:num w:numId="9">
    <w:abstractNumId w:val="5"/>
  </w:num>
  <w:num w:numId="10">
    <w:abstractNumId w:val="0"/>
  </w:num>
  <w:num w:numId="11">
    <w:abstractNumId w:val="10"/>
  </w:num>
  <w:num w:numId="12">
    <w:abstractNumId w:val="9"/>
  </w:num>
  <w:num w:numId="13">
    <w:abstractNumId w:val="6"/>
  </w:num>
  <w:num w:numId="14">
    <w:abstractNumId w:val="1"/>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oNotTrackMoves/>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B49B2851C9A84B26A8EE8C3F7F9823D7"/>
    <w:docVar w:name="LW_CROSSREFERENCE" w:val="{SWD(2015) 120 final}"/>
    <w:docVar w:name="LW_DocType" w:val="NORMAL"/>
    <w:docVar w:name="LW_EMISSION" w:val="18.6.2015"/>
    <w:docVar w:name="LW_EMISSION_ISODATE" w:val="2015-06-18"/>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01"/>
    <w:docVar w:name="LW_REF.INTERNE" w:val="&lt;UNUSED&gt;"/>
    <w:docVar w:name="LW_SOUS.TITRE.OBJ.CP" w:val="&lt;UNUSED&gt;"/>
    <w:docVar w:name="LW_SUPERTITRE" w:val="&lt;UNUSED&gt;"/>
    <w:docVar w:name="LW_TITRE.OBJ.CP" w:val="\u1054?\u1062?\u1045?\u1053?\u1050?\u1040? \u1053?\u1040? \u1056?\u1045?\u1043?\u1051?\u1040?\u1052?\u1045?\u1053?\u1058? (\u1045?\u1054?) 1606/2002 \u1054?\u1058? 19 \u1070?\u1051?\u1048? 2002 \u1043?. \u1047?\u1040? \u1055?\u1056?\u1048?\u1051?\u1040?\u1043?\u1040?\u1053?\u1045?\u1058?\u1054? \u1053?\u1040? \u1052?\u1045?\u1046?\u1044?\u1059?\u1053?\u1040?\u1056?\u1054?\u1044?\u1053?\u1048?\u1058?\u1045? \u1057?\u1063?\u1045?\u1058?\u1054?\u1042?\u1054?\u1044?\u1053?\u1048? \u1057?\u1058?\u1040?\u1053?\u1044?\u1040?\u1056?\u1058?\u1048?"/>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bg-BG"/>
    </w:rPr>
  </w:style>
  <w:style w:type="character" w:customStyle="1" w:styleId="Heading3Char">
    <w:name w:val="Heading 3 Char"/>
    <w:rPr>
      <w:rFonts w:ascii="Cambria" w:eastAsia="Times New Roman" w:hAnsi="Cambria" w:cs="Times New Roman"/>
      <w:b/>
      <w:bCs/>
      <w:sz w:val="26"/>
      <w:szCs w:val="26"/>
      <w:lang w:eastAsia="bg-BG"/>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bg-BG"/>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bg-BG"/>
    </w:rPr>
  </w:style>
  <w:style w:type="paragraph" w:styleId="Header">
    <w:name w:val="header"/>
    <w:basedOn w:val="Normal"/>
    <w:unhideWhenUsed/>
    <w:pPr>
      <w:tabs>
        <w:tab w:val="center" w:pos="4536"/>
        <w:tab w:val="right" w:pos="9072"/>
      </w:tabs>
    </w:pPr>
  </w:style>
  <w:style w:type="character" w:customStyle="1" w:styleId="HeaderChar">
    <w:name w:val="Header Char"/>
    <w:rPr>
      <w:sz w:val="22"/>
      <w:szCs w:val="22"/>
      <w:lang w:eastAsia="bg-BG"/>
    </w:rPr>
  </w:style>
  <w:style w:type="paragraph" w:styleId="Footer">
    <w:name w:val="footer"/>
    <w:basedOn w:val="Normal"/>
    <w:uiPriority w:val="99"/>
    <w:unhideWhenUsed/>
    <w:pPr>
      <w:tabs>
        <w:tab w:val="center" w:pos="4536"/>
        <w:tab w:val="right" w:pos="9072"/>
      </w:tabs>
    </w:pPr>
  </w:style>
  <w:style w:type="character" w:customStyle="1" w:styleId="FooterChar">
    <w:name w:val="Footer Char"/>
    <w:uiPriority w:val="99"/>
    <w:rPr>
      <w:sz w:val="22"/>
      <w:szCs w:val="22"/>
      <w:lang w:eastAsia="bg-BG"/>
    </w:rPr>
  </w:style>
  <w:style w:type="paragraph" w:styleId="FootnoteText">
    <w:name w:val="footnote text"/>
    <w:aliases w:val=" Char3,Char3"/>
    <w:basedOn w:val="Normal"/>
    <w:semiHidden/>
    <w:unhideWhenUsed/>
    <w:pPr>
      <w:spacing w:after="0" w:line="240" w:lineRule="auto"/>
    </w:pPr>
    <w:rPr>
      <w:sz w:val="20"/>
      <w:szCs w:val="20"/>
    </w:rPr>
  </w:style>
  <w:style w:type="character" w:customStyle="1" w:styleId="FootnoteTextChar">
    <w:name w:val="Footnote Text Char"/>
    <w:aliases w:val=" Char3 Char,Char3 Char"/>
    <w:rPr>
      <w:lang w:val="bg-BG" w:eastAsia="bg-BG"/>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E Fußnotenzeichen"/>
    <w:semiHidden/>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bg-BG"/>
    </w:rPr>
  </w:style>
  <w:style w:type="character" w:styleId="Emphasis">
    <w:name w:val="Emphasis"/>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cs="Arial"/>
      <w:sz w:val="22"/>
      <w:szCs w:val="22"/>
    </w:rPr>
  </w:style>
  <w:style w:type="character" w:customStyle="1" w:styleId="NoSpacingChar">
    <w:name w:val="No Spacing Char"/>
    <w:link w:val="NoSpacing"/>
    <w:uiPriority w:val="1"/>
    <w:rPr>
      <w:rFonts w:eastAsia="MS Mincho" w:cs="Arial"/>
      <w:sz w:val="22"/>
      <w:szCs w:val="22"/>
      <w:lang w:val="bg-B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28"/>
      <w:sz w:val="24"/>
    </w:rPr>
  </w:style>
  <w:style w:type="character" w:customStyle="1" w:styleId="TitleChar1">
    <w:name w:val="Title Char1"/>
    <w:link w:val="Title"/>
    <w:rPr>
      <w:rFonts w:ascii="Cambria" w:eastAsia="Times New Roman" w:hAnsi="Cambria"/>
      <w:b/>
      <w:bCs/>
      <w:kern w:val="28"/>
      <w:sz w:val="32"/>
      <w:szCs w:val="32"/>
      <w:lang w:eastAsia="bg-BG"/>
    </w:rPr>
  </w:style>
  <w:style w:type="character" w:customStyle="1" w:styleId="FooterCoverPageChar">
    <w:name w:val="Footer Cover Page Char"/>
    <w:link w:val="FooterCoverPage"/>
    <w:rPr>
      <w:rFonts w:ascii="Times New Roman" w:eastAsia="Times New Roman" w:hAnsi="Times New Roman"/>
      <w:kern w:val="28"/>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28"/>
      <w:sz w:val="24"/>
    </w:rPr>
  </w:style>
  <w:style w:type="character" w:customStyle="1" w:styleId="HeaderCoverPageChar">
    <w:name w:val="Header Cover Page Char"/>
    <w:link w:val="HeaderCoverPage"/>
    <w:rPr>
      <w:rFonts w:ascii="Times New Roman" w:eastAsia="Times New Roman" w:hAnsi="Times New Roman"/>
      <w:kern w:val="28"/>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bg-BG"/>
    </w:rPr>
  </w:style>
  <w:style w:type="character" w:customStyle="1" w:styleId="Heading3Char">
    <w:name w:val="Heading 3 Char"/>
    <w:rPr>
      <w:rFonts w:ascii="Cambria" w:eastAsia="Times New Roman" w:hAnsi="Cambria" w:cs="Times New Roman"/>
      <w:b/>
      <w:bCs/>
      <w:sz w:val="26"/>
      <w:szCs w:val="26"/>
      <w:lang w:eastAsia="bg-BG"/>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bg-BG"/>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bg-BG"/>
    </w:rPr>
  </w:style>
  <w:style w:type="paragraph" w:styleId="Header">
    <w:name w:val="header"/>
    <w:basedOn w:val="Normal"/>
    <w:unhideWhenUsed/>
    <w:pPr>
      <w:tabs>
        <w:tab w:val="center" w:pos="4536"/>
        <w:tab w:val="right" w:pos="9072"/>
      </w:tabs>
    </w:pPr>
  </w:style>
  <w:style w:type="character" w:customStyle="1" w:styleId="HeaderChar">
    <w:name w:val="Header Char"/>
    <w:rPr>
      <w:sz w:val="22"/>
      <w:szCs w:val="22"/>
      <w:lang w:eastAsia="bg-BG"/>
    </w:rPr>
  </w:style>
  <w:style w:type="paragraph" w:styleId="Footer">
    <w:name w:val="footer"/>
    <w:basedOn w:val="Normal"/>
    <w:uiPriority w:val="99"/>
    <w:unhideWhenUsed/>
    <w:pPr>
      <w:tabs>
        <w:tab w:val="center" w:pos="4536"/>
        <w:tab w:val="right" w:pos="9072"/>
      </w:tabs>
    </w:pPr>
  </w:style>
  <w:style w:type="character" w:customStyle="1" w:styleId="FooterChar">
    <w:name w:val="Footer Char"/>
    <w:uiPriority w:val="99"/>
    <w:rPr>
      <w:sz w:val="22"/>
      <w:szCs w:val="22"/>
      <w:lang w:eastAsia="bg-BG"/>
    </w:rPr>
  </w:style>
  <w:style w:type="paragraph" w:styleId="FootnoteText">
    <w:name w:val="footnote text"/>
    <w:aliases w:val=" Char3,Char3"/>
    <w:basedOn w:val="Normal"/>
    <w:semiHidden/>
    <w:unhideWhenUsed/>
    <w:pPr>
      <w:spacing w:after="0" w:line="240" w:lineRule="auto"/>
    </w:pPr>
    <w:rPr>
      <w:sz w:val="20"/>
      <w:szCs w:val="20"/>
    </w:rPr>
  </w:style>
  <w:style w:type="character" w:customStyle="1" w:styleId="FootnoteTextChar">
    <w:name w:val="Footnote Text Char"/>
    <w:aliases w:val=" Char3 Char,Char3 Char"/>
    <w:rPr>
      <w:lang w:val="bg-BG" w:eastAsia="bg-BG"/>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E Fußnotenzeichen"/>
    <w:semiHidden/>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bg-BG"/>
    </w:rPr>
  </w:style>
  <w:style w:type="character" w:styleId="Emphasis">
    <w:name w:val="Emphasis"/>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cs="Arial"/>
      <w:sz w:val="22"/>
      <w:szCs w:val="22"/>
    </w:rPr>
  </w:style>
  <w:style w:type="character" w:customStyle="1" w:styleId="NoSpacingChar">
    <w:name w:val="No Spacing Char"/>
    <w:link w:val="NoSpacing"/>
    <w:uiPriority w:val="1"/>
    <w:rPr>
      <w:rFonts w:eastAsia="MS Mincho" w:cs="Arial"/>
      <w:sz w:val="22"/>
      <w:szCs w:val="22"/>
      <w:lang w:val="bg-B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28"/>
      <w:sz w:val="24"/>
    </w:rPr>
  </w:style>
  <w:style w:type="character" w:customStyle="1" w:styleId="TitleChar1">
    <w:name w:val="Title Char1"/>
    <w:link w:val="Title"/>
    <w:rPr>
      <w:rFonts w:ascii="Cambria" w:eastAsia="Times New Roman" w:hAnsi="Cambria"/>
      <w:b/>
      <w:bCs/>
      <w:kern w:val="28"/>
      <w:sz w:val="32"/>
      <w:szCs w:val="32"/>
      <w:lang w:eastAsia="bg-BG"/>
    </w:rPr>
  </w:style>
  <w:style w:type="character" w:customStyle="1" w:styleId="FooterCoverPageChar">
    <w:name w:val="Footer Cover Page Char"/>
    <w:link w:val="FooterCoverPage"/>
    <w:rPr>
      <w:rFonts w:ascii="Times New Roman" w:eastAsia="Times New Roman" w:hAnsi="Times New Roman"/>
      <w:kern w:val="28"/>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28"/>
      <w:sz w:val="24"/>
    </w:rPr>
  </w:style>
  <w:style w:type="character" w:customStyle="1" w:styleId="HeaderCoverPageChar">
    <w:name w:val="Header Cover Page Char"/>
    <w:link w:val="HeaderCoverPage"/>
    <w:rPr>
      <w:rFonts w:ascii="Times New Roman" w:eastAsia="Times New Roman" w:hAnsi="Times New Roman"/>
      <w:kern w:val="28"/>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9F9F7-A247-4428-8F76-D01CB8DD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4411</Words>
  <Characters>26556</Characters>
  <Application>Microsoft Office Word</Application>
  <DocSecurity>0</DocSecurity>
  <Lines>450</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2015-05-19T08:41:00Z</dcterms:created>
  <dcterms:modified xsi:type="dcterms:W3CDTF">2015-06-13T15:57:00Z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