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3B" w:rsidRDefault="00754770" w:rsidP="00754770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2A370E8612B4E34B9B7B4DF79FE661A" style="width:450.4pt;height:393.5pt">
            <v:imagedata r:id="rId9" o:title=""/>
          </v:shape>
        </w:pict>
      </w:r>
    </w:p>
    <w:bookmarkEnd w:id="0"/>
    <w:p w:rsidR="00F9583B" w:rsidRDefault="00F9583B" w:rsidP="00F9583B">
      <w:pPr>
        <w:sectPr w:rsidR="00F9583B" w:rsidSect="007547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 w:rsidR="009D25C9" w:rsidRPr="00483093" w:rsidRDefault="009D25C9" w:rsidP="009D25C9">
      <w:pPr>
        <w:jc w:val="center"/>
        <w:rPr>
          <w:rFonts w:ascii="Times New Roman" w:hAnsi="Times New Roman"/>
          <w:b/>
          <w:szCs w:val="24"/>
          <w:u w:val="single"/>
          <w:lang w:val="fr-BE"/>
        </w:rPr>
      </w:pPr>
      <w:r w:rsidRPr="00483093">
        <w:rPr>
          <w:rFonts w:ascii="Times New Roman" w:hAnsi="Times New Roman"/>
          <w:b/>
          <w:szCs w:val="24"/>
          <w:u w:val="single"/>
          <w:lang w:val="fr-BE"/>
        </w:rPr>
        <w:lastRenderedPageBreak/>
        <w:t>ANNEXE: liste des juridictions fiscales non coopératives de pays tiers</w:t>
      </w:r>
    </w:p>
    <w:p w:rsidR="009D25C9" w:rsidRPr="00AF63AB" w:rsidRDefault="009D25C9" w:rsidP="009D25C9">
      <w:pPr>
        <w:spacing w:after="0"/>
        <w:rPr>
          <w:rFonts w:ascii="Times New Roman" w:hAnsi="Times New Roman"/>
          <w:szCs w:val="24"/>
          <w:lang w:val="fr-BE"/>
        </w:rPr>
      </w:pPr>
      <w:r w:rsidRPr="00AF63AB">
        <w:rPr>
          <w:rFonts w:ascii="Times New Roman" w:hAnsi="Times New Roman"/>
          <w:szCs w:val="24"/>
          <w:lang w:val="fr-BE"/>
        </w:rPr>
        <w:t xml:space="preserve">Dans le cadre des travaux de la plateforme concernant la bonne gouvernance dans le domaine fiscal, les États membres ont </w:t>
      </w:r>
      <w:r>
        <w:rPr>
          <w:rFonts w:ascii="Times New Roman" w:hAnsi="Times New Roman"/>
          <w:szCs w:val="24"/>
          <w:lang w:val="fr-BE"/>
        </w:rPr>
        <w:t xml:space="preserve">chacun </w:t>
      </w:r>
      <w:r w:rsidRPr="00AF63AB">
        <w:rPr>
          <w:rFonts w:ascii="Times New Roman" w:hAnsi="Times New Roman"/>
          <w:szCs w:val="24"/>
          <w:lang w:val="fr-BE"/>
        </w:rPr>
        <w:t xml:space="preserve">fourni à la Commission, </w:t>
      </w:r>
      <w:r w:rsidR="003916D2">
        <w:rPr>
          <w:rFonts w:ascii="Times New Roman" w:hAnsi="Times New Roman"/>
          <w:szCs w:val="24"/>
          <w:lang w:val="fr-BE"/>
        </w:rPr>
        <w:t>fin </w:t>
      </w:r>
      <w:r w:rsidRPr="00AF63AB">
        <w:rPr>
          <w:rFonts w:ascii="Times New Roman" w:hAnsi="Times New Roman"/>
          <w:szCs w:val="24"/>
          <w:lang w:val="fr-BE"/>
        </w:rPr>
        <w:t xml:space="preserve">2014, la liste des juridictions qui </w:t>
      </w:r>
      <w:r>
        <w:rPr>
          <w:rFonts w:ascii="Times New Roman" w:hAnsi="Times New Roman"/>
          <w:szCs w:val="24"/>
          <w:lang w:val="fr-BE"/>
        </w:rPr>
        <w:t xml:space="preserve">répondaient à leur définition des juridictions non coopératives. </w:t>
      </w:r>
      <w:r w:rsidRPr="00AF63AB">
        <w:rPr>
          <w:rFonts w:ascii="Times New Roman" w:hAnsi="Times New Roman"/>
          <w:szCs w:val="24"/>
          <w:lang w:val="fr-BE"/>
        </w:rPr>
        <w:t>Les États membres utilisent divers critères pour recenser ces juridictions, dont l</w:t>
      </w:r>
      <w:r w:rsidR="00C06FF8">
        <w:rPr>
          <w:rFonts w:ascii="Times New Roman" w:hAnsi="Times New Roman"/>
          <w:szCs w:val="24"/>
          <w:lang w:val="fr-BE"/>
        </w:rPr>
        <w:t>’</w:t>
      </w:r>
      <w:r w:rsidRPr="00AF63AB">
        <w:rPr>
          <w:rFonts w:ascii="Times New Roman" w:hAnsi="Times New Roman"/>
          <w:szCs w:val="24"/>
          <w:lang w:val="fr-BE"/>
        </w:rPr>
        <w:t>absence de transparence et d</w:t>
      </w:r>
      <w:r w:rsidR="00C06FF8">
        <w:rPr>
          <w:rFonts w:ascii="Times New Roman" w:hAnsi="Times New Roman"/>
          <w:szCs w:val="24"/>
          <w:lang w:val="fr-BE"/>
        </w:rPr>
        <w:t>’</w:t>
      </w:r>
      <w:r w:rsidRPr="00AF63AB">
        <w:rPr>
          <w:rFonts w:ascii="Times New Roman" w:hAnsi="Times New Roman"/>
          <w:szCs w:val="24"/>
          <w:lang w:val="fr-BE"/>
        </w:rPr>
        <w:t>échange d</w:t>
      </w:r>
      <w:r w:rsidR="00C06FF8">
        <w:rPr>
          <w:rFonts w:ascii="Times New Roman" w:hAnsi="Times New Roman"/>
          <w:szCs w:val="24"/>
          <w:lang w:val="fr-BE"/>
        </w:rPr>
        <w:t>’</w:t>
      </w:r>
      <w:r w:rsidRPr="00AF63AB">
        <w:rPr>
          <w:rFonts w:ascii="Times New Roman" w:hAnsi="Times New Roman"/>
          <w:szCs w:val="24"/>
          <w:lang w:val="fr-BE"/>
        </w:rPr>
        <w:t>informations, l</w:t>
      </w:r>
      <w:r w:rsidR="00C06FF8">
        <w:rPr>
          <w:rFonts w:ascii="Times New Roman" w:hAnsi="Times New Roman"/>
          <w:szCs w:val="24"/>
          <w:lang w:val="fr-BE"/>
        </w:rPr>
        <w:t>’</w:t>
      </w:r>
      <w:r w:rsidRPr="00AF63AB">
        <w:rPr>
          <w:rFonts w:ascii="Times New Roman" w:hAnsi="Times New Roman"/>
          <w:szCs w:val="24"/>
          <w:lang w:val="fr-BE"/>
        </w:rPr>
        <w:t>existence de mesures fiscales dommageables et l</w:t>
      </w:r>
      <w:r w:rsidR="00C06FF8">
        <w:rPr>
          <w:rFonts w:ascii="Times New Roman" w:hAnsi="Times New Roman"/>
          <w:szCs w:val="24"/>
          <w:lang w:val="fr-BE"/>
        </w:rPr>
        <w:t>’</w:t>
      </w:r>
      <w:r w:rsidRPr="00AF63AB">
        <w:rPr>
          <w:rFonts w:ascii="Times New Roman" w:hAnsi="Times New Roman"/>
          <w:szCs w:val="24"/>
          <w:lang w:val="fr-BE"/>
        </w:rPr>
        <w:t>application de taux d</w:t>
      </w:r>
      <w:r w:rsidR="00C06FF8">
        <w:rPr>
          <w:rFonts w:ascii="Times New Roman" w:hAnsi="Times New Roman"/>
          <w:szCs w:val="24"/>
          <w:lang w:val="fr-BE"/>
        </w:rPr>
        <w:t>’</w:t>
      </w:r>
      <w:r w:rsidRPr="00AF63AB">
        <w:rPr>
          <w:rFonts w:ascii="Times New Roman" w:hAnsi="Times New Roman"/>
          <w:szCs w:val="24"/>
          <w:lang w:val="fr-BE"/>
        </w:rPr>
        <w:t>imposition faibles ou nuls</w:t>
      </w:r>
      <w:r>
        <w:rPr>
          <w:rFonts w:ascii="Times New Roman" w:hAnsi="Times New Roman"/>
          <w:szCs w:val="24"/>
          <w:lang w:val="fr-BE"/>
        </w:rPr>
        <w:t>.</w:t>
      </w:r>
    </w:p>
    <w:p w:rsidR="009D25C9" w:rsidRPr="00AF63AB" w:rsidRDefault="009D25C9" w:rsidP="009D25C9">
      <w:pPr>
        <w:spacing w:after="0"/>
        <w:rPr>
          <w:rFonts w:ascii="Times New Roman" w:hAnsi="Times New Roman"/>
          <w:szCs w:val="24"/>
          <w:lang w:val="fr-BE"/>
        </w:rPr>
      </w:pPr>
    </w:p>
    <w:p w:rsidR="009D25C9" w:rsidRPr="00AF63AB" w:rsidRDefault="009D25C9" w:rsidP="009D25C9">
      <w:pPr>
        <w:spacing w:after="0"/>
        <w:rPr>
          <w:rFonts w:ascii="Times New Roman" w:hAnsi="Times New Roman"/>
          <w:szCs w:val="24"/>
          <w:lang w:val="fr-BE"/>
        </w:rPr>
      </w:pPr>
      <w:r w:rsidRPr="00AF63AB">
        <w:rPr>
          <w:rFonts w:ascii="Times New Roman" w:hAnsi="Times New Roman"/>
          <w:szCs w:val="24"/>
          <w:lang w:val="fr-BE"/>
        </w:rPr>
        <w:t>La liste ci-dessous contient les juridictions qui apparaiss</w:t>
      </w:r>
      <w:r w:rsidR="003916D2">
        <w:rPr>
          <w:rFonts w:ascii="Times New Roman" w:hAnsi="Times New Roman"/>
          <w:szCs w:val="24"/>
          <w:lang w:val="fr-BE"/>
        </w:rPr>
        <w:t>aient</w:t>
      </w:r>
      <w:r w:rsidRPr="00AF63AB">
        <w:rPr>
          <w:rFonts w:ascii="Times New Roman" w:hAnsi="Times New Roman"/>
          <w:szCs w:val="24"/>
          <w:lang w:val="fr-BE"/>
        </w:rPr>
        <w:t xml:space="preserve"> le plus souvent sur </w:t>
      </w:r>
      <w:r w:rsidR="003916D2">
        <w:rPr>
          <w:rFonts w:ascii="Times New Roman" w:hAnsi="Times New Roman"/>
          <w:szCs w:val="24"/>
          <w:lang w:val="fr-BE"/>
        </w:rPr>
        <w:t>ces</w:t>
      </w:r>
      <w:r w:rsidRPr="00AF63AB">
        <w:rPr>
          <w:rFonts w:ascii="Times New Roman" w:hAnsi="Times New Roman"/>
          <w:szCs w:val="24"/>
          <w:lang w:val="fr-BE"/>
        </w:rPr>
        <w:t xml:space="preserve"> listes</w:t>
      </w:r>
      <w:r w:rsidR="003916D2">
        <w:rPr>
          <w:rFonts w:ascii="Times New Roman" w:hAnsi="Times New Roman"/>
          <w:szCs w:val="24"/>
          <w:lang w:val="fr-BE"/>
        </w:rPr>
        <w:t>,</w:t>
      </w:r>
      <w:r w:rsidRPr="00AF63AB">
        <w:rPr>
          <w:rFonts w:ascii="Times New Roman" w:hAnsi="Times New Roman"/>
          <w:szCs w:val="24"/>
          <w:lang w:val="fr-BE"/>
        </w:rPr>
        <w:t xml:space="preserve"> </w:t>
      </w:r>
      <w:r w:rsidR="003916D2">
        <w:rPr>
          <w:rFonts w:ascii="Times New Roman" w:hAnsi="Times New Roman"/>
          <w:szCs w:val="24"/>
          <w:lang w:val="fr-BE"/>
        </w:rPr>
        <w:t xml:space="preserve">que les </w:t>
      </w:r>
      <w:r>
        <w:rPr>
          <w:rFonts w:ascii="Times New Roman" w:hAnsi="Times New Roman"/>
          <w:szCs w:val="24"/>
          <w:lang w:val="fr-BE"/>
        </w:rPr>
        <w:t>États membres</w:t>
      </w:r>
      <w:r w:rsidR="003916D2">
        <w:rPr>
          <w:rFonts w:ascii="Times New Roman" w:hAnsi="Times New Roman"/>
          <w:szCs w:val="24"/>
          <w:lang w:val="fr-BE"/>
        </w:rPr>
        <w:t xml:space="preserve"> ont examinées lors de la réunion de décembre 2014 de la plateforme concernant la bonne gouvernance dans le domaine fiscal</w:t>
      </w:r>
      <w:r>
        <w:rPr>
          <w:rFonts w:ascii="Times New Roman" w:hAnsi="Times New Roman"/>
          <w:szCs w:val="24"/>
          <w:lang w:val="fr-BE"/>
        </w:rPr>
        <w:t xml:space="preserve">. </w:t>
      </w:r>
      <w:r w:rsidRPr="00AF63AB">
        <w:rPr>
          <w:rFonts w:ascii="Times New Roman" w:hAnsi="Times New Roman"/>
          <w:szCs w:val="24"/>
          <w:lang w:val="fr-BE"/>
        </w:rPr>
        <w:t>Les juridictions qui y figurent apparaissent sur la liste d</w:t>
      </w:r>
      <w:r w:rsidR="00C06FF8">
        <w:rPr>
          <w:rFonts w:ascii="Times New Roman" w:hAnsi="Times New Roman"/>
          <w:szCs w:val="24"/>
          <w:lang w:val="fr-BE"/>
        </w:rPr>
        <w:t>’</w:t>
      </w:r>
      <w:r w:rsidRPr="00AF63AB">
        <w:rPr>
          <w:rFonts w:ascii="Times New Roman" w:hAnsi="Times New Roman"/>
          <w:szCs w:val="24"/>
          <w:lang w:val="fr-BE"/>
        </w:rPr>
        <w:t xml:space="preserve">au moins dix </w:t>
      </w:r>
      <w:r>
        <w:rPr>
          <w:rFonts w:ascii="Times New Roman" w:hAnsi="Times New Roman"/>
          <w:szCs w:val="24"/>
          <w:lang w:val="fr-BE"/>
        </w:rPr>
        <w:t>États membres.</w:t>
      </w:r>
      <w:r w:rsidR="003916D2">
        <w:rPr>
          <w:rFonts w:ascii="Times New Roman" w:hAnsi="Times New Roman"/>
          <w:szCs w:val="24"/>
          <w:lang w:val="fr-BE"/>
        </w:rPr>
        <w:t xml:space="preserve"> La Commission modifiera périodiquement cette liste pour tenir compte de l’évolution des listes nationales des États membres.</w:t>
      </w:r>
    </w:p>
    <w:p w:rsidR="009D25C9" w:rsidRPr="00AF63AB" w:rsidRDefault="009D25C9" w:rsidP="009D25C9">
      <w:pPr>
        <w:spacing w:after="0"/>
        <w:rPr>
          <w:rFonts w:ascii="Times New Roman" w:hAnsi="Times New Roman"/>
          <w:szCs w:val="24"/>
          <w:lang w:val="fr-BE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233"/>
        <w:gridCol w:w="4019"/>
      </w:tblGrid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proofErr w:type="spellStart"/>
            <w:r w:rsidRPr="00D75CFF">
              <w:rPr>
                <w:rFonts w:ascii="Times New Roman" w:hAnsi="Times New Roman"/>
                <w:color w:val="000000"/>
              </w:rPr>
              <w:t>Andorr</w:t>
            </w:r>
            <w:r>
              <w:rPr>
                <w:rFonts w:ascii="Times New Roman" w:hAnsi="Times New Roman"/>
                <w:color w:val="000000"/>
              </w:rPr>
              <w:t>e</w:t>
            </w:r>
            <w:proofErr w:type="spellEnd"/>
            <w:r w:rsidRPr="00D75CFF">
              <w:rPr>
                <w:rFonts w:ascii="Times New Roman" w:hAnsi="Times New Roman"/>
                <w:color w:val="000000"/>
              </w:rPr>
              <w:t>**</w:t>
            </w:r>
          </w:p>
        </w:tc>
      </w:tr>
      <w:tr w:rsidR="009D25C9" w:rsidRPr="00A87C5E" w:rsidTr="00F56C88">
        <w:trPr>
          <w:trHeight w:val="206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Anguilla*</w:t>
            </w:r>
          </w:p>
        </w:tc>
      </w:tr>
      <w:tr w:rsidR="009D25C9" w:rsidRPr="00A87C5E" w:rsidTr="00F56C88">
        <w:trPr>
          <w:trHeight w:val="274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9D25C9" w:rsidRPr="00D75CFF" w:rsidRDefault="009D25C9" w:rsidP="00F56C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Antigua-et-</w:t>
            </w:r>
            <w:r w:rsidRPr="00D75CFF">
              <w:rPr>
                <w:rFonts w:ascii="Times New Roman" w:hAnsi="Times New Roman"/>
                <w:color w:val="000000"/>
              </w:rPr>
              <w:t>Barbuda**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Bahamas**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bCs/>
                <w:color w:val="FF0000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Barbade</w:t>
            </w:r>
            <w:proofErr w:type="spellEnd"/>
            <w:r w:rsidRPr="00D75CFF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Belize**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proofErr w:type="spellStart"/>
            <w:r w:rsidRPr="00D75CFF">
              <w:rPr>
                <w:rFonts w:ascii="Times New Roman" w:hAnsi="Times New Roman"/>
                <w:color w:val="000000"/>
              </w:rPr>
              <w:t>Bermud</w:t>
            </w:r>
            <w:r>
              <w:rPr>
                <w:rFonts w:ascii="Times New Roman" w:hAnsi="Times New Roman"/>
                <w:color w:val="000000"/>
              </w:rPr>
              <w:t>es</w:t>
            </w:r>
            <w:proofErr w:type="spellEnd"/>
            <w:r w:rsidRPr="00D75CFF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D25C9" w:rsidRPr="00A87C5E" w:rsidTr="00F56C88">
        <w:trPr>
          <w:trHeight w:val="281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proofErr w:type="spellStart"/>
            <w:r w:rsidRPr="00E9284A">
              <w:rPr>
                <w:rFonts w:ascii="Times New Roman" w:hAnsi="Times New Roman"/>
                <w:color w:val="000000"/>
              </w:rPr>
              <w:t>Îles</w:t>
            </w:r>
            <w:proofErr w:type="spellEnd"/>
            <w:r w:rsidRPr="00E9284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284A">
              <w:rPr>
                <w:rFonts w:ascii="Times New Roman" w:hAnsi="Times New Roman"/>
                <w:color w:val="000000"/>
              </w:rPr>
              <w:t>Vierges</w:t>
            </w:r>
            <w:proofErr w:type="spellEnd"/>
            <w:r w:rsidRPr="00E9284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284A">
              <w:rPr>
                <w:rFonts w:ascii="Times New Roman" w:hAnsi="Times New Roman"/>
                <w:color w:val="000000"/>
              </w:rPr>
              <w:t>britanniques</w:t>
            </w:r>
            <w:proofErr w:type="spellEnd"/>
            <w:r w:rsidRPr="00D75CFF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Brunei**</w:t>
            </w:r>
          </w:p>
        </w:tc>
      </w:tr>
      <w:tr w:rsidR="009D25C9" w:rsidRPr="00A87C5E" w:rsidTr="00F56C88">
        <w:trPr>
          <w:trHeight w:val="25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bookmarkStart w:id="1" w:name="_GoBack" w:colFirst="1" w:colLast="1"/>
            <w:proofErr w:type="spellStart"/>
            <w:r w:rsidRPr="00E9284A">
              <w:rPr>
                <w:rFonts w:ascii="Times New Roman" w:hAnsi="Times New Roman"/>
                <w:color w:val="000000"/>
              </w:rPr>
              <w:t>Îles</w:t>
            </w:r>
            <w:proofErr w:type="spellEnd"/>
            <w:r w:rsidRPr="00E9284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284A">
              <w:rPr>
                <w:rFonts w:ascii="Times New Roman" w:hAnsi="Times New Roman"/>
                <w:color w:val="000000"/>
              </w:rPr>
              <w:t>Caïmans</w:t>
            </w:r>
            <w:proofErr w:type="spellEnd"/>
            <w:r w:rsidRPr="00D75CFF">
              <w:rPr>
                <w:rFonts w:ascii="Times New Roman" w:hAnsi="Times New Roman"/>
                <w:color w:val="000000"/>
              </w:rPr>
              <w:t>*</w:t>
            </w:r>
          </w:p>
        </w:tc>
      </w:tr>
      <w:bookmarkEnd w:id="1"/>
      <w:tr w:rsidR="009D25C9" w:rsidRPr="00A87C5E" w:rsidTr="00F56C88">
        <w:trPr>
          <w:trHeight w:val="284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proofErr w:type="spellStart"/>
            <w:r w:rsidRPr="00E9284A">
              <w:rPr>
                <w:rFonts w:ascii="Times New Roman" w:hAnsi="Times New Roman"/>
                <w:color w:val="000000"/>
              </w:rPr>
              <w:t>Îles</w:t>
            </w:r>
            <w:proofErr w:type="spellEnd"/>
            <w:r w:rsidRPr="00E9284A">
              <w:rPr>
                <w:rFonts w:ascii="Times New Roman" w:hAnsi="Times New Roman"/>
                <w:color w:val="000000"/>
              </w:rPr>
              <w:t xml:space="preserve"> Cook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Grenad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D75CFF">
              <w:rPr>
                <w:rFonts w:ascii="Times New Roman" w:hAnsi="Times New Roman"/>
                <w:color w:val="000000"/>
              </w:rPr>
              <w:t>**</w:t>
            </w:r>
          </w:p>
        </w:tc>
      </w:tr>
      <w:tr w:rsidR="009D25C9" w:rsidRPr="00A87C5E" w:rsidTr="00F56C88">
        <w:trPr>
          <w:trHeight w:val="176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Guernsey*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Hong Kong**</w:t>
            </w:r>
          </w:p>
        </w:tc>
      </w:tr>
      <w:tr w:rsidR="009D25C9" w:rsidRPr="00A87C5E" w:rsidTr="00F56C88">
        <w:trPr>
          <w:trHeight w:val="287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Liberia</w:t>
            </w:r>
          </w:p>
        </w:tc>
      </w:tr>
      <w:tr w:rsidR="009D25C9" w:rsidRPr="00A87C5E" w:rsidTr="00F56C88">
        <w:trPr>
          <w:trHeight w:val="271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Liechtenstein*</w:t>
            </w:r>
            <w:r w:rsidR="003916D2">
              <w:rPr>
                <w:rFonts w:ascii="Times New Roman" w:hAnsi="Times New Roman"/>
                <w:color w:val="000000"/>
              </w:rPr>
              <w:t>**</w:t>
            </w:r>
          </w:p>
        </w:tc>
      </w:tr>
      <w:tr w:rsidR="009D25C9" w:rsidRPr="00A87C5E" w:rsidTr="00F56C88">
        <w:trPr>
          <w:trHeight w:val="129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bCs/>
                <w:color w:val="FF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Maldives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proofErr w:type="spellStart"/>
            <w:r w:rsidRPr="00E9284A">
              <w:rPr>
                <w:rFonts w:ascii="Times New Roman" w:hAnsi="Times New Roman"/>
                <w:color w:val="000000"/>
              </w:rPr>
              <w:t>Îles</w:t>
            </w:r>
            <w:proofErr w:type="spellEnd"/>
            <w:r w:rsidRPr="00E9284A">
              <w:rPr>
                <w:rFonts w:ascii="Times New Roman" w:hAnsi="Times New Roman"/>
                <w:color w:val="000000"/>
              </w:rPr>
              <w:t xml:space="preserve"> Marshall</w:t>
            </w:r>
            <w:r w:rsidRPr="00D75CFF">
              <w:rPr>
                <w:rFonts w:ascii="Times New Roman" w:hAnsi="Times New Roman"/>
                <w:color w:val="000000"/>
              </w:rPr>
              <w:t>**</w:t>
            </w:r>
          </w:p>
        </w:tc>
      </w:tr>
      <w:tr w:rsidR="009D25C9" w:rsidRPr="00A87C5E" w:rsidTr="00F56C88">
        <w:trPr>
          <w:trHeight w:val="34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Mauri</w:t>
            </w:r>
            <w:r>
              <w:rPr>
                <w:rFonts w:ascii="Times New Roman" w:hAnsi="Times New Roman"/>
                <w:color w:val="000000"/>
              </w:rPr>
              <w:t>ce</w:t>
            </w:r>
            <w:r w:rsidRPr="00D75CFF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Monaco**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Montserrat*</w:t>
            </w:r>
          </w:p>
        </w:tc>
      </w:tr>
      <w:tr w:rsidR="009D25C9" w:rsidRPr="00A87C5E" w:rsidTr="00F56C88">
        <w:trPr>
          <w:trHeight w:val="278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Nauru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Niue*</w:t>
            </w:r>
          </w:p>
        </w:tc>
      </w:tr>
      <w:tr w:rsidR="009D25C9" w:rsidRPr="00A87C5E" w:rsidTr="00F56C88">
        <w:trPr>
          <w:trHeight w:val="27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Panama</w:t>
            </w:r>
          </w:p>
        </w:tc>
      </w:tr>
      <w:tr w:rsidR="009D25C9" w:rsidRPr="00754770" w:rsidTr="00F56C88">
        <w:trPr>
          <w:trHeight w:val="306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E9284A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val="fr-BE" w:eastAsia="en-GB"/>
              </w:rPr>
            </w:pPr>
            <w:r w:rsidRPr="00E9284A">
              <w:rPr>
                <w:rFonts w:ascii="Times New Roman" w:hAnsi="Times New Roman"/>
                <w:color w:val="000000"/>
                <w:lang w:val="fr-BE"/>
              </w:rPr>
              <w:t>Saint-Vincent-et-les-Grenadines**</w:t>
            </w:r>
          </w:p>
        </w:tc>
      </w:tr>
      <w:tr w:rsidR="009D25C9" w:rsidRPr="00A87C5E" w:rsidTr="00F56C88">
        <w:trPr>
          <w:trHeight w:val="282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Saint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75CFF">
              <w:rPr>
                <w:rFonts w:ascii="Times New Roman" w:hAnsi="Times New Roman"/>
                <w:color w:val="000000"/>
              </w:rPr>
              <w:t>Christophe</w:t>
            </w:r>
            <w:r>
              <w:rPr>
                <w:rFonts w:ascii="Times New Roman" w:hAnsi="Times New Roman"/>
                <w:color w:val="000000"/>
              </w:rPr>
              <w:t>-et-</w:t>
            </w:r>
            <w:proofErr w:type="spellStart"/>
            <w:r>
              <w:rPr>
                <w:rFonts w:ascii="Times New Roman" w:hAnsi="Times New Roman"/>
                <w:color w:val="000000"/>
              </w:rPr>
              <w:t>Niévès</w:t>
            </w:r>
            <w:proofErr w:type="spellEnd"/>
            <w:r>
              <w:rPr>
                <w:rFonts w:ascii="Times New Roman" w:hAnsi="Times New Roman"/>
                <w:color w:val="000000"/>
              </w:rPr>
              <w:t>**</w:t>
            </w:r>
          </w:p>
        </w:tc>
      </w:tr>
      <w:tr w:rsidR="009D25C9" w:rsidRPr="00A87C5E" w:rsidTr="00F56C88">
        <w:trPr>
          <w:trHeight w:val="338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Seychelles*</w:t>
            </w:r>
          </w:p>
        </w:tc>
      </w:tr>
      <w:tr w:rsidR="009D25C9" w:rsidRPr="00A87C5E" w:rsidTr="00F56C88">
        <w:trPr>
          <w:trHeight w:val="18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proofErr w:type="spellStart"/>
            <w:r w:rsidRPr="00E9284A">
              <w:rPr>
                <w:rFonts w:ascii="Times New Roman" w:hAnsi="Times New Roman"/>
                <w:color w:val="000000"/>
              </w:rPr>
              <w:t>Îles</w:t>
            </w:r>
            <w:proofErr w:type="spellEnd"/>
            <w:r w:rsidRPr="00E9284A">
              <w:rPr>
                <w:rFonts w:ascii="Times New Roman" w:hAnsi="Times New Roman"/>
                <w:color w:val="000000"/>
              </w:rPr>
              <w:t xml:space="preserve"> Turks-et-</w:t>
            </w:r>
            <w:proofErr w:type="spellStart"/>
            <w:r w:rsidRPr="00E9284A">
              <w:rPr>
                <w:rFonts w:ascii="Times New Roman" w:hAnsi="Times New Roman"/>
                <w:color w:val="000000"/>
              </w:rPr>
              <w:t>Caïcos</w:t>
            </w:r>
            <w:proofErr w:type="spellEnd"/>
            <w:r w:rsidRPr="00D75CFF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9D25C9" w:rsidRPr="00A87C5E" w:rsidTr="00F56C88">
        <w:trPr>
          <w:trHeight w:val="313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proofErr w:type="spellStart"/>
            <w:r w:rsidRPr="00E9284A">
              <w:rPr>
                <w:rFonts w:ascii="Times New Roman" w:hAnsi="Times New Roman"/>
                <w:color w:val="000000"/>
              </w:rPr>
              <w:t>Îles</w:t>
            </w:r>
            <w:proofErr w:type="spellEnd"/>
            <w:r w:rsidRPr="00E9284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284A">
              <w:rPr>
                <w:rFonts w:ascii="Times New Roman" w:hAnsi="Times New Roman"/>
                <w:color w:val="000000"/>
              </w:rPr>
              <w:t>Vierges</w:t>
            </w:r>
            <w:proofErr w:type="spellEnd"/>
            <w:r w:rsidRPr="00E9284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9284A">
              <w:rPr>
                <w:rFonts w:ascii="Times New Roman" w:hAnsi="Times New Roman"/>
                <w:color w:val="000000"/>
              </w:rPr>
              <w:t>américaines</w:t>
            </w:r>
            <w:proofErr w:type="spellEnd"/>
          </w:p>
        </w:tc>
      </w:tr>
      <w:tr w:rsidR="009D25C9" w:rsidRPr="00A87C5E" w:rsidTr="00F56C88">
        <w:trPr>
          <w:trHeight w:val="154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D25C9" w:rsidRPr="00D75CFF" w:rsidRDefault="009D25C9" w:rsidP="00F56C88">
            <w:pPr>
              <w:spacing w:after="0"/>
              <w:jc w:val="left"/>
              <w:rPr>
                <w:rFonts w:ascii="Times New Roman" w:hAnsi="Times New Roman"/>
                <w:bCs/>
                <w:color w:val="FF0000"/>
                <w:szCs w:val="24"/>
                <w:lang w:eastAsia="en-GB"/>
              </w:rPr>
            </w:pPr>
            <w:r w:rsidRPr="00D75CFF">
              <w:rPr>
                <w:rFonts w:ascii="Times New Roman" w:hAnsi="Times New Roman"/>
                <w:color w:val="000000"/>
              </w:rPr>
              <w:t>Vanuatu</w:t>
            </w:r>
          </w:p>
        </w:tc>
      </w:tr>
      <w:tr w:rsidR="009D25C9" w:rsidRPr="00A87C5E" w:rsidTr="00F56C88">
        <w:trPr>
          <w:gridAfter w:val="1"/>
          <w:wAfter w:w="4019" w:type="dxa"/>
          <w:trHeight w:val="154"/>
        </w:trPr>
        <w:tc>
          <w:tcPr>
            <w:tcW w:w="223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25C9" w:rsidRPr="00A87C5E" w:rsidRDefault="009D25C9" w:rsidP="00F56C88">
            <w:pPr>
              <w:spacing w:after="0"/>
              <w:jc w:val="left"/>
              <w:rPr>
                <w:rFonts w:ascii="Times New Roman" w:hAnsi="Times New Roman"/>
                <w:bCs/>
                <w:szCs w:val="24"/>
                <w:lang w:eastAsia="en-GB"/>
              </w:rPr>
            </w:pPr>
          </w:p>
        </w:tc>
      </w:tr>
    </w:tbl>
    <w:p w:rsidR="009D25C9" w:rsidRPr="003916D2" w:rsidRDefault="009D25C9" w:rsidP="009D25C9">
      <w:pPr>
        <w:spacing w:after="0"/>
        <w:jc w:val="left"/>
        <w:rPr>
          <w:rFonts w:ascii="Times New Roman" w:hAnsi="Times New Roman"/>
          <w:sz w:val="19"/>
          <w:szCs w:val="19"/>
          <w:lang w:val="fr-BE"/>
        </w:rPr>
      </w:pPr>
      <w:r w:rsidRPr="003916D2">
        <w:rPr>
          <w:rFonts w:ascii="Times New Roman" w:hAnsi="Times New Roman"/>
          <w:sz w:val="19"/>
          <w:szCs w:val="19"/>
          <w:lang w:val="fr-BE"/>
        </w:rPr>
        <w:t>* Figure parmi les premières juridictions à avoir adopté la nouvelle norme mondiale d</w:t>
      </w:r>
      <w:r w:rsidR="00C06FF8" w:rsidRPr="003916D2">
        <w:rPr>
          <w:rFonts w:ascii="Times New Roman" w:hAnsi="Times New Roman"/>
          <w:sz w:val="19"/>
          <w:szCs w:val="19"/>
          <w:lang w:val="fr-BE"/>
        </w:rPr>
        <w:t>’</w:t>
      </w:r>
      <w:r w:rsidRPr="003916D2">
        <w:rPr>
          <w:rFonts w:ascii="Times New Roman" w:hAnsi="Times New Roman"/>
          <w:sz w:val="19"/>
          <w:szCs w:val="19"/>
          <w:lang w:val="fr-BE"/>
        </w:rPr>
        <w:t xml:space="preserve">échange automatique de renseignements; premiers échanges attendus en 2017. </w:t>
      </w:r>
    </w:p>
    <w:p w:rsidR="009D25C9" w:rsidRPr="003916D2" w:rsidRDefault="009D25C9" w:rsidP="009D25C9">
      <w:pPr>
        <w:spacing w:after="0"/>
        <w:jc w:val="left"/>
        <w:rPr>
          <w:rFonts w:ascii="Times New Roman" w:hAnsi="Times New Roman"/>
          <w:sz w:val="19"/>
          <w:szCs w:val="19"/>
          <w:lang w:val="fr-BE"/>
        </w:rPr>
      </w:pPr>
      <w:r w:rsidRPr="003916D2">
        <w:rPr>
          <w:rFonts w:ascii="Times New Roman" w:hAnsi="Times New Roman"/>
          <w:sz w:val="19"/>
          <w:szCs w:val="19"/>
          <w:lang w:val="fr-BE"/>
        </w:rPr>
        <w:t>** Juridiction s</w:t>
      </w:r>
      <w:r w:rsidR="00C06FF8" w:rsidRPr="003916D2">
        <w:rPr>
          <w:rFonts w:ascii="Times New Roman" w:hAnsi="Times New Roman"/>
          <w:sz w:val="19"/>
          <w:szCs w:val="19"/>
          <w:lang w:val="fr-BE"/>
        </w:rPr>
        <w:t>’</w:t>
      </w:r>
      <w:r w:rsidRPr="003916D2">
        <w:rPr>
          <w:rFonts w:ascii="Times New Roman" w:hAnsi="Times New Roman"/>
          <w:sz w:val="19"/>
          <w:szCs w:val="19"/>
          <w:lang w:val="fr-BE"/>
        </w:rPr>
        <w:t>étant engagée à adopter la nouvelle norme mondiale d</w:t>
      </w:r>
      <w:r w:rsidR="00C06FF8" w:rsidRPr="003916D2">
        <w:rPr>
          <w:rFonts w:ascii="Times New Roman" w:hAnsi="Times New Roman"/>
          <w:sz w:val="19"/>
          <w:szCs w:val="19"/>
          <w:lang w:val="fr-BE"/>
        </w:rPr>
        <w:t>’</w:t>
      </w:r>
      <w:r w:rsidRPr="003916D2">
        <w:rPr>
          <w:rFonts w:ascii="Times New Roman" w:hAnsi="Times New Roman"/>
          <w:sz w:val="19"/>
          <w:szCs w:val="19"/>
          <w:lang w:val="fr-BE"/>
        </w:rPr>
        <w:t>échange automatique de renseignements; premiers échanges attendus en 2018.</w:t>
      </w:r>
    </w:p>
    <w:p w:rsidR="003916D2" w:rsidRPr="003916D2" w:rsidRDefault="003916D2" w:rsidP="009D25C9">
      <w:pPr>
        <w:spacing w:after="0"/>
        <w:jc w:val="left"/>
        <w:rPr>
          <w:rFonts w:ascii="Times New Roman" w:hAnsi="Times New Roman"/>
          <w:sz w:val="19"/>
          <w:szCs w:val="19"/>
          <w:lang w:val="fr-BE"/>
        </w:rPr>
      </w:pPr>
      <w:r w:rsidRPr="003916D2">
        <w:rPr>
          <w:rFonts w:ascii="Times New Roman" w:hAnsi="Times New Roman"/>
          <w:sz w:val="19"/>
          <w:szCs w:val="19"/>
          <w:lang w:val="fr-BE"/>
        </w:rPr>
        <w:lastRenderedPageBreak/>
        <w:t>*** Figure parmi les premières juridictions à avoir adopté la nouvelle norme mondiale d’échange automatique de renseignements; premiers échanges attendus en 2017. Actuellement engagé dans un dialogue relatif à la fiscalité des entreprises avec le groupe «Code de conduite (fiscalité des entreprise)».</w:t>
      </w:r>
    </w:p>
    <w:p w:rsidR="009D25C9" w:rsidRPr="003916D2" w:rsidRDefault="009D25C9" w:rsidP="009D25C9">
      <w:pPr>
        <w:spacing w:after="0"/>
        <w:jc w:val="left"/>
        <w:rPr>
          <w:rFonts w:ascii="Times New Roman" w:hAnsi="Times New Roman"/>
          <w:sz w:val="19"/>
          <w:szCs w:val="19"/>
          <w:lang w:val="fr-BE"/>
        </w:rPr>
      </w:pPr>
    </w:p>
    <w:p w:rsidR="009D25C9" w:rsidRPr="003916D2" w:rsidRDefault="009D25C9" w:rsidP="009D25C9">
      <w:pPr>
        <w:spacing w:after="0"/>
        <w:jc w:val="left"/>
        <w:rPr>
          <w:rFonts w:ascii="Times New Roman" w:hAnsi="Times New Roman"/>
          <w:sz w:val="19"/>
          <w:szCs w:val="19"/>
          <w:lang w:val="fr-BE"/>
        </w:rPr>
      </w:pPr>
      <w:r w:rsidRPr="003916D2">
        <w:rPr>
          <w:rFonts w:ascii="Times New Roman" w:hAnsi="Times New Roman"/>
          <w:sz w:val="19"/>
          <w:szCs w:val="19"/>
          <w:lang w:val="fr-BE"/>
        </w:rPr>
        <w:t>Étant donné que les États membres peuvent recourir à différents critères pour l</w:t>
      </w:r>
      <w:r w:rsidR="00C06FF8" w:rsidRPr="003916D2">
        <w:rPr>
          <w:rFonts w:ascii="Times New Roman" w:hAnsi="Times New Roman"/>
          <w:sz w:val="19"/>
          <w:szCs w:val="19"/>
          <w:lang w:val="fr-BE"/>
        </w:rPr>
        <w:t>’</w:t>
      </w:r>
      <w:r w:rsidRPr="003916D2">
        <w:rPr>
          <w:rFonts w:ascii="Times New Roman" w:hAnsi="Times New Roman"/>
          <w:sz w:val="19"/>
          <w:szCs w:val="19"/>
          <w:lang w:val="fr-BE"/>
        </w:rPr>
        <w:t>évaluation des juridictions, il est difficile de déterminer avec certitude l</w:t>
      </w:r>
      <w:r w:rsidR="00C06FF8" w:rsidRPr="003916D2">
        <w:rPr>
          <w:rFonts w:ascii="Times New Roman" w:hAnsi="Times New Roman"/>
          <w:sz w:val="19"/>
          <w:szCs w:val="19"/>
          <w:lang w:val="fr-BE"/>
        </w:rPr>
        <w:t>’</w:t>
      </w:r>
      <w:r w:rsidRPr="003916D2">
        <w:rPr>
          <w:rFonts w:ascii="Times New Roman" w:hAnsi="Times New Roman"/>
          <w:sz w:val="19"/>
          <w:szCs w:val="19"/>
          <w:lang w:val="fr-BE"/>
        </w:rPr>
        <w:t>incidence qu</w:t>
      </w:r>
      <w:r w:rsidR="00C06FF8" w:rsidRPr="003916D2">
        <w:rPr>
          <w:rFonts w:ascii="Times New Roman" w:hAnsi="Times New Roman"/>
          <w:sz w:val="19"/>
          <w:szCs w:val="19"/>
          <w:lang w:val="fr-BE"/>
        </w:rPr>
        <w:t>’</w:t>
      </w:r>
      <w:r w:rsidRPr="003916D2">
        <w:rPr>
          <w:rFonts w:ascii="Times New Roman" w:hAnsi="Times New Roman"/>
          <w:sz w:val="19"/>
          <w:szCs w:val="19"/>
          <w:lang w:val="fr-BE"/>
        </w:rPr>
        <w:t>aura sur cette liste l</w:t>
      </w:r>
      <w:r w:rsidR="00C06FF8" w:rsidRPr="003916D2">
        <w:rPr>
          <w:rFonts w:ascii="Times New Roman" w:hAnsi="Times New Roman"/>
          <w:sz w:val="19"/>
          <w:szCs w:val="19"/>
          <w:lang w:val="fr-BE"/>
        </w:rPr>
        <w:t>’</w:t>
      </w:r>
      <w:r w:rsidRPr="003916D2">
        <w:rPr>
          <w:rFonts w:ascii="Times New Roman" w:hAnsi="Times New Roman"/>
          <w:sz w:val="19"/>
          <w:szCs w:val="19"/>
          <w:lang w:val="fr-BE"/>
        </w:rPr>
        <w:t>adoption, par certaines juridictions, des normes mondiales en matière de communication d</w:t>
      </w:r>
      <w:r w:rsidR="00C06FF8" w:rsidRPr="003916D2">
        <w:rPr>
          <w:rFonts w:ascii="Times New Roman" w:hAnsi="Times New Roman"/>
          <w:sz w:val="19"/>
          <w:szCs w:val="19"/>
          <w:lang w:val="fr-BE"/>
        </w:rPr>
        <w:t>’</w:t>
      </w:r>
      <w:r w:rsidRPr="003916D2">
        <w:rPr>
          <w:rFonts w:ascii="Times New Roman" w:hAnsi="Times New Roman"/>
          <w:sz w:val="19"/>
          <w:szCs w:val="19"/>
          <w:lang w:val="fr-BE"/>
        </w:rPr>
        <w:t>informations.</w:t>
      </w:r>
    </w:p>
    <w:sectPr w:rsidR="009D25C9" w:rsidRPr="003916D2" w:rsidSect="003C3F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09" w:rsidRDefault="00BE1709" w:rsidP="00F9583B">
      <w:pPr>
        <w:spacing w:after="0"/>
      </w:pPr>
      <w:r>
        <w:separator/>
      </w:r>
    </w:p>
  </w:endnote>
  <w:endnote w:type="continuationSeparator" w:id="0">
    <w:p w:rsidR="00BE1709" w:rsidRDefault="00BE1709" w:rsidP="00F958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70" w:rsidRPr="00754770" w:rsidRDefault="00754770" w:rsidP="007547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70" w:rsidRPr="00754770" w:rsidRDefault="00754770" w:rsidP="00754770">
    <w:pPr>
      <w:pStyle w:val="FooterCoverPage"/>
      <w:rPr>
        <w:rFonts w:ascii="Arial" w:hAnsi="Arial" w:cs="Arial"/>
        <w:b/>
        <w:sz w:val="48"/>
      </w:rPr>
    </w:pPr>
    <w:r w:rsidRPr="00754770">
      <w:rPr>
        <w:rFonts w:ascii="Arial" w:hAnsi="Arial" w:cs="Arial"/>
        <w:b/>
        <w:sz w:val="48"/>
      </w:rPr>
      <w:t>FR</w:t>
    </w:r>
    <w:r w:rsidRPr="00754770">
      <w:rPr>
        <w:rFonts w:ascii="Arial" w:hAnsi="Arial" w:cs="Arial"/>
        <w:b/>
        <w:sz w:val="48"/>
      </w:rPr>
      <w:tab/>
    </w:r>
    <w:r w:rsidRPr="00754770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754770">
      <w:tab/>
    </w:r>
    <w:proofErr w:type="spellStart"/>
    <w:r w:rsidRPr="00754770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70" w:rsidRPr="00754770" w:rsidRDefault="00754770" w:rsidP="00754770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F8" w:rsidRDefault="00C06FF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F8" w:rsidRPr="00C06FF8" w:rsidRDefault="00C06FF8" w:rsidP="00C06FF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F8" w:rsidRDefault="00C06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09" w:rsidRDefault="00BE1709" w:rsidP="00F9583B">
      <w:pPr>
        <w:spacing w:after="0"/>
      </w:pPr>
      <w:r>
        <w:separator/>
      </w:r>
    </w:p>
  </w:footnote>
  <w:footnote w:type="continuationSeparator" w:id="0">
    <w:p w:rsidR="00BE1709" w:rsidRDefault="00BE1709" w:rsidP="00F958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70" w:rsidRPr="00754770" w:rsidRDefault="00754770" w:rsidP="007547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70" w:rsidRPr="00754770" w:rsidRDefault="00754770" w:rsidP="00754770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70" w:rsidRPr="00754770" w:rsidRDefault="00754770" w:rsidP="00754770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F8" w:rsidRDefault="00C06FF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F8" w:rsidRDefault="00C06FF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F8" w:rsidRDefault="00C06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C6EA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8850F9B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10B3F48"/>
    <w:multiLevelType w:val="singleLevel"/>
    <w:tmpl w:val="EFB46688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>
    <w:nsid w:val="13A83C3F"/>
    <w:multiLevelType w:val="singleLevel"/>
    <w:tmpl w:val="54744D6A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">
    <w:nsid w:val="14E4220C"/>
    <w:multiLevelType w:val="multilevel"/>
    <w:tmpl w:val="BF4C36B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D5150BD"/>
    <w:multiLevelType w:val="singleLevel"/>
    <w:tmpl w:val="EF0A0136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>
    <w:nsid w:val="228918BE"/>
    <w:multiLevelType w:val="multilevel"/>
    <w:tmpl w:val="4C3E72AA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91A03B9"/>
    <w:multiLevelType w:val="singleLevel"/>
    <w:tmpl w:val="03320A54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8">
    <w:nsid w:val="2B1E53BC"/>
    <w:multiLevelType w:val="singleLevel"/>
    <w:tmpl w:val="0BFC0FF8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2D293CE3"/>
    <w:multiLevelType w:val="hybridMultilevel"/>
    <w:tmpl w:val="42B46776"/>
    <w:name w:val="LegalNumParListTemplate2"/>
    <w:lvl w:ilvl="0" w:tplc="0C02F2CE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34FA3"/>
    <w:multiLevelType w:val="multilevel"/>
    <w:tmpl w:val="8DC66598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6615FEF"/>
    <w:multiLevelType w:val="singleLevel"/>
    <w:tmpl w:val="5CD4C6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2">
    <w:nsid w:val="3A115290"/>
    <w:multiLevelType w:val="multilevel"/>
    <w:tmpl w:val="E3664658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F937BD7"/>
    <w:multiLevelType w:val="hybridMultilevel"/>
    <w:tmpl w:val="7B2CBCFE"/>
    <w:name w:val="LegalNumParListTemplate3"/>
    <w:lvl w:ilvl="0" w:tplc="1604D644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450F2"/>
    <w:multiLevelType w:val="singleLevel"/>
    <w:tmpl w:val="E41A6BD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5">
    <w:nsid w:val="5B396F45"/>
    <w:multiLevelType w:val="singleLevel"/>
    <w:tmpl w:val="8BD62B1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>
    <w:nsid w:val="679F1BF3"/>
    <w:multiLevelType w:val="multilevel"/>
    <w:tmpl w:val="55D08358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9F65DF2"/>
    <w:multiLevelType w:val="hybridMultilevel"/>
    <w:tmpl w:val="AF888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070CA"/>
    <w:multiLevelType w:val="singleLevel"/>
    <w:tmpl w:val="0FC2EFC0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9">
    <w:nsid w:val="6F6E2FAF"/>
    <w:multiLevelType w:val="hybridMultilevel"/>
    <w:tmpl w:val="00B8D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4117B7"/>
    <w:multiLevelType w:val="multilevel"/>
    <w:tmpl w:val="D210498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7816C3A"/>
    <w:multiLevelType w:val="singleLevel"/>
    <w:tmpl w:val="C9E4CA1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2">
    <w:nsid w:val="78080A0A"/>
    <w:multiLevelType w:val="singleLevel"/>
    <w:tmpl w:val="3CCA8980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22"/>
  </w:num>
  <w:num w:numId="6">
    <w:abstractNumId w:val="8"/>
  </w:num>
  <w:num w:numId="7">
    <w:abstractNumId w:val="18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21"/>
  </w:num>
  <w:num w:numId="13">
    <w:abstractNumId w:val="14"/>
  </w:num>
  <w:num w:numId="14">
    <w:abstractNumId w:val="16"/>
  </w:num>
  <w:num w:numId="15">
    <w:abstractNumId w:val="6"/>
  </w:num>
  <w:num w:numId="16">
    <w:abstractNumId w:val="12"/>
  </w:num>
  <w:num w:numId="17">
    <w:abstractNumId w:val="20"/>
  </w:num>
  <w:num w:numId="18">
    <w:abstractNumId w:val="10"/>
  </w:num>
  <w:num w:numId="19">
    <w:abstractNumId w:val="9"/>
  </w:num>
  <w:num w:numId="20">
    <w:abstractNumId w:val="7"/>
  </w:num>
  <w:num w:numId="21">
    <w:abstractNumId w:val="13"/>
  </w:num>
  <w:num w:numId="22">
    <w:abstractNumId w:val="17"/>
  </w:num>
  <w:num w:numId="2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E2A370E8612B4E34B9B7B4DF79FE661A"/>
    <w:docVar w:name="LW_CROSSREFERENCE" w:val="{SWD(2015) 121 final}"/>
    <w:docVar w:name="LW_DocType" w:val="TEL"/>
    <w:docVar w:name="LW_EMISSION" w:val="17.6.2015"/>
    <w:docVar w:name="LW_EMISSION_ISODATE" w:val="2015-06-17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Un système d'imposition des sociétés juste et efficace au sein de l'Union européenne: cinq domaines d'action prioritaires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5) 302 final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 et au Conseil"/>
  </w:docVars>
  <w:rsids>
    <w:rsidRoot w:val="00A87C5E"/>
    <w:rsid w:val="00006984"/>
    <w:rsid w:val="000269A5"/>
    <w:rsid w:val="0002785D"/>
    <w:rsid w:val="000A3204"/>
    <w:rsid w:val="000C2B03"/>
    <w:rsid w:val="000C61FE"/>
    <w:rsid w:val="000F4284"/>
    <w:rsid w:val="001237C1"/>
    <w:rsid w:val="00140A43"/>
    <w:rsid w:val="001A2242"/>
    <w:rsid w:val="001D37D3"/>
    <w:rsid w:val="001F3934"/>
    <w:rsid w:val="002552FE"/>
    <w:rsid w:val="00270B91"/>
    <w:rsid w:val="00271A1A"/>
    <w:rsid w:val="00297246"/>
    <w:rsid w:val="002E74DC"/>
    <w:rsid w:val="002E784C"/>
    <w:rsid w:val="00323501"/>
    <w:rsid w:val="003916D2"/>
    <w:rsid w:val="00396F79"/>
    <w:rsid w:val="003C3F15"/>
    <w:rsid w:val="004749F0"/>
    <w:rsid w:val="00495972"/>
    <w:rsid w:val="00657EBE"/>
    <w:rsid w:val="006811BE"/>
    <w:rsid w:val="00684D32"/>
    <w:rsid w:val="006D3075"/>
    <w:rsid w:val="00754770"/>
    <w:rsid w:val="00765B77"/>
    <w:rsid w:val="00806AF3"/>
    <w:rsid w:val="0081144C"/>
    <w:rsid w:val="00826E8B"/>
    <w:rsid w:val="00834F8D"/>
    <w:rsid w:val="00887248"/>
    <w:rsid w:val="008A5D24"/>
    <w:rsid w:val="008C01EB"/>
    <w:rsid w:val="009D25C9"/>
    <w:rsid w:val="00A87C5E"/>
    <w:rsid w:val="00AB3C80"/>
    <w:rsid w:val="00AD1BC9"/>
    <w:rsid w:val="00BA5970"/>
    <w:rsid w:val="00BC4322"/>
    <w:rsid w:val="00BE1709"/>
    <w:rsid w:val="00BF4B4A"/>
    <w:rsid w:val="00C06FF8"/>
    <w:rsid w:val="00CD5E65"/>
    <w:rsid w:val="00CE009E"/>
    <w:rsid w:val="00D3212E"/>
    <w:rsid w:val="00D75CFF"/>
    <w:rsid w:val="00DC5D1E"/>
    <w:rsid w:val="00DF359A"/>
    <w:rsid w:val="00E04531"/>
    <w:rsid w:val="00E14473"/>
    <w:rsid w:val="00E24E7B"/>
    <w:rsid w:val="00F228F6"/>
    <w:rsid w:val="00F83654"/>
    <w:rsid w:val="00F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rFonts w:ascii="Courier New" w:hAnsi="Courier New"/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  <w:rPr>
      <w:rFonts w:ascii="Times New Roman" w:hAnsi="Times New Roman"/>
    </w:rPr>
  </w:style>
  <w:style w:type="paragraph" w:styleId="EnvelopeReturn">
    <w:name w:val="envelope return"/>
    <w:basedOn w:val="Normal"/>
    <w:pPr>
      <w:spacing w:after="0"/>
    </w:pPr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LegalNumPar">
    <w:name w:val="LegalNumPar"/>
    <w:basedOn w:val="Normal"/>
    <w:rsid w:val="00F83654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DF3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9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A5"/>
    <w:rPr>
      <w:rFonts w:ascii="Tahoma" w:hAnsi="Tahoma" w:cs="Tahoma"/>
      <w:sz w:val="16"/>
      <w:szCs w:val="16"/>
      <w:lang w:eastAsia="en-US"/>
    </w:rPr>
  </w:style>
  <w:style w:type="character" w:customStyle="1" w:styleId="Marker">
    <w:name w:val="Marker"/>
    <w:basedOn w:val="DefaultParagraphFont"/>
    <w:rsid w:val="00F9583B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F9583B"/>
    <w:pPr>
      <w:spacing w:after="0"/>
    </w:pPr>
    <w:rPr>
      <w:rFonts w:ascii="Times New Roman" w:eastAsiaTheme="minorHAnsi" w:hAnsi="Times New Roman"/>
      <w:szCs w:val="22"/>
    </w:rPr>
  </w:style>
  <w:style w:type="paragraph" w:customStyle="1" w:styleId="FooterCoverPage">
    <w:name w:val="Footer Cover Page"/>
    <w:basedOn w:val="Normal"/>
    <w:link w:val="FooterCoverPageChar"/>
    <w:rsid w:val="00F9583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ascii="Times New Roman" w:hAnsi="Times New Roman"/>
      <w:szCs w:val="24"/>
    </w:rPr>
  </w:style>
  <w:style w:type="character" w:customStyle="1" w:styleId="FooterCoverPageChar">
    <w:name w:val="Footer Cover Page Char"/>
    <w:basedOn w:val="DefaultParagraphFont"/>
    <w:link w:val="FooterCoverPage"/>
    <w:rsid w:val="00F9583B"/>
    <w:rPr>
      <w:sz w:val="24"/>
      <w:szCs w:val="24"/>
      <w:lang w:eastAsia="en-US"/>
    </w:rPr>
  </w:style>
  <w:style w:type="paragraph" w:customStyle="1" w:styleId="HeaderCoverPage">
    <w:name w:val="Header Cover Page"/>
    <w:basedOn w:val="Normal"/>
    <w:link w:val="HeaderCoverPageChar"/>
    <w:rsid w:val="00F9583B"/>
    <w:pPr>
      <w:tabs>
        <w:tab w:val="center" w:pos="4535"/>
        <w:tab w:val="right" w:pos="9071"/>
      </w:tabs>
      <w:spacing w:after="120"/>
    </w:pPr>
    <w:rPr>
      <w:rFonts w:ascii="Times New Roman" w:hAnsi="Times New Roman"/>
      <w:szCs w:val="24"/>
    </w:rPr>
  </w:style>
  <w:style w:type="character" w:customStyle="1" w:styleId="HeaderCoverPageChar">
    <w:name w:val="Header Cover Page Char"/>
    <w:basedOn w:val="DefaultParagraphFont"/>
    <w:link w:val="HeaderCoverPage"/>
    <w:rsid w:val="00F9583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F79"/>
    <w:rPr>
      <w:rFonts w:ascii="Arial" w:hAnsi="Arial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rFonts w:ascii="Courier New" w:hAnsi="Courier New"/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  <w:rPr>
      <w:rFonts w:ascii="Times New Roman" w:hAnsi="Times New Roman"/>
    </w:rPr>
  </w:style>
  <w:style w:type="paragraph" w:styleId="EnvelopeReturn">
    <w:name w:val="envelope return"/>
    <w:basedOn w:val="Normal"/>
    <w:pPr>
      <w:spacing w:after="0"/>
    </w:pPr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LegalNumPar">
    <w:name w:val="LegalNumPar"/>
    <w:basedOn w:val="Normal"/>
    <w:rsid w:val="00F83654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DF3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9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A5"/>
    <w:rPr>
      <w:rFonts w:ascii="Tahoma" w:hAnsi="Tahoma" w:cs="Tahoma"/>
      <w:sz w:val="16"/>
      <w:szCs w:val="16"/>
      <w:lang w:eastAsia="en-US"/>
    </w:rPr>
  </w:style>
  <w:style w:type="character" w:customStyle="1" w:styleId="Marker">
    <w:name w:val="Marker"/>
    <w:basedOn w:val="DefaultParagraphFont"/>
    <w:rsid w:val="00F9583B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F9583B"/>
    <w:pPr>
      <w:spacing w:after="0"/>
    </w:pPr>
    <w:rPr>
      <w:rFonts w:ascii="Times New Roman" w:eastAsiaTheme="minorHAnsi" w:hAnsi="Times New Roman"/>
      <w:szCs w:val="22"/>
    </w:rPr>
  </w:style>
  <w:style w:type="paragraph" w:customStyle="1" w:styleId="FooterCoverPage">
    <w:name w:val="Footer Cover Page"/>
    <w:basedOn w:val="Normal"/>
    <w:link w:val="FooterCoverPageChar"/>
    <w:rsid w:val="00F9583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ascii="Times New Roman" w:hAnsi="Times New Roman"/>
      <w:szCs w:val="24"/>
    </w:rPr>
  </w:style>
  <w:style w:type="character" w:customStyle="1" w:styleId="FooterCoverPageChar">
    <w:name w:val="Footer Cover Page Char"/>
    <w:basedOn w:val="DefaultParagraphFont"/>
    <w:link w:val="FooterCoverPage"/>
    <w:rsid w:val="00F9583B"/>
    <w:rPr>
      <w:sz w:val="24"/>
      <w:szCs w:val="24"/>
      <w:lang w:eastAsia="en-US"/>
    </w:rPr>
  </w:style>
  <w:style w:type="paragraph" w:customStyle="1" w:styleId="HeaderCoverPage">
    <w:name w:val="Header Cover Page"/>
    <w:basedOn w:val="Normal"/>
    <w:link w:val="HeaderCoverPageChar"/>
    <w:rsid w:val="00F9583B"/>
    <w:pPr>
      <w:tabs>
        <w:tab w:val="center" w:pos="4535"/>
        <w:tab w:val="right" w:pos="9071"/>
      </w:tabs>
      <w:spacing w:after="120"/>
    </w:pPr>
    <w:rPr>
      <w:rFonts w:ascii="Times New Roman" w:hAnsi="Times New Roman"/>
      <w:szCs w:val="24"/>
    </w:rPr>
  </w:style>
  <w:style w:type="character" w:customStyle="1" w:styleId="HeaderCoverPageChar">
    <w:name w:val="Header Cover Page Char"/>
    <w:basedOn w:val="DefaultParagraphFont"/>
    <w:link w:val="HeaderCoverPage"/>
    <w:rsid w:val="00F9583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F79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TE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287A-B0B7-4DF1-9982-1E79A2C9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TEL.DOTM</Template>
  <TotalTime>1</TotalTime>
  <Pages>3</Pages>
  <Words>310</Words>
  <Characters>2012</Characters>
  <Application>Microsoft Office Word</Application>
  <DocSecurity>0</DocSecurity>
  <PresentationFormat>Microsoft Word 14.0</PresentationFormat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keywords>EL4</cp:keywords>
  <cp:lastModifiedBy>Stefanie Heilemann</cp:lastModifiedBy>
  <cp:revision>3</cp:revision>
  <cp:lastPrinted>2015-06-16T15:01:00Z</cp:lastPrinted>
  <dcterms:created xsi:type="dcterms:W3CDTF">2015-06-17T13:55:00Z</dcterms:created>
  <dcterms:modified xsi:type="dcterms:W3CDTF">2015-06-17T13:55:00Z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4.6.4.0000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tel.dot</vt:lpwstr>
  </property>
  <property fmtid="{D5CDD505-2E9C-101B-9397-08002B2CF9AE}" pid="6" name="Created using">
    <vt:lpwstr>EL 4.6 Build 40001</vt:lpwstr>
  </property>
  <property fmtid="{D5CDD505-2E9C-101B-9397-08002B2CF9AE}" pid="7" name="Formatting">
    <vt:lpwstr>4.1</vt:lpwstr>
  </property>
  <property fmtid="{D5CDD505-2E9C-101B-9397-08002B2CF9AE}" pid="8" name="Last edited using">
    <vt:lpwstr>EL 4.6 Build 40001</vt:lpwstr>
  </property>
  <property fmtid="{D5CDD505-2E9C-101B-9397-08002B2CF9AE}" pid="9" name="EL_Author">
    <vt:lpwstr>Ros</vt:lpwstr>
  </property>
  <property fmtid="{D5CDD505-2E9C-101B-9397-08002B2CF9AE}" pid="10" name="Type">
    <vt:lpwstr>Eurolook Telex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Part">
    <vt:lpwstr>1</vt:lpwstr>
  </property>
  <property fmtid="{D5CDD505-2E9C-101B-9397-08002B2CF9AE}" pid="16" name="Total parts">
    <vt:lpwstr>1</vt:lpwstr>
  </property>
  <property fmtid="{D5CDD505-2E9C-101B-9397-08002B2CF9AE}" pid="17" name="DocStatus">
    <vt:lpwstr>Green</vt:lpwstr>
  </property>
  <property fmtid="{D5CDD505-2E9C-101B-9397-08002B2CF9AE}" pid="18" name="Classification">
    <vt:lpwstr> </vt:lpwstr>
  </property>
</Properties>
</file>