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D" w:rsidRDefault="002404E9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2F266489D314142AA999C7000A14E7A" style="width:450.4pt;height:393.5pt">
            <v:imagedata r:id="rId9" o:title=""/>
          </v:shape>
        </w:pict>
      </w:r>
    </w:p>
    <w:bookmarkEnd w:id="0"/>
    <w:p w:rsidR="00AC3AED" w:rsidRDefault="00AC3AED">
      <w:pPr>
        <w:rPr>
          <w:noProof/>
        </w:rPr>
        <w:sectPr w:rsidR="00AC3A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 w:rsidR="00AC3AED" w:rsidRDefault="002404E9" w:rsidP="002404E9">
      <w:pPr>
        <w:jc w:val="center"/>
        <w:rPr>
          <w:rFonts w:ascii="Times New Roman" w:hAnsi="Times New Roman"/>
          <w:b/>
          <w:noProof/>
          <w:szCs w:val="24"/>
          <w:u w:val="single"/>
        </w:rPr>
      </w:pPr>
      <w:r>
        <w:rPr>
          <w:rFonts w:ascii="Times New Roman" w:hAnsi="Times New Roman"/>
          <w:b/>
          <w:noProof/>
          <w:u w:val="single"/>
        </w:rPr>
        <w:lastRenderedPageBreak/>
        <w:t>ПРИЛОЖЕНИЕ: Списък с данъчни юрисдикции, които не оказват съдействие, от трети държави</w:t>
      </w:r>
    </w:p>
    <w:p w:rsidR="00AC3AED" w:rsidRDefault="002404E9">
      <w:pPr>
        <w:spacing w:after="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</w:rPr>
        <w:t xml:space="preserve">Като част от </w:t>
      </w:r>
      <w:r>
        <w:rPr>
          <w:rFonts w:ascii="Times New Roman" w:hAnsi="Times New Roman"/>
          <w:noProof/>
        </w:rPr>
        <w:t xml:space="preserve">работата на Платформата по въпросите на доброто управление в областта на данъчното облагане, в края на 2014 г. държавите членки предоставиха на Комисията списъци на юрисдикциите, които според тях могат да бъдат определени като данъчни юрисдикции, които не </w:t>
      </w:r>
      <w:r>
        <w:rPr>
          <w:rFonts w:ascii="Times New Roman" w:hAnsi="Times New Roman"/>
          <w:noProof/>
        </w:rPr>
        <w:t>оказват съдействие.  При определянето им държавите членки са използвали различни критерии, включително липсата на прозрачност и обмен на информация, наличието на вредни данъчни мерки и прилагането на ниски или нулеви данъчни ставки.</w:t>
      </w:r>
    </w:p>
    <w:p w:rsidR="00AC3AED" w:rsidRDefault="00AC3AED">
      <w:pPr>
        <w:spacing w:after="0"/>
        <w:rPr>
          <w:rFonts w:ascii="Times New Roman" w:hAnsi="Times New Roman"/>
          <w:noProof/>
          <w:szCs w:val="24"/>
        </w:rPr>
      </w:pPr>
    </w:p>
    <w:p w:rsidR="00AC3AED" w:rsidRDefault="002404E9">
      <w:pPr>
        <w:spacing w:after="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</w:rPr>
        <w:t>Настоящият списък вклю</w:t>
      </w:r>
      <w:r>
        <w:rPr>
          <w:rFonts w:ascii="Times New Roman" w:hAnsi="Times New Roman"/>
          <w:noProof/>
        </w:rPr>
        <w:t>чва данъчните юрисдикции, фигуриращи най-често в списъците, които държавите членки обсъдиха през декември 2014 г. в рамките на Платформата по въпросите на доброто управление в областта на данъчното облагане.  Изброените по-долу юрисдикции присъстват в спис</w:t>
      </w:r>
      <w:r>
        <w:rPr>
          <w:rFonts w:ascii="Times New Roman" w:hAnsi="Times New Roman"/>
          <w:noProof/>
        </w:rPr>
        <w:t>ъците на най-малко 10 държави членки. Комисията периодично ще актуализира списъка в зависимост от промените в националните списъци.</w:t>
      </w:r>
    </w:p>
    <w:p w:rsidR="00AC3AED" w:rsidRDefault="00AC3AED">
      <w:pPr>
        <w:spacing w:after="0"/>
        <w:rPr>
          <w:rFonts w:ascii="Times New Roman" w:hAnsi="Times New Roman"/>
          <w:noProof/>
          <w:szCs w:val="24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233"/>
        <w:gridCol w:w="4019"/>
      </w:tblGrid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Андора**</w:t>
            </w:r>
          </w:p>
        </w:tc>
      </w:tr>
      <w:tr w:rsidR="00AC3AED">
        <w:trPr>
          <w:trHeight w:val="206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Ангила*</w:t>
            </w:r>
          </w:p>
        </w:tc>
      </w:tr>
      <w:tr w:rsidR="00AC3AED">
        <w:trPr>
          <w:trHeight w:val="274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AC3AED" w:rsidRDefault="002404E9"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Антигуа и Барбуда**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Бахамски острови**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bCs/>
                <w:noProof/>
                <w:color w:val="FF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Барбадос*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Белиз**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Бермуда*</w:t>
            </w:r>
          </w:p>
        </w:tc>
      </w:tr>
      <w:tr w:rsidR="00AC3AED">
        <w:trPr>
          <w:trHeight w:val="281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Британски Вирджински острови*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Бруней**</w:t>
            </w:r>
          </w:p>
        </w:tc>
      </w:tr>
      <w:tr w:rsidR="00AC3AED">
        <w:trPr>
          <w:trHeight w:val="25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Кайманови острови*</w:t>
            </w:r>
          </w:p>
        </w:tc>
      </w:tr>
      <w:tr w:rsidR="00AC3AED">
        <w:trPr>
          <w:trHeight w:val="284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Острови Кук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Гренада**</w:t>
            </w:r>
          </w:p>
        </w:tc>
      </w:tr>
      <w:tr w:rsidR="00AC3AED">
        <w:trPr>
          <w:trHeight w:val="176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Гърнзи*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Хонконг**</w:t>
            </w:r>
            <w:bookmarkStart w:id="1" w:name="_GoBack"/>
            <w:bookmarkEnd w:id="1"/>
          </w:p>
        </w:tc>
      </w:tr>
      <w:tr w:rsidR="00AC3AED">
        <w:trPr>
          <w:trHeight w:val="287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Либерия</w:t>
            </w:r>
          </w:p>
        </w:tc>
      </w:tr>
      <w:tr w:rsidR="00AC3AED">
        <w:trPr>
          <w:trHeight w:val="271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Лихтенщайн***</w:t>
            </w:r>
          </w:p>
        </w:tc>
      </w:tr>
      <w:tr w:rsidR="00AC3AED">
        <w:trPr>
          <w:trHeight w:val="129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bCs/>
                <w:noProof/>
                <w:color w:val="FF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Малдивски острови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Маршалови острови**</w:t>
            </w:r>
          </w:p>
        </w:tc>
      </w:tr>
      <w:tr w:rsidR="00AC3AED">
        <w:trPr>
          <w:trHeight w:val="34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Мавриций*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Монако**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Монтсерат*</w:t>
            </w:r>
          </w:p>
        </w:tc>
      </w:tr>
      <w:tr w:rsidR="00AC3AED">
        <w:trPr>
          <w:trHeight w:val="278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Науру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Ниуе*</w:t>
            </w:r>
          </w:p>
        </w:tc>
      </w:tr>
      <w:tr w:rsidR="00AC3AED">
        <w:trPr>
          <w:trHeight w:val="27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Панама</w:t>
            </w:r>
          </w:p>
        </w:tc>
      </w:tr>
      <w:tr w:rsidR="00AC3AED">
        <w:trPr>
          <w:trHeight w:val="306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Сейнт Винсънт и Гренадини**</w:t>
            </w:r>
          </w:p>
        </w:tc>
      </w:tr>
      <w:tr w:rsidR="00AC3AED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Сейнт Китс и Невис**</w:t>
            </w:r>
          </w:p>
        </w:tc>
      </w:tr>
      <w:tr w:rsidR="00AC3AED">
        <w:trPr>
          <w:trHeight w:val="338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Сейшелски </w:t>
            </w:r>
            <w:r>
              <w:rPr>
                <w:rFonts w:ascii="Times New Roman" w:hAnsi="Times New Roman"/>
                <w:noProof/>
                <w:color w:val="000000"/>
              </w:rPr>
              <w:t>острови*</w:t>
            </w:r>
          </w:p>
        </w:tc>
      </w:tr>
      <w:tr w:rsidR="00AC3AED">
        <w:trPr>
          <w:trHeight w:val="18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Търкс и Кайкос*</w:t>
            </w:r>
          </w:p>
        </w:tc>
      </w:tr>
      <w:tr w:rsidR="00AC3AED">
        <w:trPr>
          <w:trHeight w:val="313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Американски Вирджински острови</w:t>
            </w:r>
          </w:p>
        </w:tc>
      </w:tr>
      <w:tr w:rsidR="00AC3AED">
        <w:trPr>
          <w:trHeight w:val="154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C3AED" w:rsidRDefault="002404E9">
            <w:pPr>
              <w:spacing w:after="0"/>
              <w:jc w:val="left"/>
              <w:rPr>
                <w:rFonts w:ascii="Times New Roman" w:hAnsi="Times New Roman"/>
                <w:bCs/>
                <w:noProof/>
                <w:color w:val="FF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Вануату</w:t>
            </w:r>
          </w:p>
        </w:tc>
      </w:tr>
      <w:tr w:rsidR="00AC3AED">
        <w:trPr>
          <w:gridAfter w:val="1"/>
          <w:wAfter w:w="4019" w:type="dxa"/>
          <w:trHeight w:val="154"/>
        </w:trPr>
        <w:tc>
          <w:tcPr>
            <w:tcW w:w="223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C3AED" w:rsidRDefault="00AC3AED">
            <w:pPr>
              <w:spacing w:after="0"/>
              <w:jc w:val="left"/>
              <w:rPr>
                <w:rFonts w:ascii="Times New Roman" w:hAnsi="Times New Roman"/>
                <w:bCs/>
                <w:noProof/>
                <w:szCs w:val="24"/>
              </w:rPr>
            </w:pPr>
          </w:p>
        </w:tc>
      </w:tr>
    </w:tbl>
    <w:p w:rsidR="00AC3AED" w:rsidRDefault="002404E9">
      <w:pPr>
        <w:spacing w:after="0"/>
        <w:jc w:val="left"/>
        <w:rPr>
          <w:rFonts w:ascii="Times New Roman" w:hAnsi="Times New Roman"/>
          <w:noProof/>
          <w:sz w:val="19"/>
          <w:szCs w:val="19"/>
        </w:rPr>
      </w:pPr>
      <w:r>
        <w:rPr>
          <w:rFonts w:ascii="Times New Roman" w:hAnsi="Times New Roman"/>
          <w:noProof/>
          <w:sz w:val="19"/>
        </w:rPr>
        <w:t xml:space="preserve">* Ранно приемане на новия глобален стандарт за автоматичен обмен на информация. Първият обмен на информация е предвиден за 2017 г. </w:t>
      </w:r>
    </w:p>
    <w:p w:rsidR="00AC3AED" w:rsidRDefault="002404E9">
      <w:pPr>
        <w:spacing w:after="0"/>
        <w:jc w:val="left"/>
        <w:rPr>
          <w:rFonts w:ascii="Times New Roman" w:hAnsi="Times New Roman"/>
          <w:noProof/>
          <w:sz w:val="19"/>
          <w:szCs w:val="19"/>
        </w:rPr>
      </w:pPr>
      <w:r>
        <w:rPr>
          <w:rFonts w:ascii="Times New Roman" w:hAnsi="Times New Roman"/>
          <w:noProof/>
          <w:sz w:val="19"/>
        </w:rPr>
        <w:lastRenderedPageBreak/>
        <w:t xml:space="preserve">** Поет е ангажимент за приемане на новия глобален </w:t>
      </w:r>
      <w:r>
        <w:rPr>
          <w:rFonts w:ascii="Times New Roman" w:hAnsi="Times New Roman"/>
          <w:noProof/>
          <w:sz w:val="19"/>
        </w:rPr>
        <w:t>стандарт за автоматичен обмен на информация. Първият обмен на информация е предвиден за 2018 г.</w:t>
      </w:r>
    </w:p>
    <w:p w:rsidR="00AC3AED" w:rsidRDefault="002404E9">
      <w:pPr>
        <w:spacing w:after="0"/>
        <w:jc w:val="left"/>
        <w:rPr>
          <w:rFonts w:ascii="Times New Roman" w:hAnsi="Times New Roman"/>
          <w:noProof/>
          <w:sz w:val="19"/>
          <w:szCs w:val="19"/>
        </w:rPr>
      </w:pPr>
      <w:r>
        <w:rPr>
          <w:rFonts w:ascii="Times New Roman" w:hAnsi="Times New Roman"/>
          <w:noProof/>
          <w:sz w:val="19"/>
        </w:rPr>
        <w:t>*** Ранно приемане на новия глобален стандарт за автоматичен обмен на информация. Първият обмен на информация е предвиден за 2017 г. Страната понастоящем участв</w:t>
      </w:r>
      <w:r>
        <w:rPr>
          <w:rFonts w:ascii="Times New Roman" w:hAnsi="Times New Roman"/>
          <w:noProof/>
          <w:sz w:val="19"/>
        </w:rPr>
        <w:t xml:space="preserve">а в обсъжданията относно данъчното облагане на дружествата в рамките на групата „Кодекс за поведение“ (Данъчно облагане на предприятия). </w:t>
      </w:r>
    </w:p>
    <w:p w:rsidR="00AC3AED" w:rsidRDefault="00AC3AED">
      <w:pPr>
        <w:spacing w:after="0"/>
        <w:jc w:val="left"/>
        <w:rPr>
          <w:rFonts w:ascii="Times New Roman" w:hAnsi="Times New Roman"/>
          <w:noProof/>
          <w:sz w:val="19"/>
          <w:szCs w:val="19"/>
        </w:rPr>
      </w:pPr>
    </w:p>
    <w:p w:rsidR="00AC3AED" w:rsidRDefault="002404E9">
      <w:pPr>
        <w:spacing w:after="0"/>
        <w:jc w:val="left"/>
        <w:rPr>
          <w:rFonts w:ascii="Times New Roman" w:hAnsi="Times New Roman"/>
          <w:noProof/>
          <w:sz w:val="19"/>
          <w:szCs w:val="19"/>
        </w:rPr>
      </w:pPr>
      <w:r>
        <w:rPr>
          <w:rFonts w:ascii="Times New Roman" w:hAnsi="Times New Roman"/>
          <w:noProof/>
          <w:sz w:val="19"/>
        </w:rPr>
        <w:t>Тъй като при оценката на данъчните юрисдикции държавите членки могат да използват редица различни критерии, за момент</w:t>
      </w:r>
      <w:r>
        <w:rPr>
          <w:rFonts w:ascii="Times New Roman" w:hAnsi="Times New Roman"/>
          <w:noProof/>
          <w:sz w:val="19"/>
        </w:rPr>
        <w:t>а не е ясно какви ще са промените в списъка, свързани с приемането на новите глобални стандарти за докладване от страна на някои данъчни юрисдикции.</w:t>
      </w:r>
    </w:p>
    <w:sectPr w:rsidR="00AC3AED" w:rsidSect="002404E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ED" w:rsidRDefault="002404E9">
      <w:pPr>
        <w:spacing w:after="0"/>
      </w:pPr>
      <w:r>
        <w:separator/>
      </w:r>
    </w:p>
  </w:endnote>
  <w:endnote w:type="continuationSeparator" w:id="0">
    <w:p w:rsidR="00AC3AED" w:rsidRDefault="00240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4E9" w:rsidRDefault="002404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ED" w:rsidRDefault="002404E9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4E9" w:rsidRDefault="002404E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ED" w:rsidRDefault="00AC3AE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ED" w:rsidRDefault="00AC3AE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235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3AED" w:rsidRDefault="002404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3AED" w:rsidRDefault="00AC3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ED" w:rsidRDefault="002404E9">
      <w:pPr>
        <w:spacing w:after="0"/>
      </w:pPr>
      <w:r>
        <w:separator/>
      </w:r>
    </w:p>
  </w:footnote>
  <w:footnote w:type="continuationSeparator" w:id="0">
    <w:p w:rsidR="00AC3AED" w:rsidRDefault="002404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4E9" w:rsidRDefault="002404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4E9" w:rsidRDefault="002404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4E9" w:rsidRDefault="002404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ED" w:rsidRDefault="00AC3AE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ED" w:rsidRDefault="00AC3AE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ED" w:rsidRDefault="00AC3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C6EA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8850F9B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10B3F48"/>
    <w:multiLevelType w:val="singleLevel"/>
    <w:tmpl w:val="EFB46688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>
    <w:nsid w:val="13A83C3F"/>
    <w:multiLevelType w:val="singleLevel"/>
    <w:tmpl w:val="54744D6A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">
    <w:nsid w:val="14E4220C"/>
    <w:multiLevelType w:val="multilevel"/>
    <w:tmpl w:val="BF4C36B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D5150BD"/>
    <w:multiLevelType w:val="singleLevel"/>
    <w:tmpl w:val="EF0A0136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>
    <w:nsid w:val="228918BE"/>
    <w:multiLevelType w:val="multilevel"/>
    <w:tmpl w:val="4C3E72AA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91A03B9"/>
    <w:multiLevelType w:val="singleLevel"/>
    <w:tmpl w:val="03320A54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8">
    <w:nsid w:val="2B1E53BC"/>
    <w:multiLevelType w:val="singleLevel"/>
    <w:tmpl w:val="0BFC0FF8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2D293CE3"/>
    <w:multiLevelType w:val="hybridMultilevel"/>
    <w:tmpl w:val="42B46776"/>
    <w:name w:val="LegalNumParListTemplate2"/>
    <w:lvl w:ilvl="0" w:tplc="0C02F2CE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34FA3"/>
    <w:multiLevelType w:val="multilevel"/>
    <w:tmpl w:val="8DC66598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6615FEF"/>
    <w:multiLevelType w:val="singleLevel"/>
    <w:tmpl w:val="5CD4C6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2">
    <w:nsid w:val="3A115290"/>
    <w:multiLevelType w:val="multilevel"/>
    <w:tmpl w:val="E3664658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F937BD7"/>
    <w:multiLevelType w:val="hybridMultilevel"/>
    <w:tmpl w:val="7B2CBCFE"/>
    <w:name w:val="LegalNumParListTemplate3"/>
    <w:lvl w:ilvl="0" w:tplc="1604D644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450F2"/>
    <w:multiLevelType w:val="singleLevel"/>
    <w:tmpl w:val="E41A6BD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5">
    <w:nsid w:val="5B396F45"/>
    <w:multiLevelType w:val="singleLevel"/>
    <w:tmpl w:val="8BD62B1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>
    <w:nsid w:val="679F1BF3"/>
    <w:multiLevelType w:val="multilevel"/>
    <w:tmpl w:val="55D08358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9F65DF2"/>
    <w:multiLevelType w:val="hybridMultilevel"/>
    <w:tmpl w:val="AF888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070CA"/>
    <w:multiLevelType w:val="singleLevel"/>
    <w:tmpl w:val="0FC2EFC0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9">
    <w:nsid w:val="6F6E2FAF"/>
    <w:multiLevelType w:val="hybridMultilevel"/>
    <w:tmpl w:val="00B8D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4117B7"/>
    <w:multiLevelType w:val="multilevel"/>
    <w:tmpl w:val="D210498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7816C3A"/>
    <w:multiLevelType w:val="singleLevel"/>
    <w:tmpl w:val="C9E4CA1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2">
    <w:nsid w:val="78080A0A"/>
    <w:multiLevelType w:val="singleLevel"/>
    <w:tmpl w:val="3CCA8980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22"/>
  </w:num>
  <w:num w:numId="6">
    <w:abstractNumId w:val="8"/>
  </w:num>
  <w:num w:numId="7">
    <w:abstractNumId w:val="18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21"/>
  </w:num>
  <w:num w:numId="13">
    <w:abstractNumId w:val="14"/>
  </w:num>
  <w:num w:numId="14">
    <w:abstractNumId w:val="16"/>
  </w:num>
  <w:num w:numId="15">
    <w:abstractNumId w:val="6"/>
  </w:num>
  <w:num w:numId="16">
    <w:abstractNumId w:val="12"/>
  </w:num>
  <w:num w:numId="17">
    <w:abstractNumId w:val="20"/>
  </w:num>
  <w:num w:numId="18">
    <w:abstractNumId w:val="10"/>
  </w:num>
  <w:num w:numId="19">
    <w:abstractNumId w:val="9"/>
  </w:num>
  <w:num w:numId="20">
    <w:abstractNumId w:val="7"/>
  </w:num>
  <w:num w:numId="21">
    <w:abstractNumId w:val="13"/>
  </w:num>
  <w:num w:numId="22">
    <w:abstractNumId w:val="17"/>
  </w:num>
  <w:num w:numId="2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2F266489D314142AA999C7000A14E7A"/>
    <w:docVar w:name="LW_CROSSREFERENCE" w:val="{SWD(2015) 121 final}"/>
    <w:docVar w:name="LW_DocType" w:val="TEL"/>
    <w:docVar w:name="LW_EMISSION" w:val="17.6.2015"/>
    <w:docVar w:name="LW_EMISSION_ISODATE" w:val="2015-06-17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7?\u1087?\u1088?\u1072?\u1074?\u1077?\u1076?\u1083?\u1080?\u1074?\u1072? \u1080? \u1077?\u1092?\u1080?\u1082?\u1072?\u1089?\u1085?\u1072? \u1089?\u1080?\u1089?\u1090?\u1077?\u1084?\u1072? \u1079?\u1072? \u1082?\u1086?\u1088?\u1087?\u1086?\u1088?\u1072?\u1090?\u1080?\u1074?\u1085?\u1086? \u1076?\u1072?\u1085?\u1098?\u1095?\u1085?\u1086? \u1086?\u1073?\u1083?\u1072?\u1075?\u1072?\u1085?\u1077? \u1074? \u1045?\u1074?\u1088?\u1086?\u1087?\u1077?\u1081?\u1089?\u1082?\u1080?\u1103? \u1089?\u1098?\u1102?\u1079?: \u1087?\u1077?\u1090? \u1082?\u1083?\u1102?\u1095?\u1086?\u1074?\u1080? \u1086?\u1073?\u1083?\u1072?\u1089?\u1090?\u1080? \u1079?\u1072? \u1076?\u1077?\u1081?\u1089?\u1090?\u1074?\u108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5) 30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98?\u1086?\u1073?\u1097?\u1077?\u1085?\u1080?\u1077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"/>
  </w:docVars>
  <w:rsids>
    <w:rsidRoot w:val="00AC3AED"/>
    <w:rsid w:val="002404E9"/>
    <w:rsid w:val="0058630E"/>
    <w:rsid w:val="00A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rFonts w:ascii="Courier New" w:hAnsi="Courier New"/>
      <w:sz w:val="24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  <w:rPr>
      <w:rFonts w:ascii="Times New Roman" w:hAnsi="Times New Roman"/>
    </w:rPr>
  </w:style>
  <w:style w:type="paragraph" w:styleId="EnvelopeReturn">
    <w:name w:val="envelope return"/>
    <w:basedOn w:val="Normal"/>
    <w:pPr>
      <w:spacing w:after="0"/>
    </w:pPr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LegalNumPar">
    <w:name w:val="LegalNumPar"/>
    <w:basedOn w:val="Normal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ascii="Times New Roman" w:eastAsiaTheme="minorHAnsi" w:hAnsi="Times New Roman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ascii="Times New Roman" w:hAnsi="Times New Roman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rFonts w:ascii="Times New Roman" w:hAnsi="Times New Roman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rFonts w:ascii="Courier New" w:hAnsi="Courier New"/>
      <w:sz w:val="24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  <w:rPr>
      <w:rFonts w:ascii="Times New Roman" w:hAnsi="Times New Roman"/>
    </w:rPr>
  </w:style>
  <w:style w:type="paragraph" w:styleId="EnvelopeReturn">
    <w:name w:val="envelope return"/>
    <w:basedOn w:val="Normal"/>
    <w:pPr>
      <w:spacing w:after="0"/>
    </w:pPr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LegalNumPar">
    <w:name w:val="LegalNumPar"/>
    <w:basedOn w:val="Normal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ascii="Times New Roman" w:eastAsiaTheme="minorHAnsi" w:hAnsi="Times New Roman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ascii="Times New Roman" w:hAnsi="Times New Roman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rFonts w:ascii="Times New Roman" w:hAnsi="Times New Roman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TE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EF2F-7276-4D6C-B94A-C59B66C0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TEL.DOTM</Template>
  <TotalTime>2</TotalTime>
  <Pages>3</Pages>
  <Words>317</Words>
  <Characters>1976</Characters>
  <Application>Microsoft Office Word</Application>
  <DocSecurity>0</DocSecurity>
  <PresentationFormat>Microsoft Word 14.0</PresentationFormat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keywords>EL4</cp:keywords>
  <cp:lastModifiedBy>Stefanie Heilemann</cp:lastModifiedBy>
  <cp:revision>9</cp:revision>
  <cp:lastPrinted>2015-06-16T11:06:00Z</cp:lastPrinted>
  <dcterms:created xsi:type="dcterms:W3CDTF">2015-06-19T14:39:00Z</dcterms:created>
  <dcterms:modified xsi:type="dcterms:W3CDTF">2015-06-22T08:49:00Z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4.6.4.0000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tel.dot</vt:lpwstr>
  </property>
  <property fmtid="{D5CDD505-2E9C-101B-9397-08002B2CF9AE}" pid="6" name="Created using">
    <vt:lpwstr>EL 4.6 Build 40001</vt:lpwstr>
  </property>
  <property fmtid="{D5CDD505-2E9C-101B-9397-08002B2CF9AE}" pid="7" name="Formatting">
    <vt:lpwstr>4.1</vt:lpwstr>
  </property>
  <property fmtid="{D5CDD505-2E9C-101B-9397-08002B2CF9AE}" pid="8" name="Last edited using">
    <vt:lpwstr>EL </vt:lpwstr>
  </property>
  <property fmtid="{D5CDD505-2E9C-101B-9397-08002B2CF9AE}" pid="9" name="EL_Author">
    <vt:lpwstr>Ros</vt:lpwstr>
  </property>
  <property fmtid="{D5CDD505-2E9C-101B-9397-08002B2CF9AE}" pid="10" name="Type">
    <vt:lpwstr>Eurolook Telex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Part">
    <vt:lpwstr>1</vt:lpwstr>
  </property>
  <property fmtid="{D5CDD505-2E9C-101B-9397-08002B2CF9AE}" pid="16" name="Total parts">
    <vt:lpwstr>1</vt:lpwstr>
  </property>
  <property fmtid="{D5CDD505-2E9C-101B-9397-08002B2CF9AE}" pid="17" name="DocStatus">
    <vt:lpwstr>Green</vt:lpwstr>
  </property>
  <property fmtid="{D5CDD505-2E9C-101B-9397-08002B2CF9AE}" pid="18" name="Classification">
    <vt:lpwstr> </vt:lpwstr>
  </property>
</Properties>
</file>