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5" w:rsidRDefault="00F75A5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E79DC8E5A334D698E0945F8A638252F" style="width:450.75pt;height:334.5pt">
            <v:imagedata r:id="rId8" o:title=""/>
          </v:shape>
        </w:pict>
      </w:r>
    </w:p>
    <w:bookmarkEnd w:id="0"/>
    <w:p w:rsidR="00764095" w:rsidRDefault="00764095">
      <w:pPr>
        <w:rPr>
          <w:noProof/>
        </w:rPr>
        <w:sectPr w:rsidR="00764095">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764095" w:rsidRDefault="00F75A5B">
      <w:pPr>
        <w:pStyle w:val="ManualHeading1"/>
        <w:rPr>
          <w:noProof/>
        </w:rPr>
      </w:pPr>
      <w:bookmarkStart w:id="1" w:name="_Toc417032398"/>
      <w:r>
        <w:lastRenderedPageBreak/>
        <w:tab/>
      </w:r>
      <w:r>
        <w:rPr>
          <w:noProof/>
        </w:rPr>
        <w:t>Introduction</w:t>
      </w:r>
      <w:bookmarkEnd w:id="1"/>
    </w:p>
    <w:p w:rsidR="00764095" w:rsidRDefault="00F75A5B">
      <w:pPr>
        <w:jc w:val="both"/>
        <w:rPr>
          <w:rFonts w:ascii="Times New Roman" w:hAnsi="Times New Roman"/>
          <w:noProof/>
          <w:sz w:val="24"/>
        </w:rPr>
      </w:pPr>
      <w:r>
        <w:rPr>
          <w:rFonts w:ascii="Times New Roman" w:eastAsia="Times New Roman" w:hAnsi="Times New Roman"/>
          <w:noProof/>
          <w:sz w:val="24"/>
          <w:lang w:eastAsia="en-GB"/>
        </w:rPr>
        <w:t xml:space="preserve">This report focuses on the Health Programme’s implementation in 2013. This was the </w:t>
      </w:r>
      <w:r>
        <w:rPr>
          <w:rFonts w:ascii="Times New Roman" w:eastAsia="Times New Roman" w:hAnsi="Times New Roman"/>
          <w:noProof/>
          <w:sz w:val="24"/>
          <w:lang w:eastAsia="en-GB"/>
        </w:rPr>
        <w:t>last year of the implementation of the Second Health Programme</w:t>
      </w:r>
      <w:r>
        <w:rPr>
          <w:rFonts w:ascii="Times New Roman" w:hAnsi="Times New Roman"/>
          <w:noProof/>
          <w:sz w:val="24"/>
        </w:rPr>
        <w:t xml:space="preserve"> established by Decision 1350/2007/EC of the European Parliament and of the Council of 23 October 2007. The Programme started on 1 January 2008 and ended on 31 December 2013. Under Article 13(1)</w:t>
      </w:r>
      <w:r>
        <w:rPr>
          <w:rFonts w:ascii="Times New Roman" w:hAnsi="Times New Roman"/>
          <w:noProof/>
          <w:sz w:val="24"/>
        </w:rPr>
        <w:t xml:space="preserve"> of the Programme Decision, the Commission shall annually report to the Health Programme Committee on all actions and projects funded through the programme, and keep the European Parliament and the Council informed. This report meets this requirement. It p</w:t>
      </w:r>
      <w:r>
        <w:rPr>
          <w:rFonts w:ascii="Times New Roman" w:hAnsi="Times New Roman"/>
          <w:noProof/>
          <w:sz w:val="24"/>
        </w:rPr>
        <w:t>rovides detailed information on the 2013 budget and its execution. The accompanying Staff Working Document in Annex 1 presents a set of examples of the key actions which were funded under the programme mainly in 2009-13 and which delivered substantial resu</w:t>
      </w:r>
      <w:r>
        <w:rPr>
          <w:rFonts w:ascii="Times New Roman" w:hAnsi="Times New Roman"/>
          <w:noProof/>
          <w:sz w:val="24"/>
        </w:rPr>
        <w:t xml:space="preserve">lts. Overview tables detailing all actions co-funded and contracts provided can be found in Annexes 2-10. </w:t>
      </w:r>
    </w:p>
    <w:p w:rsidR="00764095" w:rsidRDefault="00F75A5B">
      <w:pPr>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 programme, with a total budget of EUR 321</w:t>
      </w:r>
      <w:r>
        <w:rPr>
          <w:rFonts w:ascii="Times New Roman" w:eastAsia="Times New Roman" w:hAnsi="Times New Roman"/>
          <w:noProof/>
          <w:w w:val="50"/>
          <w:sz w:val="24"/>
          <w:lang w:eastAsia="en-GB"/>
        </w:rPr>
        <w:t> </w:t>
      </w:r>
      <w:r>
        <w:rPr>
          <w:rFonts w:ascii="Times New Roman" w:eastAsia="Times New Roman" w:hAnsi="Times New Roman"/>
          <w:noProof/>
          <w:sz w:val="24"/>
          <w:lang w:eastAsia="en-GB"/>
        </w:rPr>
        <w:t>500</w:t>
      </w:r>
      <w:r>
        <w:rPr>
          <w:rFonts w:ascii="Times New Roman" w:eastAsia="Times New Roman" w:hAnsi="Times New Roman"/>
          <w:noProof/>
          <w:w w:val="50"/>
          <w:sz w:val="24"/>
          <w:lang w:eastAsia="en-GB"/>
        </w:rPr>
        <w:t> </w:t>
      </w:r>
      <w:r>
        <w:rPr>
          <w:rFonts w:ascii="Times New Roman" w:eastAsia="Times New Roman" w:hAnsi="Times New Roman"/>
          <w:noProof/>
          <w:sz w:val="24"/>
          <w:lang w:eastAsia="en-GB"/>
        </w:rPr>
        <w:t>000, provided a wide range of funding instruments in order to achieve its objectives. These were: a</w:t>
      </w:r>
      <w:r>
        <w:rPr>
          <w:rFonts w:ascii="Times New Roman" w:eastAsia="Times New Roman" w:hAnsi="Times New Roman"/>
          <w:noProof/>
          <w:sz w:val="24"/>
          <w:lang w:eastAsia="en-GB"/>
        </w:rPr>
        <w:t>ctions co-financed with Member State authorities (‘joint actions’), projects, co-funding for conferences and operating grants to specifically support non-governmental organisations and networks, direct agreements with international organisations, public pr</w:t>
      </w:r>
      <w:r>
        <w:rPr>
          <w:rFonts w:ascii="Times New Roman" w:eastAsia="Times New Roman" w:hAnsi="Times New Roman"/>
          <w:noProof/>
          <w:sz w:val="24"/>
          <w:lang w:eastAsia="en-GB"/>
        </w:rPr>
        <w:t>ocurement and other actions.</w:t>
      </w:r>
    </w:p>
    <w:p w:rsidR="00764095" w:rsidRDefault="00F75A5B">
      <w:pPr>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 Second Health Programme was the main instrument to implement the EU Health Strategy,</w:t>
      </w:r>
      <w:r>
        <w:rPr>
          <w:rStyle w:val="FootnoteReference"/>
          <w:noProof/>
        </w:rPr>
        <w:footnoteReference w:id="1"/>
      </w:r>
      <w:r>
        <w:rPr>
          <w:rFonts w:ascii="Times New Roman" w:eastAsia="Times New Roman" w:hAnsi="Times New Roman"/>
          <w:noProof/>
          <w:sz w:val="24"/>
          <w:lang w:eastAsia="en-GB"/>
        </w:rPr>
        <w:t xml:space="preserve"> and contributed to achieving the EU 2020 objectives on smart and sustainable growth. The programme’s main aim was to complement, support </w:t>
      </w:r>
      <w:r>
        <w:rPr>
          <w:rFonts w:ascii="Times New Roman" w:eastAsia="Times New Roman" w:hAnsi="Times New Roman"/>
          <w:noProof/>
          <w:sz w:val="24"/>
          <w:lang w:eastAsia="en-GB"/>
        </w:rPr>
        <w:t>and add value to the policies of the Member States, and contribute to increased solidarity and prosperity in the European Union by protecting and promoting human health and safety and improving public health. This aim was broken down into three objectives:</w:t>
      </w:r>
    </w:p>
    <w:p w:rsidR="00764095" w:rsidRDefault="00F75A5B">
      <w:pPr>
        <w:autoSpaceDE w:val="0"/>
        <w:autoSpaceDN w:val="0"/>
        <w:adjustRightInd w:val="0"/>
        <w:spacing w:after="0" w:line="240" w:lineRule="auto"/>
        <w:rPr>
          <w:rFonts w:ascii="Times New Roman" w:eastAsia="Times New Roman" w:hAnsi="Times New Roman"/>
          <w:noProof/>
          <w:sz w:val="24"/>
          <w:lang w:eastAsia="en-GB"/>
        </w:rPr>
      </w:pPr>
      <w:r>
        <w:rPr>
          <w:rFonts w:ascii="Times New Roman" w:eastAsia="Times New Roman" w:hAnsi="Times New Roman"/>
          <w:noProof/>
          <w:sz w:val="24"/>
          <w:lang w:eastAsia="en-GB"/>
        </w:rPr>
        <w:t>— to improve citizens’ health security,</w:t>
      </w:r>
    </w:p>
    <w:p w:rsidR="00764095" w:rsidRDefault="00F75A5B">
      <w:pPr>
        <w:autoSpaceDE w:val="0"/>
        <w:autoSpaceDN w:val="0"/>
        <w:adjustRightInd w:val="0"/>
        <w:spacing w:after="0" w:line="240" w:lineRule="auto"/>
        <w:rPr>
          <w:rFonts w:ascii="Times New Roman" w:eastAsia="Times New Roman" w:hAnsi="Times New Roman"/>
          <w:noProof/>
          <w:sz w:val="24"/>
          <w:lang w:eastAsia="en-GB"/>
        </w:rPr>
      </w:pPr>
      <w:r>
        <w:rPr>
          <w:rFonts w:ascii="Times New Roman" w:eastAsia="Times New Roman" w:hAnsi="Times New Roman"/>
          <w:noProof/>
          <w:sz w:val="24"/>
          <w:lang w:eastAsia="en-GB"/>
        </w:rPr>
        <w:t>— to promote health, including the reduction of health inequalities,</w:t>
      </w:r>
    </w:p>
    <w:p w:rsidR="00764095" w:rsidRDefault="00F75A5B">
      <w:pPr>
        <w:autoSpaceDE w:val="0"/>
        <w:autoSpaceDN w:val="0"/>
        <w:adjustRightInd w:val="0"/>
        <w:spacing w:after="0" w:line="240" w:lineRule="auto"/>
        <w:rPr>
          <w:rFonts w:ascii="Times New Roman" w:eastAsia="Times New Roman" w:hAnsi="Times New Roman"/>
          <w:noProof/>
          <w:sz w:val="24"/>
          <w:lang w:eastAsia="en-GB"/>
        </w:rPr>
      </w:pPr>
      <w:r>
        <w:rPr>
          <w:rFonts w:ascii="Times New Roman" w:eastAsia="Times New Roman" w:hAnsi="Times New Roman"/>
          <w:noProof/>
          <w:sz w:val="24"/>
          <w:lang w:eastAsia="en-GB"/>
        </w:rPr>
        <w:t>— to generate and disseminate health information and knowledge.</w:t>
      </w:r>
    </w:p>
    <w:p w:rsidR="00764095" w:rsidRDefault="00764095">
      <w:pPr>
        <w:autoSpaceDE w:val="0"/>
        <w:autoSpaceDN w:val="0"/>
        <w:adjustRightInd w:val="0"/>
        <w:spacing w:after="0" w:line="240" w:lineRule="auto"/>
        <w:jc w:val="both"/>
        <w:rPr>
          <w:rFonts w:ascii="Times New Roman" w:eastAsia="Times New Roman" w:hAnsi="Times New Roman"/>
          <w:noProof/>
          <w:sz w:val="24"/>
          <w:lang w:eastAsia="en-GB"/>
        </w:rPr>
      </w:pPr>
    </w:p>
    <w:p w:rsidR="00764095" w:rsidRDefault="00F75A5B">
      <w:pPr>
        <w:autoSpaceDE w:val="0"/>
        <w:autoSpaceDN w:val="0"/>
        <w:adjustRightInd w:val="0"/>
        <w:spacing w:after="0" w:line="240" w:lineRule="auto"/>
        <w:jc w:val="both"/>
        <w:rPr>
          <w:rFonts w:ascii="Times New Roman" w:eastAsia="Times New Roman" w:hAnsi="Times New Roman"/>
          <w:b/>
          <w:bCs/>
          <w:noProof/>
          <w:sz w:val="24"/>
          <w:lang w:eastAsia="en-GB"/>
        </w:rPr>
      </w:pPr>
      <w:r>
        <w:rPr>
          <w:rFonts w:ascii="Times New Roman" w:eastAsia="Times New Roman" w:hAnsi="Times New Roman"/>
          <w:b/>
          <w:bCs/>
          <w:noProof/>
          <w:sz w:val="24"/>
          <w:lang w:eastAsia="en-GB"/>
        </w:rPr>
        <w:t>Working towards reaching the three main objectives</w:t>
      </w:r>
    </w:p>
    <w:p w:rsidR="00764095" w:rsidRDefault="00764095">
      <w:pPr>
        <w:autoSpaceDE w:val="0"/>
        <w:autoSpaceDN w:val="0"/>
        <w:adjustRightInd w:val="0"/>
        <w:spacing w:after="0" w:line="240" w:lineRule="auto"/>
        <w:jc w:val="both"/>
        <w:rPr>
          <w:rFonts w:ascii="Times New Roman" w:eastAsia="Times New Roman" w:hAnsi="Times New Roman"/>
          <w:bCs/>
          <w:noProof/>
          <w:sz w:val="24"/>
          <w:lang w:eastAsia="en-GB"/>
        </w:rPr>
      </w:pPr>
    </w:p>
    <w:p w:rsidR="00764095" w:rsidRDefault="00F75A5B">
      <w:pPr>
        <w:jc w:val="both"/>
        <w:rPr>
          <w:rFonts w:ascii="Times New Roman" w:eastAsia="Times New Roman" w:hAnsi="Times New Roman"/>
          <w:bCs/>
          <w:noProof/>
          <w:sz w:val="24"/>
          <w:lang w:eastAsia="en-GB"/>
        </w:rPr>
      </w:pPr>
      <w:r>
        <w:rPr>
          <w:rFonts w:ascii="Times New Roman" w:eastAsia="Times New Roman" w:hAnsi="Times New Roman"/>
          <w:bCs/>
          <w:noProof/>
          <w:sz w:val="24"/>
          <w:lang w:eastAsia="en-GB"/>
        </w:rPr>
        <w:t xml:space="preserve">Various actions were </w:t>
      </w:r>
      <w:r>
        <w:rPr>
          <w:rFonts w:ascii="Times New Roman" w:eastAsia="Times New Roman" w:hAnsi="Times New Roman"/>
          <w:bCs/>
          <w:noProof/>
          <w:sz w:val="24"/>
          <w:lang w:eastAsia="en-GB"/>
        </w:rPr>
        <w:t>co-funded under each objective.</w:t>
      </w:r>
    </w:p>
    <w:p w:rsidR="00764095" w:rsidRDefault="00F75A5B">
      <w:pPr>
        <w:jc w:val="both"/>
        <w:rPr>
          <w:rFonts w:ascii="Times New Roman" w:hAnsi="Times New Roman"/>
          <w:noProof/>
          <w:sz w:val="24"/>
          <w:lang w:eastAsia="en-GB"/>
        </w:rPr>
      </w:pPr>
      <w:r>
        <w:rPr>
          <w:rFonts w:ascii="Times New Roman" w:eastAsia="Times New Roman" w:hAnsi="Times New Roman"/>
          <w:bCs/>
          <w:noProof/>
          <w:sz w:val="24"/>
          <w:lang w:eastAsia="en-GB"/>
        </w:rPr>
        <w:t xml:space="preserve">In the area of health security, disease outbreaks do not respect borders. Therefore, it is essential to ensure that countries and communities across the EU are well prepared </w:t>
      </w:r>
      <w:r>
        <w:rPr>
          <w:rFonts w:ascii="Times New Roman" w:eastAsia="Times New Roman" w:hAnsi="Times New Roman"/>
          <w:noProof/>
          <w:sz w:val="24"/>
          <w:lang w:eastAsia="en-GB"/>
        </w:rPr>
        <w:t>to respond to communicable and non-communicable di</w:t>
      </w:r>
      <w:r>
        <w:rPr>
          <w:rFonts w:ascii="Times New Roman" w:eastAsia="Times New Roman" w:hAnsi="Times New Roman"/>
          <w:noProof/>
          <w:sz w:val="24"/>
          <w:lang w:eastAsia="en-GB"/>
        </w:rPr>
        <w:t>seases. The programme contributed to this. Regarding the second objective, demographic changes and ageing in particular are major challenges of every European society. Through the programme, Member States and the EU have been able to help pr</w:t>
      </w:r>
      <w:r>
        <w:rPr>
          <w:rFonts w:ascii="Times New Roman" w:eastAsia="Times New Roman" w:hAnsi="Times New Roman"/>
          <w:bCs/>
          <w:noProof/>
          <w:sz w:val="24"/>
          <w:lang w:eastAsia="en-GB"/>
        </w:rPr>
        <w:t>omote health an</w:t>
      </w:r>
      <w:r>
        <w:rPr>
          <w:rFonts w:ascii="Times New Roman" w:eastAsia="Times New Roman" w:hAnsi="Times New Roman"/>
          <w:bCs/>
          <w:noProof/>
          <w:sz w:val="24"/>
          <w:lang w:eastAsia="en-GB"/>
        </w:rPr>
        <w:t>d reduce health inequalities</w:t>
      </w:r>
      <w:r>
        <w:rPr>
          <w:rFonts w:ascii="Times New Roman" w:eastAsia="Times New Roman" w:hAnsi="Times New Roman"/>
          <w:noProof/>
          <w:sz w:val="24"/>
          <w:lang w:eastAsia="en-GB"/>
        </w:rPr>
        <w:t>, including support towards increasing healthy life years and promoting healthy ageing.</w:t>
      </w:r>
      <w:r>
        <w:rPr>
          <w:rFonts w:ascii="Times New Roman" w:hAnsi="Times New Roman"/>
          <w:noProof/>
          <w:sz w:val="24"/>
          <w:lang w:eastAsia="en-GB"/>
        </w:rPr>
        <w:t xml:space="preserve"> For example, the programme has helped to:</w:t>
      </w:r>
    </w:p>
    <w:p w:rsidR="00764095" w:rsidRDefault="00F75A5B">
      <w:pPr>
        <w:numPr>
          <w:ilvl w:val="0"/>
          <w:numId w:val="28"/>
        </w:numPr>
        <w:jc w:val="both"/>
        <w:rPr>
          <w:rFonts w:ascii="Times New Roman" w:hAnsi="Times New Roman"/>
          <w:noProof/>
          <w:sz w:val="24"/>
          <w:lang w:eastAsia="en-GB"/>
        </w:rPr>
      </w:pPr>
      <w:r>
        <w:rPr>
          <w:rFonts w:ascii="Times New Roman" w:hAnsi="Times New Roman"/>
          <w:noProof/>
          <w:sz w:val="24"/>
          <w:lang w:eastAsia="en-GB"/>
        </w:rPr>
        <w:lastRenderedPageBreak/>
        <w:t>provide a better understanding of the issue of smoking uptake by young people and by women in part</w:t>
      </w:r>
      <w:r>
        <w:rPr>
          <w:rFonts w:ascii="Times New Roman" w:hAnsi="Times New Roman"/>
          <w:noProof/>
          <w:sz w:val="24"/>
          <w:lang w:eastAsia="en-GB"/>
        </w:rPr>
        <w:t xml:space="preserve">icular, </w:t>
      </w:r>
    </w:p>
    <w:p w:rsidR="00764095" w:rsidRDefault="00F75A5B">
      <w:pPr>
        <w:numPr>
          <w:ilvl w:val="0"/>
          <w:numId w:val="28"/>
        </w:numPr>
        <w:jc w:val="both"/>
        <w:rPr>
          <w:rFonts w:ascii="Times New Roman" w:hAnsi="Times New Roman"/>
          <w:noProof/>
          <w:sz w:val="24"/>
          <w:lang w:eastAsia="en-GB"/>
        </w:rPr>
      </w:pPr>
      <w:r>
        <w:rPr>
          <w:rFonts w:ascii="Times New Roman" w:hAnsi="Times New Roman"/>
          <w:noProof/>
          <w:sz w:val="24"/>
          <w:lang w:eastAsia="en-GB"/>
        </w:rPr>
        <w:t xml:space="preserve">raise awareness on cardiovascular disease and diabetes, </w:t>
      </w:r>
    </w:p>
    <w:p w:rsidR="00764095" w:rsidRDefault="00F75A5B">
      <w:pPr>
        <w:numPr>
          <w:ilvl w:val="0"/>
          <w:numId w:val="28"/>
        </w:numPr>
        <w:jc w:val="both"/>
        <w:rPr>
          <w:rFonts w:ascii="Times New Roman" w:hAnsi="Times New Roman"/>
          <w:noProof/>
          <w:sz w:val="24"/>
          <w:lang w:eastAsia="en-GB"/>
        </w:rPr>
      </w:pPr>
      <w:r>
        <w:rPr>
          <w:rFonts w:ascii="Times New Roman" w:hAnsi="Times New Roman"/>
          <w:noProof/>
          <w:sz w:val="24"/>
          <w:lang w:eastAsia="en-GB"/>
        </w:rPr>
        <w:t xml:space="preserve">implement screening for cervical and colorectal cancers, and </w:t>
      </w:r>
    </w:p>
    <w:p w:rsidR="00764095" w:rsidRDefault="00F75A5B">
      <w:pPr>
        <w:numPr>
          <w:ilvl w:val="0"/>
          <w:numId w:val="28"/>
        </w:numPr>
        <w:jc w:val="both"/>
        <w:rPr>
          <w:rFonts w:ascii="Times New Roman" w:hAnsi="Times New Roman"/>
          <w:noProof/>
          <w:sz w:val="24"/>
          <w:lang w:eastAsia="en-GB"/>
        </w:rPr>
      </w:pPr>
      <w:r>
        <w:rPr>
          <w:rFonts w:ascii="Times New Roman" w:hAnsi="Times New Roman"/>
          <w:noProof/>
          <w:sz w:val="24"/>
          <w:lang w:eastAsia="en-GB"/>
        </w:rPr>
        <w:t>develop a worldwide online source of information on rare diseases.</w:t>
      </w:r>
    </w:p>
    <w:p w:rsidR="00764095" w:rsidRDefault="00F75A5B">
      <w:pPr>
        <w:jc w:val="both"/>
        <w:rPr>
          <w:rFonts w:ascii="Times New Roman" w:hAnsi="Times New Roman"/>
          <w:noProof/>
          <w:sz w:val="24"/>
          <w:lang w:eastAsia="en-GB"/>
        </w:rPr>
      </w:pPr>
      <w:r>
        <w:rPr>
          <w:rFonts w:ascii="Times New Roman" w:eastAsia="Times New Roman" w:hAnsi="Times New Roman"/>
          <w:noProof/>
          <w:sz w:val="24"/>
          <w:lang w:eastAsia="en-GB"/>
        </w:rPr>
        <w:t>To achieve the third objective, the programme has helped crea</w:t>
      </w:r>
      <w:r>
        <w:rPr>
          <w:rFonts w:ascii="Times New Roman" w:eastAsia="Times New Roman" w:hAnsi="Times New Roman"/>
          <w:noProof/>
          <w:sz w:val="24"/>
          <w:lang w:eastAsia="en-GB"/>
        </w:rPr>
        <w:t xml:space="preserve">te synergies and improve evidence for policy making by developing and transferring health information and knowledge across the EU. </w:t>
      </w:r>
      <w:r>
        <w:rPr>
          <w:rFonts w:ascii="Times New Roman" w:hAnsi="Times New Roman"/>
          <w:noProof/>
          <w:sz w:val="24"/>
          <w:lang w:eastAsia="en-GB"/>
        </w:rPr>
        <w:t>Projects have also specifically supported innovation in health, including on improving understanding of how to set up electro</w:t>
      </w:r>
      <w:r>
        <w:rPr>
          <w:rFonts w:ascii="Times New Roman" w:hAnsi="Times New Roman"/>
          <w:noProof/>
          <w:sz w:val="24"/>
          <w:lang w:eastAsia="en-GB"/>
        </w:rPr>
        <w:t>nic health records and introducing personalised medicine.</w:t>
      </w:r>
    </w:p>
    <w:p w:rsidR="00764095" w:rsidRDefault="00F75A5B">
      <w:pPr>
        <w:jc w:val="both"/>
        <w:rPr>
          <w:rFonts w:ascii="Times New Roman" w:eastAsia="Times New Roman" w:hAnsi="Times New Roman"/>
          <w:noProof/>
          <w:sz w:val="24"/>
          <w:lang w:eastAsia="en-GB"/>
        </w:rPr>
      </w:pPr>
      <w:r>
        <w:rPr>
          <w:rFonts w:ascii="Times New Roman" w:eastAsia="Times New Roman" w:hAnsi="Times New Roman"/>
          <w:noProof/>
          <w:sz w:val="24"/>
          <w:lang w:eastAsia="en-GB"/>
        </w:rPr>
        <w:t>In addition, the programme contributed to preparing, developing and implementing EU health policy action. Actions were funded focusing on implementing legislation, for instance in the fields of toba</w:t>
      </w:r>
      <w:r>
        <w:rPr>
          <w:rFonts w:ascii="Times New Roman" w:eastAsia="Times New Roman" w:hAnsi="Times New Roman"/>
          <w:noProof/>
          <w:sz w:val="24"/>
          <w:lang w:eastAsia="en-GB"/>
        </w:rPr>
        <w:t>cco control and substances of human origin, on health inequalities, in support of the Commission strategy on, ‘Solidarity in Health: Reducing Health Inequalities in the EU’, and on cross-border health threats and patients’ rights in cross-border healthcare</w:t>
      </w:r>
      <w:r>
        <w:rPr>
          <w:rFonts w:ascii="Times New Roman" w:eastAsia="Times New Roman" w:hAnsi="Times New Roman"/>
          <w:noProof/>
          <w:sz w:val="24"/>
          <w:lang w:eastAsia="en-GB"/>
        </w:rPr>
        <w:t>.</w:t>
      </w:r>
    </w:p>
    <w:p w:rsidR="00764095" w:rsidRDefault="00F75A5B">
      <w:pPr>
        <w:jc w:val="both"/>
        <w:rPr>
          <w:rFonts w:ascii="Times New Roman" w:eastAsia="Times New Roman" w:hAnsi="Times New Roman"/>
          <w:noProof/>
          <w:sz w:val="24"/>
          <w:lang w:eastAsia="en-GB"/>
        </w:rPr>
      </w:pPr>
      <w:r>
        <w:rPr>
          <w:rFonts w:ascii="Times New Roman" w:eastAsia="Times New Roman" w:hAnsi="Times New Roman"/>
          <w:noProof/>
          <w:sz w:val="24"/>
          <w:lang w:eastAsia="en-GB"/>
        </w:rPr>
        <w:t>Lastly, in the area of health services, access to high quality and safe healthcare, together with sound scientific advice and risk assessment, contribute to patient safety in the EU. The programme supported several actions on these topics, as well as the</w:t>
      </w:r>
      <w:r>
        <w:rPr>
          <w:rFonts w:ascii="Times New Roman" w:eastAsia="Times New Roman" w:hAnsi="Times New Roman"/>
          <w:noProof/>
          <w:sz w:val="24"/>
          <w:lang w:eastAsia="en-GB"/>
        </w:rPr>
        <w:t xml:space="preserve"> work of the scientific committees.</w:t>
      </w:r>
    </w:p>
    <w:p w:rsidR="00764095" w:rsidRDefault="00764095">
      <w:pPr>
        <w:autoSpaceDE w:val="0"/>
        <w:autoSpaceDN w:val="0"/>
        <w:adjustRightInd w:val="0"/>
        <w:spacing w:after="0" w:line="240" w:lineRule="auto"/>
        <w:jc w:val="both"/>
        <w:rPr>
          <w:rFonts w:ascii="Times New Roman" w:eastAsia="Times New Roman" w:hAnsi="Times New Roman"/>
          <w:noProof/>
          <w:sz w:val="24"/>
          <w:lang w:eastAsia="en-GB"/>
        </w:rPr>
      </w:pPr>
    </w:p>
    <w:p w:rsidR="00764095" w:rsidRDefault="00F75A5B">
      <w:pPr>
        <w:autoSpaceDE w:val="0"/>
        <w:autoSpaceDN w:val="0"/>
        <w:adjustRightInd w:val="0"/>
        <w:spacing w:after="0" w:line="240" w:lineRule="auto"/>
        <w:jc w:val="both"/>
        <w:rPr>
          <w:rFonts w:ascii="Times New Roman" w:eastAsia="Times New Roman" w:hAnsi="Times New Roman"/>
          <w:b/>
          <w:noProof/>
          <w:sz w:val="24"/>
          <w:lang w:eastAsia="en-GB"/>
        </w:rPr>
      </w:pPr>
      <w:r>
        <w:rPr>
          <w:rFonts w:ascii="Times New Roman" w:eastAsia="Times New Roman" w:hAnsi="Times New Roman"/>
          <w:b/>
          <w:noProof/>
          <w:sz w:val="24"/>
          <w:lang w:eastAsia="en-GB"/>
        </w:rPr>
        <w:t>Working with and providing support to a wide range of public health players</w:t>
      </w:r>
    </w:p>
    <w:p w:rsidR="00764095" w:rsidRDefault="00764095">
      <w:pPr>
        <w:autoSpaceDE w:val="0"/>
        <w:autoSpaceDN w:val="0"/>
        <w:adjustRightInd w:val="0"/>
        <w:spacing w:after="0" w:line="240" w:lineRule="auto"/>
        <w:jc w:val="both"/>
        <w:rPr>
          <w:rFonts w:ascii="Times New Roman" w:eastAsia="Times New Roman" w:hAnsi="Times New Roman"/>
          <w:noProof/>
          <w:sz w:val="24"/>
          <w:lang w:eastAsia="en-GB"/>
        </w:rPr>
      </w:pPr>
    </w:p>
    <w:p w:rsidR="00764095" w:rsidRDefault="00F75A5B">
      <w:pPr>
        <w:jc w:val="both"/>
        <w:rPr>
          <w:rFonts w:ascii="Times New Roman" w:eastAsia="Times New Roman" w:hAnsi="Times New Roman"/>
          <w:noProof/>
          <w:sz w:val="24"/>
          <w:lang w:eastAsia="en-GB"/>
        </w:rPr>
      </w:pPr>
      <w:r>
        <w:rPr>
          <w:rFonts w:ascii="Times New Roman" w:eastAsia="Times New Roman" w:hAnsi="Times New Roman"/>
          <w:noProof/>
          <w:sz w:val="24"/>
          <w:lang w:eastAsia="en-GB"/>
        </w:rPr>
        <w:t>Over its six years of operation, from 2008 to 2013, the programme contributed significantly to supporting health policy action at EU and Membe</w:t>
      </w:r>
      <w:r>
        <w:rPr>
          <w:rFonts w:ascii="Times New Roman" w:eastAsia="Times New Roman" w:hAnsi="Times New Roman"/>
          <w:noProof/>
          <w:sz w:val="24"/>
          <w:lang w:eastAsia="en-GB"/>
        </w:rPr>
        <w:t>r State level and helped the Member States, stakeholders and the EU to develop effective policies for the benefit of EU citizens. Many scientists, experts, academics, patients and civil society organisations came together under different themes to pool res</w:t>
      </w:r>
      <w:r>
        <w:rPr>
          <w:rFonts w:ascii="Times New Roman" w:eastAsia="Times New Roman" w:hAnsi="Times New Roman"/>
          <w:noProof/>
          <w:sz w:val="24"/>
          <w:lang w:eastAsia="en-GB"/>
        </w:rPr>
        <w:t>ources and knowledge to innovate and to provide added value for EU citizens.</w:t>
      </w:r>
    </w:p>
    <w:p w:rsidR="00764095" w:rsidRDefault="00F75A5B">
      <w:pPr>
        <w:jc w:val="both"/>
        <w:rPr>
          <w:rFonts w:ascii="Times New Roman" w:eastAsia="Times New Roman" w:hAnsi="Times New Roman"/>
          <w:noProof/>
          <w:sz w:val="24"/>
          <w:lang w:eastAsia="en-GB"/>
        </w:rPr>
      </w:pPr>
      <w:r>
        <w:rPr>
          <w:rFonts w:ascii="Times New Roman" w:eastAsia="Times New Roman" w:hAnsi="Times New Roman"/>
          <w:noProof/>
          <w:sz w:val="24"/>
          <w:lang w:eastAsia="en-GB"/>
        </w:rPr>
        <w:t>Seizing the new range of funding instruments, work on the Commission’s and Member States’ key public health priorities could be advanced through joint actions. In total, 30 were c</w:t>
      </w:r>
      <w:r>
        <w:rPr>
          <w:rFonts w:ascii="Times New Roman" w:eastAsia="Times New Roman" w:hAnsi="Times New Roman"/>
          <w:noProof/>
          <w:sz w:val="24"/>
          <w:lang w:eastAsia="en-GB"/>
        </w:rPr>
        <w:t>o-funded for more than EUR 60 million. They covered themes as wide-ranging as rare diseases, health technology assessment and health workforce.</w:t>
      </w:r>
    </w:p>
    <w:p w:rsidR="00764095" w:rsidRDefault="00F75A5B">
      <w:pPr>
        <w:jc w:val="both"/>
        <w:rPr>
          <w:rFonts w:ascii="Times New Roman" w:eastAsia="Times New Roman" w:hAnsi="Times New Roman"/>
          <w:noProof/>
          <w:sz w:val="24"/>
          <w:lang w:eastAsia="en-GB"/>
        </w:rPr>
      </w:pPr>
      <w:r>
        <w:rPr>
          <w:rFonts w:ascii="Times New Roman" w:eastAsia="Times New Roman" w:hAnsi="Times New Roman"/>
          <w:noProof/>
          <w:sz w:val="24"/>
          <w:lang w:eastAsia="en-GB"/>
        </w:rPr>
        <w:t>Important civil society stakeholders were supported through the operating grant instrument. Their work helped th</w:t>
      </w:r>
      <w:r>
        <w:rPr>
          <w:rFonts w:ascii="Times New Roman" w:eastAsia="Times New Roman" w:hAnsi="Times New Roman"/>
          <w:noProof/>
          <w:sz w:val="24"/>
          <w:lang w:eastAsia="en-GB"/>
        </w:rPr>
        <w:t>e programme reach out to citizens.</w:t>
      </w:r>
    </w:p>
    <w:p w:rsidR="00764095" w:rsidRDefault="00F75A5B">
      <w:pPr>
        <w:jc w:val="both"/>
        <w:rPr>
          <w:rFonts w:ascii="Times New Roman" w:eastAsia="Times New Roman" w:hAnsi="Times New Roman"/>
          <w:noProof/>
          <w:sz w:val="24"/>
          <w:lang w:eastAsia="en-GB"/>
        </w:rPr>
      </w:pPr>
      <w:r>
        <w:rPr>
          <w:rFonts w:ascii="Times New Roman" w:eastAsia="Times New Roman" w:hAnsi="Times New Roman"/>
          <w:noProof/>
          <w:sz w:val="24"/>
          <w:lang w:eastAsia="en-GB"/>
        </w:rPr>
        <w:t>By co-funding pan-EU conferences, the programme enabled European exchanges and provided additional communication and dissemination opportunities.</w:t>
      </w:r>
    </w:p>
    <w:p w:rsidR="00764095" w:rsidRDefault="00F75A5B">
      <w:pPr>
        <w:jc w:val="both"/>
        <w:rPr>
          <w:rFonts w:ascii="Times New Roman" w:eastAsia="Times New Roman" w:hAnsi="Times New Roman"/>
          <w:noProof/>
          <w:sz w:val="24"/>
          <w:lang w:eastAsia="en-GB"/>
        </w:rPr>
      </w:pPr>
      <w:r>
        <w:rPr>
          <w:rFonts w:ascii="Times New Roman" w:eastAsia="Times New Roman" w:hAnsi="Times New Roman"/>
          <w:noProof/>
          <w:sz w:val="24"/>
          <w:lang w:eastAsia="en-GB"/>
        </w:rPr>
        <w:lastRenderedPageBreak/>
        <w:t>Nearly 150 pan-EU projects, financially supported with more than 100 millio</w:t>
      </w:r>
      <w:r>
        <w:rPr>
          <w:rFonts w:ascii="Times New Roman" w:eastAsia="Times New Roman" w:hAnsi="Times New Roman"/>
          <w:noProof/>
          <w:sz w:val="24"/>
          <w:lang w:eastAsia="en-GB"/>
        </w:rPr>
        <w:t>n euros, allowed the European public health community to develop, test and implement a vast range of tools such as handbooks, guidelines and inventories to contribute to achieving the programme’s objectives.</w:t>
      </w:r>
    </w:p>
    <w:p w:rsidR="00764095" w:rsidRDefault="00F75A5B">
      <w:pPr>
        <w:autoSpaceDE w:val="0"/>
        <w:autoSpaceDN w:val="0"/>
        <w:adjustRightInd w:val="0"/>
        <w:spacing w:after="0" w:line="240" w:lineRule="auto"/>
        <w:jc w:val="both"/>
        <w:rPr>
          <w:rFonts w:ascii="Times New Roman" w:eastAsia="Times New Roman" w:hAnsi="Times New Roman"/>
          <w:b/>
          <w:noProof/>
          <w:sz w:val="24"/>
          <w:lang w:eastAsia="en-GB"/>
        </w:rPr>
      </w:pPr>
      <w:r>
        <w:rPr>
          <w:rFonts w:ascii="Times New Roman" w:eastAsia="Times New Roman" w:hAnsi="Times New Roman"/>
          <w:b/>
          <w:noProof/>
          <w:sz w:val="24"/>
          <w:lang w:eastAsia="en-GB"/>
        </w:rPr>
        <w:t>Looking ahead …</w:t>
      </w:r>
    </w:p>
    <w:p w:rsidR="00764095" w:rsidRDefault="00764095">
      <w:pPr>
        <w:autoSpaceDE w:val="0"/>
        <w:autoSpaceDN w:val="0"/>
        <w:adjustRightInd w:val="0"/>
        <w:spacing w:after="0" w:line="240" w:lineRule="auto"/>
        <w:jc w:val="both"/>
        <w:rPr>
          <w:rFonts w:ascii="Times New Roman" w:eastAsia="Times New Roman" w:hAnsi="Times New Roman"/>
          <w:noProof/>
          <w:sz w:val="24"/>
          <w:lang w:eastAsia="en-GB"/>
        </w:rPr>
      </w:pPr>
    </w:p>
    <w:p w:rsidR="00764095" w:rsidRDefault="00F75A5B">
      <w:pPr>
        <w:jc w:val="both"/>
        <w:rPr>
          <w:rFonts w:ascii="Times New Roman" w:eastAsia="Times New Roman" w:hAnsi="Times New Roman"/>
          <w:noProof/>
          <w:sz w:val="24"/>
          <w:lang w:eastAsia="en-GB"/>
        </w:rPr>
      </w:pPr>
      <w:r>
        <w:rPr>
          <w:rFonts w:ascii="Times New Roman" w:eastAsia="Times New Roman" w:hAnsi="Times New Roman"/>
          <w:noProof/>
          <w:sz w:val="24"/>
          <w:lang w:eastAsia="en-GB"/>
        </w:rPr>
        <w:t>While the detailed evaluation o</w:t>
      </w:r>
      <w:r>
        <w:rPr>
          <w:rFonts w:ascii="Times New Roman" w:eastAsia="Times New Roman" w:hAnsi="Times New Roman"/>
          <w:noProof/>
          <w:sz w:val="24"/>
          <w:lang w:eastAsia="en-GB"/>
        </w:rPr>
        <w:t>f the Second Health Programme will be forthcoming in 2015, this report gives a comprehensive overview of its implementation in 2013, highlighting several actions that came to an end that year.</w:t>
      </w:r>
    </w:p>
    <w:p w:rsidR="00764095" w:rsidRDefault="00F75A5B">
      <w:pPr>
        <w:rPr>
          <w:noProof/>
          <w:lang w:eastAsia="en-GB"/>
        </w:rPr>
      </w:pPr>
      <w:r>
        <w:rPr>
          <w:noProof/>
          <w:lang w:eastAsia="en-GB"/>
        </w:rPr>
        <w:br w:type="page"/>
      </w:r>
    </w:p>
    <w:p w:rsidR="00764095" w:rsidRDefault="00764095">
      <w:pPr>
        <w:autoSpaceDE w:val="0"/>
        <w:autoSpaceDN w:val="0"/>
        <w:adjustRightInd w:val="0"/>
        <w:spacing w:after="0" w:line="240" w:lineRule="auto"/>
        <w:jc w:val="both"/>
        <w:rPr>
          <w:rFonts w:ascii="Times New Roman" w:eastAsia="Times New Roman" w:hAnsi="Times New Roman"/>
          <w:noProof/>
          <w:lang w:eastAsia="en-GB"/>
        </w:rPr>
      </w:pPr>
    </w:p>
    <w:p w:rsidR="00764095" w:rsidRDefault="00F75A5B">
      <w:pPr>
        <w:pStyle w:val="TOCHeading"/>
        <w:rPr>
          <w:noProof/>
          <w:sz w:val="24"/>
        </w:rPr>
      </w:pPr>
      <w:r>
        <w:rPr>
          <w:noProof/>
          <w:sz w:val="24"/>
        </w:rPr>
        <w:t>Table of Contents</w:t>
      </w:r>
      <w:r>
        <w:rPr>
          <w:noProof/>
          <w:sz w:val="24"/>
        </w:rPr>
        <w:br/>
      </w:r>
    </w:p>
    <w:p w:rsidR="00764095" w:rsidRDefault="00F75A5B">
      <w:pPr>
        <w:pStyle w:val="TOC1"/>
        <w:rPr>
          <w:rFonts w:ascii="Calibri" w:eastAsia="Times New Roman" w:hAnsi="Calibri"/>
          <w:sz w:val="22"/>
          <w:szCs w:val="22"/>
          <w:lang w:eastAsia="en-GB"/>
        </w:rPr>
      </w:pPr>
      <w:r>
        <w:fldChar w:fldCharType="begin"/>
      </w:r>
      <w:r>
        <w:instrText xml:space="preserve"> TOC \o "1-2" \h \z \u </w:instrText>
      </w:r>
      <w:r>
        <w:fldChar w:fldCharType="separate"/>
      </w:r>
      <w:hyperlink w:anchor="_Toc417032398" w:history="1">
        <w:r>
          <w:rPr>
            <w:rStyle w:val="Hyperlink"/>
          </w:rPr>
          <w:t>Introduction</w:t>
        </w:r>
        <w:r>
          <w:rPr>
            <w:webHidden/>
          </w:rPr>
          <w:tab/>
        </w:r>
        <w:r>
          <w:rPr>
            <w:webHidden/>
          </w:rPr>
          <w:fldChar w:fldCharType="begin"/>
        </w:r>
        <w:r>
          <w:rPr>
            <w:webHidden/>
          </w:rPr>
          <w:instrText xml:space="preserve"> PAGEREF _Toc417032398 \h </w:instrText>
        </w:r>
        <w:r>
          <w:rPr>
            <w:webHidden/>
          </w:rPr>
        </w:r>
        <w:r>
          <w:rPr>
            <w:webHidden/>
          </w:rPr>
          <w:fldChar w:fldCharType="separate"/>
        </w:r>
        <w:r w:rsidR="007867A8">
          <w:rPr>
            <w:webHidden/>
          </w:rPr>
          <w:t>2</w:t>
        </w:r>
        <w:r>
          <w:rPr>
            <w:webHidden/>
          </w:rPr>
          <w:fldChar w:fldCharType="end"/>
        </w:r>
      </w:hyperlink>
    </w:p>
    <w:p w:rsidR="00764095" w:rsidRDefault="00F75A5B">
      <w:pPr>
        <w:pStyle w:val="TOC1"/>
        <w:rPr>
          <w:rFonts w:ascii="Calibri" w:eastAsia="Times New Roman" w:hAnsi="Calibri"/>
          <w:sz w:val="22"/>
          <w:szCs w:val="22"/>
          <w:lang w:eastAsia="en-GB"/>
        </w:rPr>
      </w:pPr>
      <w:hyperlink w:anchor="_Toc417032399" w:history="1">
        <w:r>
          <w:rPr>
            <w:rStyle w:val="Hyperlink"/>
          </w:rPr>
          <w:t>Budget implementation</w:t>
        </w:r>
        <w:r>
          <w:rPr>
            <w:webHidden/>
          </w:rPr>
          <w:tab/>
        </w:r>
        <w:r>
          <w:rPr>
            <w:webHidden/>
          </w:rPr>
          <w:fldChar w:fldCharType="begin"/>
        </w:r>
        <w:r>
          <w:rPr>
            <w:webHidden/>
          </w:rPr>
          <w:instrText xml:space="preserve"> PAGEREF _Toc417032399 \h </w:instrText>
        </w:r>
        <w:r>
          <w:rPr>
            <w:webHidden/>
          </w:rPr>
        </w:r>
        <w:r>
          <w:rPr>
            <w:webHidden/>
          </w:rPr>
          <w:fldChar w:fldCharType="separate"/>
        </w:r>
        <w:r w:rsidR="007867A8">
          <w:rPr>
            <w:webHidden/>
          </w:rPr>
          <w:t>6</w:t>
        </w:r>
        <w:r>
          <w:rPr>
            <w:webHidden/>
          </w:rPr>
          <w:fldChar w:fldCharType="end"/>
        </w:r>
      </w:hyperlink>
    </w:p>
    <w:p w:rsidR="00764095" w:rsidRDefault="00F75A5B">
      <w:pPr>
        <w:pStyle w:val="TOC2"/>
        <w:rPr>
          <w:rFonts w:ascii="Calibri" w:eastAsia="Times New Roman" w:hAnsi="Calibri"/>
          <w:sz w:val="22"/>
          <w:szCs w:val="22"/>
          <w:lang w:eastAsia="en-GB"/>
        </w:rPr>
      </w:pPr>
      <w:hyperlink w:anchor="_Toc417032400" w:history="1">
        <w:r>
          <w:rPr>
            <w:rStyle w:val="Hyperlink"/>
          </w:rPr>
          <w:t>1.1</w:t>
        </w:r>
        <w:r>
          <w:rPr>
            <w:rFonts w:ascii="Calibri" w:eastAsia="Times New Roman" w:hAnsi="Calibri"/>
            <w:sz w:val="22"/>
            <w:szCs w:val="22"/>
            <w:lang w:eastAsia="en-GB"/>
          </w:rPr>
          <w:tab/>
        </w:r>
        <w:r>
          <w:rPr>
            <w:rStyle w:val="Hyperlink"/>
          </w:rPr>
          <w:t>Budget</w:t>
        </w:r>
        <w:r>
          <w:rPr>
            <w:webHidden/>
          </w:rPr>
          <w:tab/>
        </w:r>
        <w:r>
          <w:rPr>
            <w:webHidden/>
          </w:rPr>
          <w:fldChar w:fldCharType="begin"/>
        </w:r>
        <w:r>
          <w:rPr>
            <w:webHidden/>
          </w:rPr>
          <w:instrText xml:space="preserve"> PAGEREF _Toc417032400 \h </w:instrText>
        </w:r>
        <w:r>
          <w:rPr>
            <w:webHidden/>
          </w:rPr>
        </w:r>
        <w:r>
          <w:rPr>
            <w:webHidden/>
          </w:rPr>
          <w:fldChar w:fldCharType="separate"/>
        </w:r>
        <w:r w:rsidR="007867A8">
          <w:rPr>
            <w:webHidden/>
          </w:rPr>
          <w:t>6</w:t>
        </w:r>
        <w:r>
          <w:rPr>
            <w:webHidden/>
          </w:rPr>
          <w:fldChar w:fldCharType="end"/>
        </w:r>
      </w:hyperlink>
    </w:p>
    <w:p w:rsidR="00764095" w:rsidRDefault="00F75A5B">
      <w:pPr>
        <w:pStyle w:val="TOC2"/>
        <w:rPr>
          <w:rFonts w:ascii="Calibri" w:eastAsia="Times New Roman" w:hAnsi="Calibri"/>
          <w:sz w:val="22"/>
          <w:szCs w:val="22"/>
          <w:lang w:eastAsia="en-GB"/>
        </w:rPr>
      </w:pPr>
      <w:hyperlink w:anchor="_Toc417032401" w:history="1">
        <w:r>
          <w:rPr>
            <w:rStyle w:val="Hyperlink"/>
          </w:rPr>
          <w:t>1.2</w:t>
        </w:r>
        <w:r>
          <w:rPr>
            <w:rFonts w:ascii="Calibri" w:eastAsia="Times New Roman" w:hAnsi="Calibri"/>
            <w:sz w:val="22"/>
            <w:szCs w:val="22"/>
            <w:lang w:eastAsia="en-GB"/>
          </w:rPr>
          <w:tab/>
        </w:r>
        <w:r>
          <w:rPr>
            <w:rStyle w:val="Hyperlink"/>
          </w:rPr>
          <w:t>Priorities for 2013 and financing mechanisms</w:t>
        </w:r>
        <w:r>
          <w:rPr>
            <w:webHidden/>
          </w:rPr>
          <w:tab/>
        </w:r>
        <w:r>
          <w:rPr>
            <w:webHidden/>
          </w:rPr>
          <w:fldChar w:fldCharType="begin"/>
        </w:r>
        <w:r>
          <w:rPr>
            <w:webHidden/>
          </w:rPr>
          <w:instrText xml:space="preserve"> </w:instrText>
        </w:r>
        <w:r>
          <w:rPr>
            <w:webHidden/>
          </w:rPr>
          <w:instrText xml:space="preserve">PAGEREF _Toc417032401 \h </w:instrText>
        </w:r>
        <w:r>
          <w:rPr>
            <w:webHidden/>
          </w:rPr>
        </w:r>
        <w:r>
          <w:rPr>
            <w:webHidden/>
          </w:rPr>
          <w:fldChar w:fldCharType="separate"/>
        </w:r>
        <w:r w:rsidR="007867A8">
          <w:rPr>
            <w:webHidden/>
          </w:rPr>
          <w:t>6</w:t>
        </w:r>
        <w:r>
          <w:rPr>
            <w:webHidden/>
          </w:rPr>
          <w:fldChar w:fldCharType="end"/>
        </w:r>
      </w:hyperlink>
    </w:p>
    <w:p w:rsidR="00764095" w:rsidRDefault="00F75A5B">
      <w:pPr>
        <w:pStyle w:val="TOC2"/>
        <w:rPr>
          <w:rFonts w:ascii="Calibri" w:eastAsia="Times New Roman" w:hAnsi="Calibri"/>
          <w:sz w:val="22"/>
          <w:szCs w:val="22"/>
          <w:lang w:eastAsia="en-GB"/>
        </w:rPr>
      </w:pPr>
      <w:hyperlink w:anchor="_Toc417032402" w:history="1">
        <w:r>
          <w:rPr>
            <w:rStyle w:val="Hyperlink"/>
          </w:rPr>
          <w:t>1.3</w:t>
        </w:r>
        <w:r>
          <w:rPr>
            <w:rFonts w:ascii="Calibri" w:eastAsia="Times New Roman" w:hAnsi="Calibri"/>
            <w:sz w:val="22"/>
            <w:szCs w:val="22"/>
            <w:lang w:eastAsia="en-GB"/>
          </w:rPr>
          <w:tab/>
        </w:r>
        <w:r>
          <w:rPr>
            <w:rStyle w:val="Hyperlink"/>
          </w:rPr>
          <w:t>Implementation of the operational budget by financing mechanism</w:t>
        </w:r>
        <w:r>
          <w:rPr>
            <w:webHidden/>
          </w:rPr>
          <w:tab/>
        </w:r>
        <w:r>
          <w:rPr>
            <w:webHidden/>
          </w:rPr>
          <w:fldChar w:fldCharType="begin"/>
        </w:r>
        <w:r>
          <w:rPr>
            <w:webHidden/>
          </w:rPr>
          <w:instrText xml:space="preserve"> PAGEREF _Toc417032402 \h </w:instrText>
        </w:r>
        <w:r>
          <w:rPr>
            <w:webHidden/>
          </w:rPr>
        </w:r>
        <w:r>
          <w:rPr>
            <w:webHidden/>
          </w:rPr>
          <w:fldChar w:fldCharType="separate"/>
        </w:r>
        <w:r w:rsidR="007867A8">
          <w:rPr>
            <w:webHidden/>
          </w:rPr>
          <w:t>8</w:t>
        </w:r>
        <w:r>
          <w:rPr>
            <w:webHidden/>
          </w:rPr>
          <w:fldChar w:fldCharType="end"/>
        </w:r>
      </w:hyperlink>
    </w:p>
    <w:p w:rsidR="00764095" w:rsidRDefault="00F75A5B">
      <w:pPr>
        <w:pStyle w:val="TOC2"/>
        <w:rPr>
          <w:rFonts w:ascii="Calibri" w:eastAsia="Times New Roman" w:hAnsi="Calibri"/>
          <w:sz w:val="22"/>
          <w:szCs w:val="22"/>
          <w:lang w:eastAsia="en-GB"/>
        </w:rPr>
      </w:pPr>
      <w:hyperlink w:anchor="_Toc417032403" w:history="1">
        <w:r>
          <w:rPr>
            <w:rStyle w:val="Hyperlink"/>
          </w:rPr>
          <w:t>1.4</w:t>
        </w:r>
        <w:r>
          <w:rPr>
            <w:rFonts w:ascii="Calibri" w:eastAsia="Times New Roman" w:hAnsi="Calibri"/>
            <w:sz w:val="22"/>
            <w:szCs w:val="22"/>
            <w:lang w:eastAsia="en-GB"/>
          </w:rPr>
          <w:tab/>
        </w:r>
        <w:r>
          <w:rPr>
            <w:rStyle w:val="Hyperlink"/>
          </w:rPr>
          <w:t>Calls for proposals</w:t>
        </w:r>
        <w:r>
          <w:rPr>
            <w:webHidden/>
          </w:rPr>
          <w:tab/>
        </w:r>
        <w:r>
          <w:rPr>
            <w:webHidden/>
          </w:rPr>
          <w:fldChar w:fldCharType="begin"/>
        </w:r>
        <w:r>
          <w:rPr>
            <w:webHidden/>
          </w:rPr>
          <w:instrText xml:space="preserve"> PAGEREF _Toc417032403 \h </w:instrText>
        </w:r>
        <w:r>
          <w:rPr>
            <w:webHidden/>
          </w:rPr>
        </w:r>
        <w:r>
          <w:rPr>
            <w:webHidden/>
          </w:rPr>
          <w:fldChar w:fldCharType="separate"/>
        </w:r>
        <w:r w:rsidR="007867A8">
          <w:rPr>
            <w:webHidden/>
          </w:rPr>
          <w:t>9</w:t>
        </w:r>
        <w:r>
          <w:rPr>
            <w:webHidden/>
          </w:rPr>
          <w:fldChar w:fldCharType="end"/>
        </w:r>
      </w:hyperlink>
    </w:p>
    <w:p w:rsidR="00764095" w:rsidRDefault="00F75A5B">
      <w:pPr>
        <w:pStyle w:val="TOC2"/>
        <w:rPr>
          <w:rFonts w:ascii="Calibri" w:eastAsia="Times New Roman" w:hAnsi="Calibri"/>
          <w:sz w:val="22"/>
          <w:szCs w:val="22"/>
          <w:lang w:eastAsia="en-GB"/>
        </w:rPr>
      </w:pPr>
      <w:hyperlink w:anchor="_Toc417032404" w:history="1">
        <w:r>
          <w:rPr>
            <w:rStyle w:val="Hyperlink"/>
          </w:rPr>
          <w:t>1.5</w:t>
        </w:r>
        <w:r>
          <w:rPr>
            <w:rFonts w:ascii="Calibri" w:eastAsia="Times New Roman" w:hAnsi="Calibri"/>
            <w:sz w:val="22"/>
            <w:szCs w:val="22"/>
            <w:lang w:eastAsia="en-GB"/>
          </w:rPr>
          <w:tab/>
        </w:r>
        <w:r>
          <w:rPr>
            <w:rStyle w:val="Hyperlink"/>
          </w:rPr>
          <w:t>Di</w:t>
        </w:r>
        <w:r>
          <w:rPr>
            <w:rStyle w:val="Hyperlink"/>
          </w:rPr>
          <w:t>rect grant agreements with international organisations</w:t>
        </w:r>
        <w:r>
          <w:rPr>
            <w:webHidden/>
          </w:rPr>
          <w:tab/>
        </w:r>
        <w:r>
          <w:rPr>
            <w:webHidden/>
          </w:rPr>
          <w:fldChar w:fldCharType="begin"/>
        </w:r>
        <w:r>
          <w:rPr>
            <w:webHidden/>
          </w:rPr>
          <w:instrText xml:space="preserve"> PAGEREF _Toc417032404 \h </w:instrText>
        </w:r>
        <w:r>
          <w:rPr>
            <w:webHidden/>
          </w:rPr>
        </w:r>
        <w:r>
          <w:rPr>
            <w:webHidden/>
          </w:rPr>
          <w:fldChar w:fldCharType="separate"/>
        </w:r>
        <w:r w:rsidR="007867A8">
          <w:rPr>
            <w:webHidden/>
          </w:rPr>
          <w:t>12</w:t>
        </w:r>
        <w:r>
          <w:rPr>
            <w:webHidden/>
          </w:rPr>
          <w:fldChar w:fldCharType="end"/>
        </w:r>
      </w:hyperlink>
    </w:p>
    <w:p w:rsidR="00764095" w:rsidRDefault="00F75A5B">
      <w:pPr>
        <w:pStyle w:val="TOC2"/>
        <w:rPr>
          <w:rFonts w:ascii="Calibri" w:eastAsia="Times New Roman" w:hAnsi="Calibri"/>
          <w:sz w:val="22"/>
          <w:szCs w:val="22"/>
          <w:lang w:eastAsia="en-GB"/>
        </w:rPr>
      </w:pPr>
      <w:hyperlink w:anchor="_Toc417032405" w:history="1">
        <w:r>
          <w:rPr>
            <w:rStyle w:val="Hyperlink"/>
          </w:rPr>
          <w:t>1.6</w:t>
        </w:r>
        <w:r>
          <w:rPr>
            <w:rFonts w:ascii="Calibri" w:eastAsia="Times New Roman" w:hAnsi="Calibri"/>
            <w:sz w:val="22"/>
            <w:szCs w:val="22"/>
            <w:lang w:eastAsia="en-GB"/>
          </w:rPr>
          <w:tab/>
        </w:r>
        <w:r>
          <w:rPr>
            <w:rStyle w:val="Hyperlink"/>
          </w:rPr>
          <w:t>Procur</w:t>
        </w:r>
        <w:bookmarkStart w:id="2" w:name="_GoBack"/>
        <w:bookmarkEnd w:id="2"/>
        <w:r>
          <w:rPr>
            <w:rStyle w:val="Hyperlink"/>
          </w:rPr>
          <w:t>ements (service contracts)</w:t>
        </w:r>
        <w:r>
          <w:rPr>
            <w:webHidden/>
          </w:rPr>
          <w:tab/>
        </w:r>
        <w:r>
          <w:rPr>
            <w:webHidden/>
          </w:rPr>
          <w:fldChar w:fldCharType="begin"/>
        </w:r>
        <w:r>
          <w:rPr>
            <w:webHidden/>
          </w:rPr>
          <w:instrText xml:space="preserve"> PAGEREF _Toc417032405 \h </w:instrText>
        </w:r>
        <w:r>
          <w:rPr>
            <w:webHidden/>
          </w:rPr>
        </w:r>
        <w:r>
          <w:rPr>
            <w:webHidden/>
          </w:rPr>
          <w:fldChar w:fldCharType="separate"/>
        </w:r>
        <w:r w:rsidR="007867A8">
          <w:rPr>
            <w:webHidden/>
          </w:rPr>
          <w:t>13</w:t>
        </w:r>
        <w:r>
          <w:rPr>
            <w:webHidden/>
          </w:rPr>
          <w:fldChar w:fldCharType="end"/>
        </w:r>
      </w:hyperlink>
    </w:p>
    <w:p w:rsidR="00764095" w:rsidRDefault="00F75A5B">
      <w:pPr>
        <w:pStyle w:val="TOC2"/>
        <w:rPr>
          <w:rFonts w:ascii="Calibri" w:eastAsia="Times New Roman" w:hAnsi="Calibri"/>
          <w:sz w:val="22"/>
          <w:szCs w:val="22"/>
          <w:lang w:eastAsia="en-GB"/>
        </w:rPr>
      </w:pPr>
      <w:hyperlink w:anchor="_Toc417032406" w:history="1">
        <w:r>
          <w:rPr>
            <w:rStyle w:val="Hyperlink"/>
          </w:rPr>
          <w:t>1.7</w:t>
        </w:r>
        <w:r>
          <w:rPr>
            <w:rFonts w:ascii="Calibri" w:eastAsia="Times New Roman" w:hAnsi="Calibri"/>
            <w:sz w:val="22"/>
            <w:szCs w:val="22"/>
            <w:lang w:eastAsia="en-GB"/>
          </w:rPr>
          <w:tab/>
        </w:r>
        <w:r>
          <w:rPr>
            <w:rStyle w:val="Hyperlink"/>
          </w:rPr>
          <w:t>Other actions</w:t>
        </w:r>
        <w:r>
          <w:rPr>
            <w:webHidden/>
          </w:rPr>
          <w:tab/>
        </w:r>
        <w:r>
          <w:rPr>
            <w:webHidden/>
          </w:rPr>
          <w:fldChar w:fldCharType="begin"/>
        </w:r>
        <w:r>
          <w:rPr>
            <w:webHidden/>
          </w:rPr>
          <w:instrText xml:space="preserve"> PAGEREF _Toc417032406 \h </w:instrText>
        </w:r>
        <w:r>
          <w:rPr>
            <w:webHidden/>
          </w:rPr>
        </w:r>
        <w:r>
          <w:rPr>
            <w:webHidden/>
          </w:rPr>
          <w:fldChar w:fldCharType="separate"/>
        </w:r>
        <w:r w:rsidR="007867A8">
          <w:rPr>
            <w:webHidden/>
          </w:rPr>
          <w:t>13</w:t>
        </w:r>
        <w:r>
          <w:rPr>
            <w:webHidden/>
          </w:rPr>
          <w:fldChar w:fldCharType="end"/>
        </w:r>
      </w:hyperlink>
    </w:p>
    <w:p w:rsidR="00764095" w:rsidRDefault="00F75A5B">
      <w:pPr>
        <w:pStyle w:val="TOC1"/>
        <w:rPr>
          <w:rFonts w:ascii="Calibri" w:eastAsia="Times New Roman" w:hAnsi="Calibri"/>
          <w:sz w:val="22"/>
          <w:szCs w:val="22"/>
          <w:lang w:eastAsia="en-GB"/>
        </w:rPr>
      </w:pPr>
      <w:hyperlink w:anchor="_Toc417032407" w:history="1">
        <w:r>
          <w:rPr>
            <w:rStyle w:val="Hyperlink"/>
          </w:rPr>
          <w:t>Implementation</w:t>
        </w:r>
        <w:r>
          <w:rPr>
            <w:rStyle w:val="Hyperlink"/>
          </w:rPr>
          <w:t xml:space="preserve"> of the operational budget by programme objectives</w:t>
        </w:r>
        <w:r>
          <w:rPr>
            <w:webHidden/>
          </w:rPr>
          <w:tab/>
        </w:r>
        <w:r>
          <w:rPr>
            <w:webHidden/>
          </w:rPr>
          <w:fldChar w:fldCharType="begin"/>
        </w:r>
        <w:r>
          <w:rPr>
            <w:webHidden/>
          </w:rPr>
          <w:instrText xml:space="preserve"> PAGEREF _Toc417032407 \h </w:instrText>
        </w:r>
        <w:r>
          <w:rPr>
            <w:webHidden/>
          </w:rPr>
        </w:r>
        <w:r>
          <w:rPr>
            <w:webHidden/>
          </w:rPr>
          <w:fldChar w:fldCharType="separate"/>
        </w:r>
        <w:r w:rsidR="007867A8">
          <w:rPr>
            <w:webHidden/>
          </w:rPr>
          <w:t>14</w:t>
        </w:r>
        <w:r>
          <w:rPr>
            <w:webHidden/>
          </w:rPr>
          <w:fldChar w:fldCharType="end"/>
        </w:r>
      </w:hyperlink>
    </w:p>
    <w:p w:rsidR="00764095" w:rsidRDefault="00F75A5B">
      <w:pPr>
        <w:pStyle w:val="TOC2"/>
        <w:rPr>
          <w:rFonts w:ascii="Calibri" w:eastAsia="Times New Roman" w:hAnsi="Calibri"/>
          <w:sz w:val="22"/>
          <w:szCs w:val="22"/>
          <w:lang w:eastAsia="en-GB"/>
        </w:rPr>
      </w:pPr>
      <w:hyperlink w:anchor="_Toc417032408" w:history="1">
        <w:r>
          <w:rPr>
            <w:rStyle w:val="Hyperlink"/>
          </w:rPr>
          <w:t>1.8</w:t>
        </w:r>
        <w:r>
          <w:rPr>
            <w:rFonts w:ascii="Calibri" w:eastAsia="Times New Roman" w:hAnsi="Calibri"/>
            <w:sz w:val="22"/>
            <w:szCs w:val="22"/>
            <w:lang w:eastAsia="en-GB"/>
          </w:rPr>
          <w:tab/>
        </w:r>
        <w:r>
          <w:rPr>
            <w:rStyle w:val="Hyperlink"/>
          </w:rPr>
          <w:t>Global budget consumption in 2013</w:t>
        </w:r>
        <w:r>
          <w:rPr>
            <w:webHidden/>
          </w:rPr>
          <w:tab/>
        </w:r>
        <w:r>
          <w:rPr>
            <w:webHidden/>
          </w:rPr>
          <w:fldChar w:fldCharType="begin"/>
        </w:r>
        <w:r>
          <w:rPr>
            <w:webHidden/>
          </w:rPr>
          <w:instrText xml:space="preserve"> PAGEREF _Toc417032408 \h </w:instrText>
        </w:r>
        <w:r>
          <w:rPr>
            <w:webHidden/>
          </w:rPr>
        </w:r>
        <w:r>
          <w:rPr>
            <w:webHidden/>
          </w:rPr>
          <w:fldChar w:fldCharType="separate"/>
        </w:r>
        <w:r w:rsidR="007867A8">
          <w:rPr>
            <w:webHidden/>
          </w:rPr>
          <w:t>14</w:t>
        </w:r>
        <w:r>
          <w:rPr>
            <w:webHidden/>
          </w:rPr>
          <w:fldChar w:fldCharType="end"/>
        </w:r>
      </w:hyperlink>
    </w:p>
    <w:p w:rsidR="00764095" w:rsidRDefault="00F75A5B">
      <w:pPr>
        <w:pStyle w:val="TOC2"/>
        <w:rPr>
          <w:rFonts w:ascii="Calibri" w:eastAsia="Times New Roman" w:hAnsi="Calibri"/>
          <w:sz w:val="22"/>
          <w:szCs w:val="22"/>
          <w:lang w:eastAsia="en-GB"/>
        </w:rPr>
      </w:pPr>
      <w:hyperlink w:anchor="_Toc417032409" w:history="1">
        <w:r>
          <w:rPr>
            <w:rStyle w:val="Hyperlink"/>
          </w:rPr>
          <w:t>1.9</w:t>
        </w:r>
        <w:r>
          <w:rPr>
            <w:rFonts w:ascii="Calibri" w:eastAsia="Times New Roman" w:hAnsi="Calibri"/>
            <w:sz w:val="22"/>
            <w:szCs w:val="22"/>
            <w:lang w:eastAsia="en-GB"/>
          </w:rPr>
          <w:tab/>
        </w:r>
        <w:r>
          <w:rPr>
            <w:rStyle w:val="Hyperlink"/>
          </w:rPr>
          <w:t>Health security</w:t>
        </w:r>
        <w:r>
          <w:rPr>
            <w:webHidden/>
          </w:rPr>
          <w:tab/>
        </w:r>
        <w:r>
          <w:rPr>
            <w:webHidden/>
          </w:rPr>
          <w:fldChar w:fldCharType="begin"/>
        </w:r>
        <w:r>
          <w:rPr>
            <w:webHidden/>
          </w:rPr>
          <w:instrText xml:space="preserve"> PAGEREF _Toc417032409 \h </w:instrText>
        </w:r>
        <w:r>
          <w:rPr>
            <w:webHidden/>
          </w:rPr>
        </w:r>
        <w:r>
          <w:rPr>
            <w:webHidden/>
          </w:rPr>
          <w:fldChar w:fldCharType="separate"/>
        </w:r>
        <w:r w:rsidR="007867A8">
          <w:rPr>
            <w:webHidden/>
          </w:rPr>
          <w:t>14</w:t>
        </w:r>
        <w:r>
          <w:rPr>
            <w:webHidden/>
          </w:rPr>
          <w:fldChar w:fldCharType="end"/>
        </w:r>
      </w:hyperlink>
    </w:p>
    <w:p w:rsidR="00764095" w:rsidRDefault="00F75A5B">
      <w:pPr>
        <w:pStyle w:val="TOC2"/>
        <w:rPr>
          <w:rFonts w:ascii="Calibri" w:eastAsia="Times New Roman" w:hAnsi="Calibri"/>
          <w:sz w:val="22"/>
          <w:szCs w:val="22"/>
          <w:lang w:eastAsia="en-GB"/>
        </w:rPr>
      </w:pPr>
      <w:hyperlink w:anchor="_Toc417032410" w:history="1">
        <w:r>
          <w:rPr>
            <w:rStyle w:val="Hyperlink"/>
          </w:rPr>
          <w:t>1.10</w:t>
        </w:r>
        <w:r>
          <w:rPr>
            <w:rFonts w:ascii="Calibri" w:eastAsia="Times New Roman" w:hAnsi="Calibri"/>
            <w:sz w:val="22"/>
            <w:szCs w:val="22"/>
            <w:lang w:eastAsia="en-GB"/>
          </w:rPr>
          <w:tab/>
        </w:r>
        <w:r>
          <w:rPr>
            <w:rStyle w:val="Hyperlink"/>
          </w:rPr>
          <w:t>Hea</w:t>
        </w:r>
        <w:r>
          <w:rPr>
            <w:rStyle w:val="Hyperlink"/>
          </w:rPr>
          <w:t>lth promotion</w:t>
        </w:r>
        <w:r>
          <w:rPr>
            <w:webHidden/>
          </w:rPr>
          <w:tab/>
        </w:r>
        <w:r>
          <w:rPr>
            <w:webHidden/>
          </w:rPr>
          <w:fldChar w:fldCharType="begin"/>
        </w:r>
        <w:r>
          <w:rPr>
            <w:webHidden/>
          </w:rPr>
          <w:instrText xml:space="preserve"> PAGEREF _Toc417032410 \h </w:instrText>
        </w:r>
        <w:r>
          <w:rPr>
            <w:webHidden/>
          </w:rPr>
        </w:r>
        <w:r>
          <w:rPr>
            <w:webHidden/>
          </w:rPr>
          <w:fldChar w:fldCharType="separate"/>
        </w:r>
        <w:r w:rsidR="007867A8">
          <w:rPr>
            <w:webHidden/>
          </w:rPr>
          <w:t>15</w:t>
        </w:r>
        <w:r>
          <w:rPr>
            <w:webHidden/>
          </w:rPr>
          <w:fldChar w:fldCharType="end"/>
        </w:r>
      </w:hyperlink>
    </w:p>
    <w:p w:rsidR="00764095" w:rsidRDefault="00F75A5B">
      <w:pPr>
        <w:pStyle w:val="TOC2"/>
        <w:rPr>
          <w:rFonts w:ascii="Calibri" w:eastAsia="Times New Roman" w:hAnsi="Calibri"/>
          <w:sz w:val="22"/>
          <w:szCs w:val="22"/>
          <w:lang w:eastAsia="en-GB"/>
        </w:rPr>
      </w:pPr>
      <w:hyperlink w:anchor="_Toc417032411" w:history="1">
        <w:r>
          <w:rPr>
            <w:rStyle w:val="Hyperlink"/>
          </w:rPr>
          <w:t>1.11</w:t>
        </w:r>
        <w:r>
          <w:rPr>
            <w:rFonts w:ascii="Calibri" w:eastAsia="Times New Roman" w:hAnsi="Calibri"/>
            <w:sz w:val="22"/>
            <w:szCs w:val="22"/>
            <w:lang w:eastAsia="en-GB"/>
          </w:rPr>
          <w:tab/>
        </w:r>
        <w:r>
          <w:rPr>
            <w:rStyle w:val="Hyperlink"/>
          </w:rPr>
          <w:t>Health Information</w:t>
        </w:r>
        <w:r>
          <w:rPr>
            <w:webHidden/>
          </w:rPr>
          <w:tab/>
        </w:r>
        <w:r>
          <w:rPr>
            <w:webHidden/>
          </w:rPr>
          <w:fldChar w:fldCharType="begin"/>
        </w:r>
        <w:r>
          <w:rPr>
            <w:webHidden/>
          </w:rPr>
          <w:instrText xml:space="preserve"> PAGEREF _Toc417032411 \h </w:instrText>
        </w:r>
        <w:r>
          <w:rPr>
            <w:webHidden/>
          </w:rPr>
        </w:r>
        <w:r>
          <w:rPr>
            <w:webHidden/>
          </w:rPr>
          <w:fldChar w:fldCharType="separate"/>
        </w:r>
        <w:r w:rsidR="007867A8">
          <w:rPr>
            <w:webHidden/>
          </w:rPr>
          <w:t>15</w:t>
        </w:r>
        <w:r>
          <w:rPr>
            <w:webHidden/>
          </w:rPr>
          <w:fldChar w:fldCharType="end"/>
        </w:r>
      </w:hyperlink>
    </w:p>
    <w:p w:rsidR="00764095" w:rsidRDefault="00F75A5B">
      <w:pPr>
        <w:pStyle w:val="ManualHeading1"/>
        <w:rPr>
          <w:noProof/>
        </w:rPr>
      </w:pPr>
      <w:r>
        <w:rPr>
          <w:noProof/>
        </w:rPr>
        <w:tab/>
      </w:r>
      <w:r>
        <w:rPr>
          <w:noProof/>
        </w:rPr>
        <w:fldChar w:fldCharType="end"/>
      </w:r>
      <w:r>
        <w:rPr>
          <w:noProof/>
          <w:sz w:val="36"/>
        </w:rPr>
        <w:br w:type="page"/>
      </w:r>
      <w:bookmarkStart w:id="3" w:name="_Toc417032399"/>
      <w:r>
        <w:rPr>
          <w:noProof/>
        </w:rPr>
        <w:lastRenderedPageBreak/>
        <w:t>budget implementation</w:t>
      </w:r>
      <w:bookmarkEnd w:id="3"/>
      <w:r>
        <w:rPr>
          <w:noProof/>
        </w:rPr>
        <w:t xml:space="preserve"> </w:t>
      </w:r>
    </w:p>
    <w:p w:rsidR="00764095" w:rsidRDefault="00F75A5B">
      <w:pPr>
        <w:pStyle w:val="ManualHeading2"/>
        <w:rPr>
          <w:noProof/>
        </w:rPr>
      </w:pPr>
      <w:bookmarkStart w:id="4" w:name="_Toc388355509"/>
      <w:bookmarkStart w:id="5" w:name="_Toc390420263"/>
      <w:bookmarkStart w:id="6" w:name="_Toc404756129"/>
      <w:bookmarkStart w:id="7" w:name="_Toc417032400"/>
      <w:r>
        <w:t>1.1</w:t>
      </w:r>
      <w:r>
        <w:tab/>
      </w:r>
      <w:r>
        <w:rPr>
          <w:noProof/>
        </w:rPr>
        <w:t>Budget</w:t>
      </w:r>
      <w:bookmarkEnd w:id="4"/>
      <w:bookmarkEnd w:id="5"/>
      <w:bookmarkEnd w:id="6"/>
      <w:bookmarkEnd w:id="7"/>
    </w:p>
    <w:p w:rsidR="00764095" w:rsidRDefault="00F75A5B">
      <w:pPr>
        <w:jc w:val="both"/>
        <w:rPr>
          <w:rFonts w:ascii="Times New Roman" w:hAnsi="Times New Roman"/>
          <w:noProof/>
          <w:sz w:val="24"/>
          <w:szCs w:val="24"/>
        </w:rPr>
      </w:pPr>
      <w:r>
        <w:rPr>
          <w:rFonts w:ascii="Times New Roman" w:hAnsi="Times New Roman"/>
          <w:noProof/>
          <w:sz w:val="24"/>
          <w:szCs w:val="24"/>
        </w:rPr>
        <w:t>The budget for the Second Health Programme 2008-13 was EUR 321.5 million. The budget set out in the work plan for 2013</w:t>
      </w:r>
      <w:r>
        <w:rPr>
          <w:rStyle w:val="FootnoteReference"/>
          <w:noProof/>
        </w:rPr>
        <w:footnoteReference w:id="2"/>
      </w:r>
      <w:r>
        <w:rPr>
          <w:rFonts w:ascii="Times New Roman" w:hAnsi="Times New Roman"/>
          <w:noProof/>
          <w:sz w:val="24"/>
          <w:szCs w:val="24"/>
        </w:rPr>
        <w:t xml:space="preserve"> was EUR</w:t>
      </w:r>
      <w:r>
        <w:rPr>
          <w:rFonts w:ascii="Times New Roman" w:eastAsia="Times New Roman" w:hAnsi="Times New Roman"/>
          <w:noProof/>
          <w:w w:val="50"/>
          <w:sz w:val="24"/>
          <w:szCs w:val="24"/>
        </w:rPr>
        <w:t> </w:t>
      </w:r>
      <w:r>
        <w:rPr>
          <w:rFonts w:ascii="Times New Roman" w:hAnsi="Times New Roman"/>
          <w:noProof/>
          <w:sz w:val="24"/>
          <w:szCs w:val="24"/>
        </w:rPr>
        <w:t>55 509 000, broken down as follows:</w:t>
      </w:r>
    </w:p>
    <w:p w:rsidR="00764095" w:rsidRDefault="00F75A5B">
      <w:pPr>
        <w:tabs>
          <w:tab w:val="num" w:pos="850"/>
        </w:tabs>
        <w:spacing w:before="120" w:after="120" w:line="240" w:lineRule="auto"/>
        <w:ind w:left="850" w:hanging="850"/>
        <w:jc w:val="both"/>
        <w:rPr>
          <w:rFonts w:ascii="Times New Roman" w:eastAsia="Times New Roman" w:hAnsi="Times New Roman"/>
          <w:noProof/>
          <w:sz w:val="24"/>
          <w:szCs w:val="24"/>
        </w:rPr>
      </w:pPr>
      <w:r>
        <w:rPr>
          <w:rFonts w:ascii="Times New Roman" w:eastAsia="Times New Roman" w:hAnsi="Times New Roman"/>
          <w:noProof/>
          <w:sz w:val="24"/>
          <w:szCs w:val="24"/>
        </w:rPr>
        <w:t>Operational expenditure:</w:t>
      </w:r>
    </w:p>
    <w:p w:rsidR="00764095" w:rsidRDefault="00F75A5B">
      <w:pPr>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EUR 49 800 000, corresponding to budget line 17 03 06 — </w:t>
      </w:r>
      <w:r>
        <w:rPr>
          <w:rFonts w:ascii="Times New Roman" w:eastAsia="Times New Roman" w:hAnsi="Times New Roman"/>
          <w:i/>
          <w:noProof/>
          <w:sz w:val="24"/>
          <w:szCs w:val="24"/>
        </w:rPr>
        <w:t>EU action in the field of health</w:t>
      </w:r>
      <w:r>
        <w:rPr>
          <w:rFonts w:ascii="Times New Roman" w:eastAsia="Times New Roman" w:hAnsi="Times New Roman"/>
          <w:noProof/>
          <w:sz w:val="24"/>
          <w:szCs w:val="24"/>
        </w:rPr>
        <w:t>;</w:t>
      </w:r>
    </w:p>
    <w:p w:rsidR="00764095" w:rsidRDefault="00F75A5B">
      <w:pPr>
        <w:tabs>
          <w:tab w:val="num" w:pos="850"/>
        </w:tabs>
        <w:spacing w:after="0" w:line="240" w:lineRule="auto"/>
        <w:ind w:left="850" w:hanging="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Administrative expenditure: EUR 1 500 000, corresponding to budget line 17 01 04 02 -</w:t>
      </w:r>
    </w:p>
    <w:p w:rsidR="00764095" w:rsidRDefault="00F75A5B">
      <w:pPr>
        <w:tabs>
          <w:tab w:val="num" w:pos="850"/>
        </w:tabs>
        <w:spacing w:after="0" w:line="240" w:lineRule="auto"/>
        <w:ind w:left="850" w:hanging="850"/>
        <w:jc w:val="both"/>
        <w:rPr>
          <w:rFonts w:ascii="Times New Roman" w:eastAsia="Times New Roman" w:hAnsi="Times New Roman"/>
          <w:noProof/>
          <w:sz w:val="24"/>
          <w:szCs w:val="24"/>
        </w:rPr>
      </w:pPr>
      <w:r>
        <w:rPr>
          <w:rFonts w:ascii="Times New Roman" w:eastAsia="Times New Roman" w:hAnsi="Times New Roman"/>
          <w:i/>
          <w:noProof/>
          <w:sz w:val="24"/>
          <w:szCs w:val="24"/>
        </w:rPr>
        <w:t>Expenditure on administrative management</w:t>
      </w:r>
      <w:r>
        <w:rPr>
          <w:rFonts w:ascii="Times New Roman" w:eastAsia="Times New Roman" w:hAnsi="Times New Roman"/>
          <w:noProof/>
          <w:sz w:val="24"/>
          <w:szCs w:val="24"/>
        </w:rPr>
        <w:t>.</w:t>
      </w:r>
    </w:p>
    <w:p w:rsidR="00764095" w:rsidRDefault="00764095">
      <w:pPr>
        <w:jc w:val="both"/>
        <w:rPr>
          <w:rFonts w:ascii="Times New Roman" w:hAnsi="Times New Roman"/>
          <w:noProof/>
          <w:sz w:val="24"/>
          <w:szCs w:val="24"/>
        </w:rPr>
      </w:pPr>
    </w:p>
    <w:p w:rsidR="00764095" w:rsidRDefault="00F75A5B">
      <w:pPr>
        <w:jc w:val="both"/>
        <w:rPr>
          <w:rFonts w:ascii="Times New Roman" w:hAnsi="Times New Roman"/>
          <w:noProof/>
          <w:sz w:val="24"/>
          <w:szCs w:val="24"/>
        </w:rPr>
      </w:pPr>
      <w:r>
        <w:rPr>
          <w:rFonts w:ascii="Times New Roman" w:hAnsi="Times New Roman"/>
          <w:noProof/>
          <w:sz w:val="24"/>
          <w:szCs w:val="24"/>
        </w:rPr>
        <w:t>The total operational budget was EUR</w:t>
      </w:r>
      <w:r>
        <w:rPr>
          <w:rFonts w:ascii="Times New Roman" w:hAnsi="Times New Roman"/>
          <w:noProof/>
          <w:sz w:val="24"/>
          <w:szCs w:val="24"/>
        </w:rPr>
        <w:t xml:space="preserve"> 51 924 359 and the total administrative budget was EUR 1 542 363. This included EFTA/EEA and Croatia credits and recovery credits from previous budget years.</w:t>
      </w:r>
    </w:p>
    <w:p w:rsidR="00764095" w:rsidRDefault="00F75A5B">
      <w:pPr>
        <w:jc w:val="both"/>
        <w:rPr>
          <w:rFonts w:ascii="Times New Roman" w:hAnsi="Times New Roman"/>
          <w:noProof/>
          <w:sz w:val="24"/>
          <w:szCs w:val="24"/>
        </w:rPr>
      </w:pPr>
      <w:r>
        <w:rPr>
          <w:rFonts w:ascii="Times New Roman" w:hAnsi="Times New Roman"/>
          <w:noProof/>
          <w:sz w:val="24"/>
          <w:szCs w:val="24"/>
        </w:rPr>
        <w:t>The Executive Agency for Health and Consumers (EAHC) has been providing the Commission with techn</w:t>
      </w:r>
      <w:r>
        <w:rPr>
          <w:rFonts w:ascii="Times New Roman" w:hAnsi="Times New Roman"/>
          <w:noProof/>
          <w:sz w:val="24"/>
          <w:szCs w:val="24"/>
        </w:rPr>
        <w:t>ical, scientific and administrative assistance in implementing the Health Programme since 2005.</w:t>
      </w:r>
      <w:r>
        <w:rPr>
          <w:rStyle w:val="FootnoteReference"/>
          <w:noProof/>
        </w:rPr>
        <w:footnoteReference w:id="3"/>
      </w:r>
      <w:r>
        <w:rPr>
          <w:rFonts w:ascii="Times New Roman" w:hAnsi="Times New Roman"/>
          <w:noProof/>
          <w:sz w:val="24"/>
          <w:szCs w:val="24"/>
        </w:rPr>
        <w:t xml:space="preserve"> EAHC organises annual calls for proposals, coordinates the evaluation of submissions, and negotiates, signs and manages related grant agreements. It is also re</w:t>
      </w:r>
      <w:r>
        <w:rPr>
          <w:rFonts w:ascii="Times New Roman" w:hAnsi="Times New Roman"/>
          <w:noProof/>
          <w:sz w:val="24"/>
          <w:szCs w:val="24"/>
        </w:rPr>
        <w:t xml:space="preserve">sponsible for many procurement procedures. In 2013, EAHC managed </w:t>
      </w:r>
      <w:r>
        <w:rPr>
          <w:rFonts w:ascii="Times New Roman" w:hAnsi="Times New Roman"/>
          <w:noProof/>
          <w:sz w:val="24"/>
          <w:szCs w:val="24"/>
        </w:rPr>
        <w:br/>
        <w:t xml:space="preserve">EUR 42 279 481.64, while the Commission managed the remaining </w:t>
      </w:r>
      <w:r>
        <w:rPr>
          <w:rFonts w:ascii="Times New Roman" w:eastAsia="Times New Roman" w:hAnsi="Times New Roman"/>
          <w:noProof/>
          <w:w w:val="50"/>
          <w:sz w:val="24"/>
          <w:szCs w:val="24"/>
        </w:rPr>
        <w:t> </w:t>
      </w:r>
      <w:r>
        <w:rPr>
          <w:rFonts w:ascii="Times New Roman" w:hAnsi="Times New Roman"/>
          <w:noProof/>
          <w:sz w:val="24"/>
          <w:szCs w:val="24"/>
        </w:rPr>
        <w:t>EUR 9 299 988.99 covering procurement and other actions.</w:t>
      </w:r>
    </w:p>
    <w:p w:rsidR="00764095" w:rsidRDefault="00F75A5B">
      <w:pPr>
        <w:pStyle w:val="ManualHeading2"/>
        <w:rPr>
          <w:noProof/>
        </w:rPr>
      </w:pPr>
      <w:bookmarkStart w:id="8" w:name="_Toc388355510"/>
      <w:bookmarkStart w:id="9" w:name="_Toc390420264"/>
      <w:bookmarkStart w:id="10" w:name="_Toc404756130"/>
      <w:bookmarkStart w:id="11" w:name="_Toc417032401"/>
      <w:r>
        <w:t>1.2</w:t>
      </w:r>
      <w:r>
        <w:tab/>
      </w:r>
      <w:r>
        <w:rPr>
          <w:noProof/>
        </w:rPr>
        <w:t>Priorities for 2013 and financing mechanisms</w:t>
      </w:r>
      <w:bookmarkEnd w:id="8"/>
      <w:bookmarkEnd w:id="9"/>
      <w:bookmarkEnd w:id="10"/>
      <w:bookmarkEnd w:id="11"/>
    </w:p>
    <w:p w:rsidR="00764095" w:rsidRDefault="00F75A5B">
      <w:pPr>
        <w:jc w:val="both"/>
        <w:rPr>
          <w:rFonts w:ascii="Times New Roman" w:hAnsi="Times New Roman"/>
          <w:noProof/>
          <w:sz w:val="24"/>
        </w:rPr>
      </w:pPr>
      <w:r>
        <w:rPr>
          <w:rFonts w:ascii="Times New Roman" w:hAnsi="Times New Roman"/>
          <w:noProof/>
          <w:sz w:val="24"/>
        </w:rPr>
        <w:t>The priorities for 20</w:t>
      </w:r>
      <w:r>
        <w:rPr>
          <w:rFonts w:ascii="Times New Roman" w:hAnsi="Times New Roman"/>
          <w:noProof/>
          <w:sz w:val="24"/>
        </w:rPr>
        <w:t>13 were set out in Commission Implementing Decision 2012/C 378/07 of 28 November 2012 concerning the adoption of the 2013 work plan and related criteria.</w:t>
      </w:r>
      <w:r>
        <w:rPr>
          <w:rStyle w:val="FootnoteReference"/>
          <w:noProof/>
        </w:rPr>
        <w:footnoteReference w:id="4"/>
      </w:r>
      <w:r>
        <w:rPr>
          <w:rFonts w:ascii="Times New Roman" w:hAnsi="Times New Roman"/>
          <w:noProof/>
          <w:sz w:val="24"/>
        </w:rPr>
        <w:t xml:space="preserve"> </w:t>
      </w:r>
    </w:p>
    <w:p w:rsidR="00764095" w:rsidRDefault="00F75A5B">
      <w:pPr>
        <w:jc w:val="both"/>
        <w:rPr>
          <w:rFonts w:ascii="Times New Roman" w:hAnsi="Times New Roman"/>
          <w:noProof/>
          <w:sz w:val="24"/>
        </w:rPr>
      </w:pPr>
      <w:r>
        <w:rPr>
          <w:rFonts w:ascii="Times New Roman" w:hAnsi="Times New Roman"/>
          <w:noProof/>
          <w:sz w:val="24"/>
        </w:rPr>
        <w:t>The following financing mechanisms were used to implement the work plan for 2013:</w:t>
      </w:r>
    </w:p>
    <w:p w:rsidR="00764095" w:rsidRDefault="00F75A5B">
      <w:pPr>
        <w:jc w:val="both"/>
        <w:rPr>
          <w:rFonts w:ascii="Times New Roman" w:eastAsia="Times New Roman" w:hAnsi="Times New Roman"/>
          <w:noProof/>
          <w:sz w:val="24"/>
          <w:szCs w:val="24"/>
        </w:rPr>
      </w:pPr>
      <w:r>
        <w:rPr>
          <w:rFonts w:ascii="Times New Roman" w:eastAsia="Times New Roman" w:hAnsi="Times New Roman"/>
          <w:noProof/>
          <w:sz w:val="24"/>
          <w:szCs w:val="24"/>
          <w:u w:val="single"/>
        </w:rPr>
        <w:t>Project grants</w:t>
      </w:r>
      <w:r>
        <w:rPr>
          <w:rFonts w:ascii="Times New Roman" w:eastAsia="Times New Roman" w:hAnsi="Times New Roman"/>
          <w:noProof/>
          <w:sz w:val="24"/>
          <w:szCs w:val="24"/>
        </w:rPr>
        <w:t xml:space="preserve"> wer</w:t>
      </w:r>
      <w:r>
        <w:rPr>
          <w:rFonts w:ascii="Times New Roman" w:eastAsia="Times New Roman" w:hAnsi="Times New Roman"/>
          <w:noProof/>
          <w:sz w:val="24"/>
          <w:szCs w:val="24"/>
        </w:rPr>
        <w:t>e awarded to projects involving several partners, usually public health bodies and non-governmental organisations (NGOs). The maximum EU contribution is 60</w:t>
      </w:r>
      <w:r>
        <w:rPr>
          <w:rFonts w:ascii="Times New Roman" w:eastAsia="Times New Roman" w:hAnsi="Times New Roman"/>
          <w:noProof/>
          <w:w w:val="50"/>
          <w:sz w:val="24"/>
          <w:szCs w:val="24"/>
        </w:rPr>
        <w:t> </w:t>
      </w:r>
      <w:r>
        <w:rPr>
          <w:rFonts w:ascii="Times New Roman" w:eastAsia="Times New Roman" w:hAnsi="Times New Roman"/>
          <w:noProof/>
          <w:sz w:val="24"/>
          <w:szCs w:val="24"/>
        </w:rPr>
        <w:t>% of eligible costs. However, the EU contribution may go up to 80</w:t>
      </w:r>
      <w:r>
        <w:rPr>
          <w:rFonts w:ascii="Times New Roman" w:eastAsia="Times New Roman" w:hAnsi="Times New Roman"/>
          <w:noProof/>
          <w:w w:val="50"/>
          <w:sz w:val="24"/>
          <w:szCs w:val="24"/>
        </w:rPr>
        <w:t> </w:t>
      </w:r>
      <w:r>
        <w:rPr>
          <w:rFonts w:ascii="Times New Roman" w:eastAsia="Times New Roman" w:hAnsi="Times New Roman"/>
          <w:noProof/>
          <w:sz w:val="24"/>
          <w:szCs w:val="24"/>
        </w:rPr>
        <w:t>% if a proposal meets the criteria</w:t>
      </w:r>
      <w:r>
        <w:rPr>
          <w:rFonts w:ascii="Times New Roman" w:eastAsia="Times New Roman" w:hAnsi="Times New Roman"/>
          <w:noProof/>
          <w:sz w:val="24"/>
          <w:szCs w:val="24"/>
        </w:rPr>
        <w:t xml:space="preserve"> for exceptional utility.</w:t>
      </w:r>
      <w:r>
        <w:rPr>
          <w:rStyle w:val="FootnoteReference"/>
          <w:rFonts w:ascii="Times New Roman" w:hAnsi="Times New Roman"/>
          <w:noProof/>
          <w:sz w:val="24"/>
          <w:szCs w:val="24"/>
        </w:rPr>
        <w:footnoteReference w:id="5"/>
      </w:r>
    </w:p>
    <w:p w:rsidR="00764095" w:rsidRDefault="00F75A5B">
      <w:pPr>
        <w:jc w:val="both"/>
        <w:rPr>
          <w:rFonts w:ascii="Times New Roman" w:eastAsia="Times New Roman" w:hAnsi="Times New Roman"/>
          <w:noProof/>
          <w:sz w:val="24"/>
          <w:szCs w:val="24"/>
        </w:rPr>
      </w:pPr>
      <w:r>
        <w:rPr>
          <w:rFonts w:ascii="Times New Roman" w:eastAsia="Times New Roman" w:hAnsi="Times New Roman"/>
          <w:noProof/>
          <w:sz w:val="24"/>
          <w:szCs w:val="24"/>
          <w:u w:val="single"/>
        </w:rPr>
        <w:lastRenderedPageBreak/>
        <w:t>Operating grants</w:t>
      </w:r>
      <w:r>
        <w:rPr>
          <w:rFonts w:ascii="Times New Roman" w:eastAsia="Times New Roman" w:hAnsi="Times New Roman"/>
          <w:noProof/>
          <w:sz w:val="24"/>
          <w:szCs w:val="24"/>
        </w:rPr>
        <w:t xml:space="preserve"> were awarded to non-profit organisations or specialised networks active in areas corresponding to the programme’s three strands (corresponding to the three objectives): health promotion, health threats and health information. Such bodies must be non-gover</w:t>
      </w:r>
      <w:r>
        <w:rPr>
          <w:rFonts w:ascii="Times New Roman" w:eastAsia="Times New Roman" w:hAnsi="Times New Roman"/>
          <w:noProof/>
          <w:sz w:val="24"/>
          <w:szCs w:val="24"/>
        </w:rPr>
        <w:t>nmental, non-profit, and independent of industry or other conflicting interests and have as their primary objectives one or more of the programme’s objectives. The maximum EU contribution is 60</w:t>
      </w:r>
      <w:r>
        <w:rPr>
          <w:rFonts w:ascii="Times New Roman" w:eastAsia="Times New Roman" w:hAnsi="Times New Roman"/>
          <w:noProof/>
          <w:w w:val="50"/>
          <w:sz w:val="24"/>
          <w:szCs w:val="24"/>
        </w:rPr>
        <w:t> </w:t>
      </w:r>
      <w:r>
        <w:rPr>
          <w:rFonts w:ascii="Times New Roman" w:eastAsia="Times New Roman" w:hAnsi="Times New Roman"/>
          <w:noProof/>
          <w:sz w:val="24"/>
          <w:szCs w:val="24"/>
        </w:rPr>
        <w:t>% of their annual operating costs. However, the EU contributio</w:t>
      </w:r>
      <w:r>
        <w:rPr>
          <w:rFonts w:ascii="Times New Roman" w:eastAsia="Times New Roman" w:hAnsi="Times New Roman"/>
          <w:noProof/>
          <w:sz w:val="24"/>
          <w:szCs w:val="24"/>
        </w:rPr>
        <w:t>n may go up to 80</w:t>
      </w:r>
      <w:r>
        <w:rPr>
          <w:rFonts w:ascii="Times New Roman" w:eastAsia="Times New Roman" w:hAnsi="Times New Roman"/>
          <w:noProof/>
          <w:w w:val="50"/>
          <w:sz w:val="24"/>
          <w:szCs w:val="24"/>
        </w:rPr>
        <w:t> </w:t>
      </w:r>
      <w:r>
        <w:rPr>
          <w:rFonts w:ascii="Times New Roman" w:eastAsia="Times New Roman" w:hAnsi="Times New Roman"/>
          <w:noProof/>
          <w:sz w:val="24"/>
          <w:szCs w:val="24"/>
        </w:rPr>
        <w:t>% if a proposal meets the criteria for exceptional utility.</w:t>
      </w:r>
      <w:r>
        <w:rPr>
          <w:rStyle w:val="FootnoteReference"/>
          <w:rFonts w:ascii="Times New Roman" w:hAnsi="Times New Roman"/>
          <w:noProof/>
          <w:sz w:val="24"/>
          <w:szCs w:val="24"/>
        </w:rPr>
        <w:footnoteReference w:id="6"/>
      </w:r>
    </w:p>
    <w:p w:rsidR="00764095" w:rsidRDefault="00F75A5B">
      <w:pPr>
        <w:jc w:val="both"/>
        <w:rPr>
          <w:rFonts w:ascii="Times New Roman" w:eastAsia="Times New Roman" w:hAnsi="Times New Roman"/>
          <w:noProof/>
          <w:sz w:val="24"/>
          <w:szCs w:val="24"/>
        </w:rPr>
      </w:pPr>
      <w:r>
        <w:rPr>
          <w:rFonts w:ascii="Times New Roman" w:eastAsia="Times New Roman" w:hAnsi="Times New Roman"/>
          <w:noProof/>
          <w:sz w:val="24"/>
          <w:szCs w:val="24"/>
          <w:u w:val="single"/>
        </w:rPr>
        <w:t>Grants for joint actions</w:t>
      </w:r>
      <w:r>
        <w:rPr>
          <w:rFonts w:ascii="Times New Roman" w:eastAsia="Times New Roman" w:hAnsi="Times New Roman"/>
          <w:noProof/>
          <w:sz w:val="24"/>
          <w:szCs w:val="24"/>
        </w:rPr>
        <w:t xml:space="preserve"> were awarded to Member State authorities or bodies designated by them. The maximum EU contribution is 50</w:t>
      </w:r>
      <w:r>
        <w:rPr>
          <w:rFonts w:ascii="Times New Roman" w:eastAsia="Times New Roman" w:hAnsi="Times New Roman"/>
          <w:noProof/>
          <w:w w:val="50"/>
          <w:sz w:val="24"/>
          <w:szCs w:val="24"/>
        </w:rPr>
        <w:t> </w:t>
      </w:r>
      <w:r>
        <w:rPr>
          <w:rFonts w:ascii="Times New Roman" w:eastAsia="Times New Roman" w:hAnsi="Times New Roman"/>
          <w:noProof/>
          <w:sz w:val="24"/>
          <w:szCs w:val="24"/>
        </w:rPr>
        <w:t>%.</w:t>
      </w:r>
      <w:r>
        <w:rPr>
          <w:noProof/>
        </w:rPr>
        <w:t xml:space="preserve"> </w:t>
      </w:r>
      <w:r>
        <w:rPr>
          <w:rFonts w:ascii="Times New Roman" w:eastAsia="Times New Roman" w:hAnsi="Times New Roman"/>
          <w:noProof/>
          <w:sz w:val="24"/>
          <w:szCs w:val="24"/>
        </w:rPr>
        <w:t>However, the EU contribution may go up to 70</w:t>
      </w:r>
      <w:r>
        <w:rPr>
          <w:rFonts w:ascii="Times New Roman" w:eastAsia="Times New Roman" w:hAnsi="Times New Roman"/>
          <w:noProof/>
          <w:w w:val="50"/>
          <w:sz w:val="24"/>
          <w:szCs w:val="24"/>
        </w:rPr>
        <w:t> </w:t>
      </w:r>
      <w:r>
        <w:rPr>
          <w:rFonts w:ascii="Times New Roman" w:eastAsia="Times New Roman" w:hAnsi="Times New Roman"/>
          <w:noProof/>
          <w:sz w:val="24"/>
          <w:szCs w:val="24"/>
        </w:rPr>
        <w:t>% if a proposal meets the criteria for exceptional utility.</w:t>
      </w:r>
      <w:r>
        <w:rPr>
          <w:rStyle w:val="FootnoteReference"/>
          <w:rFonts w:ascii="Times New Roman" w:hAnsi="Times New Roman"/>
          <w:noProof/>
          <w:sz w:val="24"/>
          <w:szCs w:val="24"/>
        </w:rPr>
        <w:footnoteReference w:id="7"/>
      </w:r>
      <w:r>
        <w:rPr>
          <w:rFonts w:ascii="Times New Roman" w:eastAsia="Times New Roman" w:hAnsi="Times New Roman"/>
          <w:noProof/>
          <w:sz w:val="24"/>
          <w:szCs w:val="24"/>
        </w:rPr>
        <w:t xml:space="preserve"> Exceptional utility co-financing of 70</w:t>
      </w:r>
      <w:r>
        <w:rPr>
          <w:rFonts w:ascii="Times New Roman" w:eastAsia="Times New Roman" w:hAnsi="Times New Roman"/>
          <w:noProof/>
          <w:w w:val="50"/>
          <w:sz w:val="24"/>
          <w:szCs w:val="24"/>
        </w:rPr>
        <w:t> </w:t>
      </w:r>
      <w:r>
        <w:rPr>
          <w:rFonts w:ascii="Times New Roman" w:eastAsia="Times New Roman" w:hAnsi="Times New Roman"/>
          <w:noProof/>
          <w:sz w:val="24"/>
          <w:szCs w:val="24"/>
        </w:rPr>
        <w:t>% was granted for the joint action ‘Facilitating collaboration among the Member States for the effective operation of the pharmacovigilance system in the E</w:t>
      </w:r>
      <w:r>
        <w:rPr>
          <w:rFonts w:ascii="Times New Roman" w:eastAsia="Times New Roman" w:hAnsi="Times New Roman"/>
          <w:noProof/>
          <w:sz w:val="24"/>
          <w:szCs w:val="24"/>
        </w:rPr>
        <w:t>U’ because of its contribution to the effective implementation of EU legislation in this field.</w:t>
      </w:r>
    </w:p>
    <w:p w:rsidR="00764095" w:rsidRDefault="00F75A5B">
      <w:pPr>
        <w:jc w:val="both"/>
        <w:rPr>
          <w:rFonts w:ascii="Times New Roman" w:eastAsia="Times New Roman" w:hAnsi="Times New Roman"/>
          <w:noProof/>
          <w:sz w:val="24"/>
          <w:szCs w:val="24"/>
        </w:rPr>
      </w:pPr>
      <w:r>
        <w:rPr>
          <w:rFonts w:ascii="Times New Roman" w:eastAsia="Times New Roman" w:hAnsi="Times New Roman"/>
          <w:noProof/>
          <w:sz w:val="24"/>
          <w:szCs w:val="24"/>
          <w:u w:val="single"/>
        </w:rPr>
        <w:t>Conference grants</w:t>
      </w:r>
      <w:r>
        <w:rPr>
          <w:rFonts w:ascii="Times New Roman" w:eastAsia="Times New Roman" w:hAnsi="Times New Roman"/>
          <w:noProof/>
          <w:sz w:val="24"/>
          <w:szCs w:val="24"/>
        </w:rPr>
        <w:t xml:space="preserve"> were awarded towards conferences on public health issues, organised by public bodies or non-profit organisations and the EU Council Presidenci</w:t>
      </w:r>
      <w:r>
        <w:rPr>
          <w:rFonts w:ascii="Times New Roman" w:eastAsia="Times New Roman" w:hAnsi="Times New Roman"/>
          <w:noProof/>
          <w:sz w:val="24"/>
          <w:szCs w:val="24"/>
        </w:rPr>
        <w:t>es. The maximum EU contribution is 50</w:t>
      </w:r>
      <w:r>
        <w:rPr>
          <w:rFonts w:ascii="Times New Roman" w:eastAsia="Times New Roman" w:hAnsi="Times New Roman"/>
          <w:noProof/>
          <w:w w:val="50"/>
          <w:sz w:val="24"/>
          <w:szCs w:val="24"/>
        </w:rPr>
        <w:t> </w:t>
      </w:r>
      <w:r>
        <w:rPr>
          <w:rFonts w:ascii="Times New Roman" w:eastAsia="Times New Roman" w:hAnsi="Times New Roman"/>
          <w:noProof/>
          <w:sz w:val="24"/>
          <w:szCs w:val="24"/>
        </w:rPr>
        <w:t>% of eligible costs and the maximum amount is EUR</w:t>
      </w:r>
      <w:r>
        <w:rPr>
          <w:rFonts w:ascii="Times New Roman" w:eastAsia="Times New Roman" w:hAnsi="Times New Roman"/>
          <w:noProof/>
          <w:w w:val="50"/>
          <w:sz w:val="24"/>
          <w:szCs w:val="24"/>
        </w:rPr>
        <w:t xml:space="preserve"> </w:t>
      </w:r>
      <w:r>
        <w:rPr>
          <w:rFonts w:ascii="Times New Roman" w:eastAsia="Times New Roman" w:hAnsi="Times New Roman"/>
          <w:noProof/>
          <w:sz w:val="24"/>
          <w:szCs w:val="24"/>
        </w:rPr>
        <w:t>100 000.</w:t>
      </w:r>
    </w:p>
    <w:p w:rsidR="00764095" w:rsidRDefault="00F75A5B">
      <w:pPr>
        <w:jc w:val="both"/>
        <w:rPr>
          <w:rFonts w:ascii="Times New Roman" w:eastAsia="Times New Roman" w:hAnsi="Times New Roman"/>
          <w:noProof/>
          <w:sz w:val="24"/>
          <w:szCs w:val="24"/>
        </w:rPr>
      </w:pPr>
      <w:r>
        <w:rPr>
          <w:rFonts w:ascii="Times New Roman" w:eastAsia="Times New Roman" w:hAnsi="Times New Roman"/>
          <w:noProof/>
          <w:sz w:val="24"/>
          <w:szCs w:val="24"/>
          <w:u w:val="single"/>
        </w:rPr>
        <w:t>Direct grant agreements</w:t>
      </w:r>
      <w:r>
        <w:rPr>
          <w:rFonts w:ascii="Times New Roman" w:eastAsia="Times New Roman" w:hAnsi="Times New Roman"/>
          <w:noProof/>
          <w:sz w:val="24"/>
          <w:szCs w:val="24"/>
        </w:rPr>
        <w:t xml:space="preserve"> with international organisations were awarded to international organisations active in the area of public health. The maximum EU contri</w:t>
      </w:r>
      <w:r>
        <w:rPr>
          <w:rFonts w:ascii="Times New Roman" w:eastAsia="Times New Roman" w:hAnsi="Times New Roman"/>
          <w:noProof/>
          <w:sz w:val="24"/>
          <w:szCs w:val="24"/>
        </w:rPr>
        <w:t>bution is 60</w:t>
      </w:r>
      <w:r>
        <w:rPr>
          <w:rFonts w:ascii="Times New Roman" w:eastAsia="Times New Roman" w:hAnsi="Times New Roman"/>
          <w:noProof/>
          <w:w w:val="50"/>
          <w:sz w:val="24"/>
          <w:szCs w:val="24"/>
        </w:rPr>
        <w:t> </w:t>
      </w:r>
      <w:r>
        <w:rPr>
          <w:rFonts w:ascii="Times New Roman" w:eastAsia="Times New Roman" w:hAnsi="Times New Roman"/>
          <w:noProof/>
          <w:sz w:val="24"/>
          <w:szCs w:val="24"/>
        </w:rPr>
        <w:t>%.</w:t>
      </w:r>
    </w:p>
    <w:p w:rsidR="00764095" w:rsidRDefault="00F75A5B">
      <w:pPr>
        <w:jc w:val="both"/>
        <w:rPr>
          <w:rFonts w:ascii="Times New Roman" w:eastAsia="Times New Roman" w:hAnsi="Times New Roman"/>
          <w:noProof/>
          <w:sz w:val="24"/>
          <w:szCs w:val="24"/>
        </w:rPr>
      </w:pPr>
      <w:r>
        <w:rPr>
          <w:rFonts w:ascii="Times New Roman" w:eastAsia="Times New Roman" w:hAnsi="Times New Roman"/>
          <w:noProof/>
          <w:sz w:val="24"/>
          <w:szCs w:val="24"/>
          <w:u w:val="single"/>
        </w:rPr>
        <w:t>Procurement (service contracts)</w:t>
      </w:r>
      <w:r>
        <w:rPr>
          <w:rFonts w:ascii="Times New Roman" w:eastAsia="Times New Roman" w:hAnsi="Times New Roman"/>
          <w:noProof/>
          <w:sz w:val="24"/>
          <w:szCs w:val="24"/>
        </w:rPr>
        <w:t xml:space="preserve"> was used to purchase services, such as scientific studies, evaluations, studies, data procurement and IT applications. The programme fully covers the cost of procurement.</w:t>
      </w:r>
    </w:p>
    <w:p w:rsidR="00764095" w:rsidRDefault="00F75A5B">
      <w:pPr>
        <w:jc w:val="both"/>
        <w:rPr>
          <w:rFonts w:ascii="Times New Roman" w:hAnsi="Times New Roman"/>
          <w:noProof/>
          <w:sz w:val="24"/>
          <w:szCs w:val="24"/>
        </w:rPr>
      </w:pPr>
      <w:r>
        <w:rPr>
          <w:rFonts w:ascii="Times New Roman" w:hAnsi="Times New Roman"/>
          <w:noProof/>
          <w:sz w:val="24"/>
          <w:szCs w:val="24"/>
        </w:rPr>
        <w:t>Competitive selection and award proce</w:t>
      </w:r>
      <w:r>
        <w:rPr>
          <w:rFonts w:ascii="Times New Roman" w:hAnsi="Times New Roman"/>
          <w:noProof/>
          <w:sz w:val="24"/>
          <w:szCs w:val="24"/>
        </w:rPr>
        <w:t xml:space="preserve">dures were used to select actions for funding. Competitive selection and award procedures are not used for direct grant agreements and conferences organised by Council Presidencies because in those cases competitive procedures are either not allowed under </w:t>
      </w:r>
      <w:r>
        <w:rPr>
          <w:rFonts w:ascii="Times New Roman" w:hAnsi="Times New Roman"/>
          <w:noProof/>
          <w:sz w:val="24"/>
          <w:szCs w:val="24"/>
        </w:rPr>
        <w:t>the specific rules or are not used in practice.</w:t>
      </w:r>
    </w:p>
    <w:p w:rsidR="00764095" w:rsidRDefault="00F75A5B">
      <w:pPr>
        <w:jc w:val="both"/>
        <w:rPr>
          <w:rFonts w:ascii="Times New Roman" w:hAnsi="Times New Roman"/>
          <w:noProof/>
          <w:sz w:val="24"/>
          <w:szCs w:val="24"/>
        </w:rPr>
      </w:pPr>
      <w:r>
        <w:rPr>
          <w:rFonts w:ascii="Times New Roman" w:hAnsi="Times New Roman"/>
          <w:noProof/>
          <w:sz w:val="24"/>
          <w:szCs w:val="24"/>
        </w:rPr>
        <w:t>Administrative credits covered expenditure such as studies, meetings of experts, information and publication costs, and technical and administrative assistance for IT systems.</w:t>
      </w:r>
    </w:p>
    <w:p w:rsidR="00764095" w:rsidRDefault="00F75A5B">
      <w:pPr>
        <w:pStyle w:val="ManualHeading2"/>
        <w:rPr>
          <w:noProof/>
        </w:rPr>
      </w:pPr>
      <w:r>
        <w:rPr>
          <w:noProof/>
        </w:rPr>
        <w:br w:type="page"/>
      </w:r>
      <w:bookmarkStart w:id="12" w:name="_Toc388355511"/>
      <w:bookmarkStart w:id="13" w:name="_Toc390420265"/>
      <w:bookmarkStart w:id="14" w:name="_Toc404756131"/>
      <w:bookmarkStart w:id="15" w:name="_Toc417032402"/>
      <w:r>
        <w:lastRenderedPageBreak/>
        <w:t>1.3</w:t>
      </w:r>
      <w:r>
        <w:tab/>
      </w:r>
      <w:r>
        <w:rPr>
          <w:noProof/>
        </w:rPr>
        <w:t>Implementation of the opera</w:t>
      </w:r>
      <w:r>
        <w:rPr>
          <w:noProof/>
        </w:rPr>
        <w:t>tional budget by financing mechanism</w:t>
      </w:r>
      <w:bookmarkEnd w:id="12"/>
      <w:bookmarkEnd w:id="13"/>
      <w:bookmarkEnd w:id="14"/>
      <w:bookmarkEnd w:id="15"/>
    </w:p>
    <w:p w:rsidR="00764095" w:rsidRDefault="00764095">
      <w:pPr>
        <w:pStyle w:val="Text1"/>
        <w:ind w:left="0"/>
        <w:rPr>
          <w:i/>
          <w:noProof/>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2551"/>
        <w:gridCol w:w="1985"/>
      </w:tblGrid>
      <w:tr w:rsidR="00764095">
        <w:trPr>
          <w:trHeight w:val="1020"/>
        </w:trPr>
        <w:tc>
          <w:tcPr>
            <w:tcW w:w="4361" w:type="dxa"/>
            <w:noWrap/>
          </w:tcPr>
          <w:p w:rsidR="00764095" w:rsidRDefault="00F75A5B">
            <w:pPr>
              <w:jc w:val="both"/>
              <w:rPr>
                <w:rFonts w:ascii="Times New Roman" w:hAnsi="Times New Roman"/>
                <w:b/>
                <w:noProof/>
                <w:sz w:val="24"/>
              </w:rPr>
            </w:pPr>
            <w:r>
              <w:rPr>
                <w:rFonts w:ascii="Times New Roman" w:hAnsi="Times New Roman"/>
                <w:b/>
                <w:noProof/>
                <w:sz w:val="24"/>
              </w:rPr>
              <w:t>Type of financing mechanism</w:t>
            </w:r>
          </w:p>
        </w:tc>
        <w:tc>
          <w:tcPr>
            <w:tcW w:w="2551" w:type="dxa"/>
            <w:noWrap/>
          </w:tcPr>
          <w:p w:rsidR="00764095" w:rsidRDefault="00F75A5B">
            <w:pPr>
              <w:jc w:val="both"/>
              <w:rPr>
                <w:rFonts w:ascii="Times New Roman" w:hAnsi="Times New Roman"/>
                <w:b/>
                <w:noProof/>
                <w:sz w:val="24"/>
              </w:rPr>
            </w:pPr>
            <w:r>
              <w:rPr>
                <w:rFonts w:ascii="Times New Roman" w:hAnsi="Times New Roman"/>
                <w:b/>
                <w:noProof/>
                <w:sz w:val="24"/>
              </w:rPr>
              <w:t>Implementation €</w:t>
            </w:r>
          </w:p>
        </w:tc>
        <w:tc>
          <w:tcPr>
            <w:tcW w:w="1985" w:type="dxa"/>
            <w:noWrap/>
          </w:tcPr>
          <w:p w:rsidR="00764095" w:rsidRDefault="00F75A5B">
            <w:pPr>
              <w:rPr>
                <w:rFonts w:ascii="Times New Roman" w:hAnsi="Times New Roman"/>
                <w:b/>
                <w:noProof/>
                <w:sz w:val="24"/>
              </w:rPr>
            </w:pPr>
            <w:r>
              <w:rPr>
                <w:rFonts w:ascii="Times New Roman" w:hAnsi="Times New Roman"/>
                <w:b/>
                <w:noProof/>
                <w:sz w:val="24"/>
              </w:rPr>
              <w:t xml:space="preserve">Share of mechanism in total executed budget </w:t>
            </w:r>
          </w:p>
        </w:tc>
      </w:tr>
      <w:tr w:rsidR="00764095">
        <w:trPr>
          <w:trHeight w:val="340"/>
        </w:trPr>
        <w:tc>
          <w:tcPr>
            <w:tcW w:w="4361" w:type="dxa"/>
            <w:noWrap/>
          </w:tcPr>
          <w:p w:rsidR="00764095" w:rsidRDefault="00F75A5B">
            <w:pPr>
              <w:jc w:val="both"/>
              <w:rPr>
                <w:rFonts w:ascii="Times New Roman" w:hAnsi="Times New Roman"/>
                <w:b/>
                <w:noProof/>
                <w:sz w:val="24"/>
              </w:rPr>
            </w:pPr>
            <w:r>
              <w:rPr>
                <w:rFonts w:ascii="Times New Roman" w:hAnsi="Times New Roman"/>
                <w:b/>
                <w:noProof/>
                <w:sz w:val="24"/>
              </w:rPr>
              <w:t> Calls for proposals</w:t>
            </w:r>
          </w:p>
        </w:tc>
        <w:tc>
          <w:tcPr>
            <w:tcW w:w="2551" w:type="dxa"/>
            <w:noWrap/>
          </w:tcPr>
          <w:p w:rsidR="00764095" w:rsidRDefault="00F75A5B">
            <w:pPr>
              <w:jc w:val="right"/>
              <w:rPr>
                <w:rFonts w:ascii="Times New Roman" w:hAnsi="Times New Roman"/>
                <w:b/>
                <w:noProof/>
                <w:sz w:val="24"/>
              </w:rPr>
            </w:pPr>
            <w:r>
              <w:rPr>
                <w:rFonts w:ascii="Times New Roman" w:hAnsi="Times New Roman"/>
                <w:b/>
                <w:noProof/>
                <w:sz w:val="24"/>
              </w:rPr>
              <w:t>34 672 104.60</w:t>
            </w:r>
          </w:p>
        </w:tc>
        <w:tc>
          <w:tcPr>
            <w:tcW w:w="1985" w:type="dxa"/>
            <w:shd w:val="clear" w:color="auto" w:fill="auto"/>
            <w:noWrap/>
          </w:tcPr>
          <w:p w:rsidR="00764095" w:rsidRDefault="00F75A5B">
            <w:pPr>
              <w:tabs>
                <w:tab w:val="decimal" w:pos="792"/>
              </w:tabs>
              <w:jc w:val="right"/>
              <w:rPr>
                <w:rFonts w:ascii="Times New Roman" w:hAnsi="Times New Roman"/>
                <w:b/>
                <w:noProof/>
                <w:sz w:val="24"/>
              </w:rPr>
            </w:pPr>
            <w:r>
              <w:rPr>
                <w:rFonts w:ascii="Times New Roman" w:hAnsi="Times New Roman"/>
                <w:b/>
                <w:noProof/>
                <w:sz w:val="24"/>
              </w:rPr>
              <w:t>68</w:t>
            </w:r>
            <w:r>
              <w:rPr>
                <w:rFonts w:ascii="Times New Roman" w:hAnsi="Times New Roman"/>
                <w:b/>
                <w:noProof/>
                <w:w w:val="50"/>
                <w:sz w:val="24"/>
              </w:rPr>
              <w:t> </w:t>
            </w:r>
            <w:r>
              <w:rPr>
                <w:rFonts w:ascii="Times New Roman" w:hAnsi="Times New Roman"/>
                <w:b/>
                <w:noProof/>
                <w:sz w:val="24"/>
              </w:rPr>
              <w:t>%</w:t>
            </w:r>
          </w:p>
        </w:tc>
      </w:tr>
      <w:tr w:rsidR="00764095">
        <w:trPr>
          <w:trHeight w:val="340"/>
        </w:trPr>
        <w:tc>
          <w:tcPr>
            <w:tcW w:w="4361" w:type="dxa"/>
            <w:noWrap/>
          </w:tcPr>
          <w:p w:rsidR="00764095" w:rsidRDefault="00F75A5B">
            <w:pPr>
              <w:jc w:val="both"/>
              <w:rPr>
                <w:rFonts w:ascii="Times New Roman" w:hAnsi="Times New Roman"/>
                <w:bCs/>
                <w:noProof/>
                <w:sz w:val="24"/>
              </w:rPr>
            </w:pPr>
            <w:r>
              <w:rPr>
                <w:rFonts w:ascii="Times New Roman" w:hAnsi="Times New Roman"/>
                <w:bCs/>
                <w:noProof/>
                <w:sz w:val="24"/>
              </w:rPr>
              <w:t>Project grants</w:t>
            </w:r>
          </w:p>
        </w:tc>
        <w:tc>
          <w:tcPr>
            <w:tcW w:w="2551" w:type="dxa"/>
            <w:noWrap/>
          </w:tcPr>
          <w:p w:rsidR="00764095" w:rsidRDefault="00F75A5B">
            <w:pPr>
              <w:jc w:val="right"/>
              <w:rPr>
                <w:rFonts w:ascii="Times New Roman" w:hAnsi="Times New Roman"/>
                <w:bCs/>
                <w:noProof/>
                <w:sz w:val="24"/>
              </w:rPr>
            </w:pPr>
            <w:r>
              <w:rPr>
                <w:rFonts w:ascii="Times New Roman" w:hAnsi="Times New Roman"/>
                <w:bCs/>
                <w:noProof/>
                <w:sz w:val="24"/>
              </w:rPr>
              <w:t>14 633 503.00</w:t>
            </w:r>
          </w:p>
        </w:tc>
        <w:tc>
          <w:tcPr>
            <w:tcW w:w="1985" w:type="dxa"/>
            <w:shd w:val="clear" w:color="auto" w:fill="auto"/>
            <w:noWrap/>
          </w:tcPr>
          <w:p w:rsidR="00764095" w:rsidRDefault="00F75A5B">
            <w:pPr>
              <w:tabs>
                <w:tab w:val="decimal" w:pos="792"/>
              </w:tabs>
              <w:jc w:val="right"/>
              <w:rPr>
                <w:rFonts w:ascii="Times New Roman" w:hAnsi="Times New Roman"/>
                <w:noProof/>
                <w:sz w:val="24"/>
              </w:rPr>
            </w:pPr>
            <w:r>
              <w:rPr>
                <w:rFonts w:ascii="Times New Roman" w:hAnsi="Times New Roman"/>
                <w:noProof/>
                <w:sz w:val="24"/>
              </w:rPr>
              <w:t>28</w:t>
            </w:r>
            <w:r>
              <w:rPr>
                <w:rFonts w:ascii="Times New Roman" w:hAnsi="Times New Roman"/>
                <w:noProof/>
                <w:w w:val="50"/>
                <w:sz w:val="24"/>
              </w:rPr>
              <w:t> </w:t>
            </w:r>
            <w:r>
              <w:rPr>
                <w:rFonts w:ascii="Times New Roman" w:hAnsi="Times New Roman"/>
                <w:noProof/>
                <w:sz w:val="24"/>
              </w:rPr>
              <w:t>%</w:t>
            </w:r>
          </w:p>
        </w:tc>
      </w:tr>
      <w:tr w:rsidR="00764095">
        <w:trPr>
          <w:trHeight w:val="340"/>
        </w:trPr>
        <w:tc>
          <w:tcPr>
            <w:tcW w:w="4361" w:type="dxa"/>
            <w:noWrap/>
            <w:vAlign w:val="bottom"/>
          </w:tcPr>
          <w:p w:rsidR="00764095" w:rsidRDefault="00F75A5B">
            <w:pPr>
              <w:jc w:val="both"/>
              <w:rPr>
                <w:rFonts w:ascii="Times New Roman" w:hAnsi="Times New Roman"/>
                <w:bCs/>
                <w:noProof/>
                <w:sz w:val="24"/>
              </w:rPr>
            </w:pPr>
            <w:r>
              <w:rPr>
                <w:rFonts w:ascii="Times New Roman" w:hAnsi="Times New Roman"/>
                <w:bCs/>
                <w:noProof/>
                <w:sz w:val="24"/>
              </w:rPr>
              <w:t>Conference grants</w:t>
            </w:r>
          </w:p>
        </w:tc>
        <w:tc>
          <w:tcPr>
            <w:tcW w:w="2551" w:type="dxa"/>
            <w:noWrap/>
            <w:vAlign w:val="bottom"/>
          </w:tcPr>
          <w:p w:rsidR="00764095" w:rsidRDefault="00F75A5B">
            <w:pPr>
              <w:jc w:val="right"/>
              <w:rPr>
                <w:rFonts w:ascii="Times New Roman" w:hAnsi="Times New Roman"/>
                <w:bCs/>
                <w:noProof/>
                <w:sz w:val="24"/>
              </w:rPr>
            </w:pPr>
            <w:r>
              <w:rPr>
                <w:rFonts w:ascii="Times New Roman" w:hAnsi="Times New Roman"/>
                <w:bCs/>
                <w:noProof/>
                <w:sz w:val="24"/>
              </w:rPr>
              <w:t xml:space="preserve">1 125 467.60  </w:t>
            </w:r>
          </w:p>
        </w:tc>
        <w:tc>
          <w:tcPr>
            <w:tcW w:w="1985" w:type="dxa"/>
            <w:shd w:val="clear" w:color="auto" w:fill="auto"/>
            <w:noWrap/>
            <w:vAlign w:val="bottom"/>
          </w:tcPr>
          <w:p w:rsidR="00764095" w:rsidRDefault="00F75A5B">
            <w:pPr>
              <w:tabs>
                <w:tab w:val="decimal" w:pos="792"/>
              </w:tabs>
              <w:jc w:val="right"/>
              <w:rPr>
                <w:rFonts w:ascii="Times New Roman" w:hAnsi="Times New Roman"/>
                <w:noProof/>
                <w:sz w:val="24"/>
              </w:rPr>
            </w:pPr>
            <w:r>
              <w:rPr>
                <w:rFonts w:ascii="Times New Roman" w:hAnsi="Times New Roman"/>
                <w:noProof/>
                <w:sz w:val="24"/>
              </w:rPr>
              <w:t>2</w:t>
            </w:r>
            <w:r>
              <w:rPr>
                <w:rFonts w:ascii="Times New Roman" w:hAnsi="Times New Roman"/>
                <w:noProof/>
                <w:w w:val="50"/>
                <w:sz w:val="24"/>
              </w:rPr>
              <w:t> </w:t>
            </w:r>
            <w:r>
              <w:rPr>
                <w:rFonts w:ascii="Times New Roman" w:hAnsi="Times New Roman"/>
                <w:noProof/>
                <w:sz w:val="24"/>
              </w:rPr>
              <w:t>%</w:t>
            </w:r>
          </w:p>
        </w:tc>
      </w:tr>
      <w:tr w:rsidR="00764095">
        <w:trPr>
          <w:trHeight w:val="340"/>
        </w:trPr>
        <w:tc>
          <w:tcPr>
            <w:tcW w:w="4361" w:type="dxa"/>
            <w:noWrap/>
            <w:vAlign w:val="bottom"/>
          </w:tcPr>
          <w:p w:rsidR="00764095" w:rsidRDefault="00F75A5B">
            <w:pPr>
              <w:jc w:val="right"/>
              <w:rPr>
                <w:rFonts w:ascii="Times New Roman" w:hAnsi="Times New Roman"/>
                <w:bCs/>
                <w:noProof/>
                <w:sz w:val="24"/>
              </w:rPr>
            </w:pPr>
            <w:r>
              <w:rPr>
                <w:rFonts w:ascii="Times New Roman" w:hAnsi="Times New Roman"/>
                <w:b/>
                <w:bCs/>
                <w:i/>
                <w:noProof/>
                <w:szCs w:val="20"/>
              </w:rPr>
              <w:t xml:space="preserve">Managed by </w:t>
            </w:r>
            <w:r>
              <w:rPr>
                <w:rFonts w:ascii="Times New Roman" w:hAnsi="Times New Roman"/>
                <w:b/>
                <w:bCs/>
                <w:i/>
                <w:noProof/>
                <w:szCs w:val="20"/>
              </w:rPr>
              <w:t>EAHC</w:t>
            </w:r>
          </w:p>
        </w:tc>
        <w:tc>
          <w:tcPr>
            <w:tcW w:w="2551" w:type="dxa"/>
            <w:noWrap/>
            <w:vAlign w:val="bottom"/>
          </w:tcPr>
          <w:p w:rsidR="00764095" w:rsidRDefault="00F75A5B">
            <w:pPr>
              <w:jc w:val="right"/>
              <w:rPr>
                <w:rFonts w:ascii="Times New Roman" w:hAnsi="Times New Roman"/>
                <w:bCs/>
                <w:noProof/>
                <w:sz w:val="24"/>
              </w:rPr>
            </w:pPr>
            <w:r>
              <w:rPr>
                <w:rFonts w:ascii="Times New Roman" w:hAnsi="Times New Roman"/>
                <w:bCs/>
                <w:noProof/>
                <w:sz w:val="24"/>
              </w:rPr>
              <w:t>1 025 467.60</w:t>
            </w:r>
          </w:p>
        </w:tc>
        <w:tc>
          <w:tcPr>
            <w:tcW w:w="1985" w:type="dxa"/>
            <w:shd w:val="clear" w:color="auto" w:fill="auto"/>
            <w:noWrap/>
            <w:vAlign w:val="bottom"/>
          </w:tcPr>
          <w:p w:rsidR="00764095" w:rsidRDefault="00F75A5B">
            <w:pPr>
              <w:tabs>
                <w:tab w:val="decimal" w:pos="792"/>
              </w:tabs>
              <w:jc w:val="right"/>
              <w:rPr>
                <w:rFonts w:ascii="Times New Roman" w:hAnsi="Times New Roman"/>
                <w:noProof/>
                <w:sz w:val="24"/>
              </w:rPr>
            </w:pPr>
            <w:r>
              <w:rPr>
                <w:rFonts w:ascii="Times New Roman" w:hAnsi="Times New Roman"/>
                <w:noProof/>
                <w:sz w:val="24"/>
              </w:rPr>
              <w:t>-</w:t>
            </w:r>
          </w:p>
        </w:tc>
      </w:tr>
      <w:tr w:rsidR="00764095">
        <w:trPr>
          <w:trHeight w:val="340"/>
        </w:trPr>
        <w:tc>
          <w:tcPr>
            <w:tcW w:w="4361" w:type="dxa"/>
            <w:noWrap/>
            <w:vAlign w:val="bottom"/>
          </w:tcPr>
          <w:p w:rsidR="00764095" w:rsidRDefault="00F75A5B">
            <w:pPr>
              <w:jc w:val="right"/>
              <w:rPr>
                <w:rFonts w:ascii="Times New Roman" w:hAnsi="Times New Roman"/>
                <w:bCs/>
                <w:noProof/>
                <w:sz w:val="24"/>
              </w:rPr>
            </w:pPr>
            <w:r>
              <w:rPr>
                <w:rFonts w:ascii="Times New Roman" w:hAnsi="Times New Roman"/>
                <w:b/>
                <w:bCs/>
                <w:i/>
                <w:noProof/>
                <w:szCs w:val="20"/>
              </w:rPr>
              <w:t>Managed by DG SANCO</w:t>
            </w:r>
          </w:p>
        </w:tc>
        <w:tc>
          <w:tcPr>
            <w:tcW w:w="2551" w:type="dxa"/>
            <w:noWrap/>
            <w:vAlign w:val="bottom"/>
          </w:tcPr>
          <w:p w:rsidR="00764095" w:rsidRDefault="00F75A5B">
            <w:pPr>
              <w:jc w:val="right"/>
              <w:rPr>
                <w:rFonts w:ascii="Times New Roman" w:hAnsi="Times New Roman"/>
                <w:bCs/>
                <w:noProof/>
                <w:sz w:val="24"/>
              </w:rPr>
            </w:pPr>
            <w:r>
              <w:rPr>
                <w:rFonts w:ascii="Times New Roman" w:hAnsi="Times New Roman"/>
                <w:bCs/>
                <w:noProof/>
                <w:sz w:val="24"/>
              </w:rPr>
              <w:t>100 000.00</w:t>
            </w:r>
          </w:p>
        </w:tc>
        <w:tc>
          <w:tcPr>
            <w:tcW w:w="1985" w:type="dxa"/>
            <w:shd w:val="clear" w:color="auto" w:fill="auto"/>
            <w:noWrap/>
            <w:vAlign w:val="bottom"/>
          </w:tcPr>
          <w:p w:rsidR="00764095" w:rsidRDefault="00F75A5B">
            <w:pPr>
              <w:tabs>
                <w:tab w:val="decimal" w:pos="792"/>
              </w:tabs>
              <w:jc w:val="right"/>
              <w:rPr>
                <w:rFonts w:ascii="Times New Roman" w:hAnsi="Times New Roman"/>
                <w:noProof/>
                <w:sz w:val="24"/>
              </w:rPr>
            </w:pPr>
            <w:r>
              <w:rPr>
                <w:rFonts w:ascii="Times New Roman" w:hAnsi="Times New Roman"/>
                <w:noProof/>
                <w:sz w:val="24"/>
              </w:rPr>
              <w:t>-</w:t>
            </w:r>
          </w:p>
        </w:tc>
      </w:tr>
      <w:tr w:rsidR="00764095">
        <w:trPr>
          <w:trHeight w:val="340"/>
        </w:trPr>
        <w:tc>
          <w:tcPr>
            <w:tcW w:w="4361" w:type="dxa"/>
            <w:noWrap/>
          </w:tcPr>
          <w:p w:rsidR="00764095" w:rsidRDefault="00F75A5B">
            <w:pPr>
              <w:jc w:val="both"/>
              <w:rPr>
                <w:rFonts w:ascii="Times New Roman" w:hAnsi="Times New Roman"/>
                <w:bCs/>
                <w:noProof/>
                <w:sz w:val="24"/>
              </w:rPr>
            </w:pPr>
            <w:r>
              <w:rPr>
                <w:rFonts w:ascii="Times New Roman" w:hAnsi="Times New Roman"/>
                <w:bCs/>
                <w:noProof/>
                <w:sz w:val="24"/>
              </w:rPr>
              <w:t>Operating grants</w:t>
            </w:r>
          </w:p>
        </w:tc>
        <w:tc>
          <w:tcPr>
            <w:tcW w:w="2551" w:type="dxa"/>
            <w:noWrap/>
          </w:tcPr>
          <w:p w:rsidR="00764095" w:rsidRDefault="00F75A5B">
            <w:pPr>
              <w:jc w:val="right"/>
              <w:rPr>
                <w:rFonts w:ascii="Times New Roman" w:hAnsi="Times New Roman"/>
                <w:bCs/>
                <w:noProof/>
                <w:sz w:val="24"/>
              </w:rPr>
            </w:pPr>
            <w:r>
              <w:rPr>
                <w:rFonts w:ascii="Times New Roman" w:hAnsi="Times New Roman"/>
                <w:bCs/>
                <w:noProof/>
                <w:sz w:val="24"/>
              </w:rPr>
              <w:t>5 474 491.00</w:t>
            </w:r>
          </w:p>
        </w:tc>
        <w:tc>
          <w:tcPr>
            <w:tcW w:w="1985" w:type="dxa"/>
            <w:shd w:val="clear" w:color="auto" w:fill="auto"/>
            <w:noWrap/>
          </w:tcPr>
          <w:p w:rsidR="00764095" w:rsidRDefault="00F75A5B">
            <w:pPr>
              <w:tabs>
                <w:tab w:val="decimal" w:pos="792"/>
              </w:tabs>
              <w:jc w:val="right"/>
              <w:rPr>
                <w:rFonts w:ascii="Times New Roman" w:hAnsi="Times New Roman"/>
                <w:noProof/>
                <w:sz w:val="24"/>
              </w:rPr>
            </w:pPr>
            <w:r>
              <w:rPr>
                <w:rFonts w:ascii="Times New Roman" w:hAnsi="Times New Roman"/>
                <w:noProof/>
                <w:sz w:val="24"/>
              </w:rPr>
              <w:t>11</w:t>
            </w:r>
            <w:r>
              <w:rPr>
                <w:rFonts w:ascii="Times New Roman" w:hAnsi="Times New Roman"/>
                <w:noProof/>
                <w:w w:val="50"/>
                <w:sz w:val="24"/>
              </w:rPr>
              <w:t> </w:t>
            </w:r>
            <w:r>
              <w:rPr>
                <w:rFonts w:ascii="Times New Roman" w:hAnsi="Times New Roman"/>
                <w:noProof/>
                <w:sz w:val="24"/>
              </w:rPr>
              <w:t>%</w:t>
            </w:r>
          </w:p>
        </w:tc>
      </w:tr>
      <w:tr w:rsidR="00764095">
        <w:trPr>
          <w:trHeight w:val="699"/>
        </w:trPr>
        <w:tc>
          <w:tcPr>
            <w:tcW w:w="4361" w:type="dxa"/>
            <w:noWrap/>
          </w:tcPr>
          <w:p w:rsidR="00764095" w:rsidRDefault="00F75A5B">
            <w:pPr>
              <w:jc w:val="both"/>
              <w:rPr>
                <w:rFonts w:ascii="Times New Roman" w:hAnsi="Times New Roman"/>
                <w:bCs/>
                <w:noProof/>
                <w:sz w:val="24"/>
              </w:rPr>
            </w:pPr>
            <w:r>
              <w:rPr>
                <w:rFonts w:ascii="Times New Roman" w:hAnsi="Times New Roman"/>
                <w:bCs/>
                <w:noProof/>
                <w:sz w:val="24"/>
              </w:rPr>
              <w:t>Grants for joint actions</w:t>
            </w:r>
          </w:p>
        </w:tc>
        <w:tc>
          <w:tcPr>
            <w:tcW w:w="2551" w:type="dxa"/>
            <w:noWrap/>
          </w:tcPr>
          <w:p w:rsidR="00764095" w:rsidRDefault="00F75A5B">
            <w:pPr>
              <w:jc w:val="right"/>
              <w:rPr>
                <w:rFonts w:ascii="Times New Roman" w:hAnsi="Times New Roman"/>
                <w:bCs/>
                <w:noProof/>
                <w:sz w:val="24"/>
              </w:rPr>
            </w:pPr>
            <w:r>
              <w:rPr>
                <w:rFonts w:ascii="Times New Roman" w:hAnsi="Times New Roman"/>
                <w:bCs/>
                <w:noProof/>
                <w:sz w:val="24"/>
              </w:rPr>
              <w:t>13 438 643.00</w:t>
            </w:r>
          </w:p>
        </w:tc>
        <w:tc>
          <w:tcPr>
            <w:tcW w:w="1985" w:type="dxa"/>
            <w:shd w:val="clear" w:color="auto" w:fill="auto"/>
            <w:noWrap/>
          </w:tcPr>
          <w:p w:rsidR="00764095" w:rsidRDefault="00F75A5B">
            <w:pPr>
              <w:tabs>
                <w:tab w:val="decimal" w:pos="792"/>
              </w:tabs>
              <w:jc w:val="right"/>
              <w:rPr>
                <w:rFonts w:ascii="Times New Roman" w:hAnsi="Times New Roman"/>
                <w:noProof/>
                <w:sz w:val="24"/>
              </w:rPr>
            </w:pPr>
            <w:r>
              <w:rPr>
                <w:rFonts w:ascii="Times New Roman" w:hAnsi="Times New Roman"/>
                <w:noProof/>
                <w:sz w:val="24"/>
              </w:rPr>
              <w:t>26</w:t>
            </w:r>
            <w:r>
              <w:rPr>
                <w:rFonts w:ascii="Times New Roman" w:hAnsi="Times New Roman"/>
                <w:noProof/>
                <w:w w:val="50"/>
                <w:sz w:val="24"/>
              </w:rPr>
              <w:t> </w:t>
            </w:r>
            <w:r>
              <w:rPr>
                <w:rFonts w:ascii="Times New Roman" w:hAnsi="Times New Roman"/>
                <w:noProof/>
                <w:sz w:val="24"/>
              </w:rPr>
              <w:t>%</w:t>
            </w:r>
          </w:p>
        </w:tc>
      </w:tr>
      <w:tr w:rsidR="00764095">
        <w:trPr>
          <w:trHeight w:val="340"/>
        </w:trPr>
        <w:tc>
          <w:tcPr>
            <w:tcW w:w="4361" w:type="dxa"/>
            <w:noWrap/>
          </w:tcPr>
          <w:p w:rsidR="00764095" w:rsidRDefault="00F75A5B">
            <w:pPr>
              <w:jc w:val="both"/>
              <w:rPr>
                <w:rFonts w:ascii="Times New Roman" w:hAnsi="Times New Roman"/>
                <w:b/>
                <w:bCs/>
                <w:noProof/>
                <w:sz w:val="24"/>
              </w:rPr>
            </w:pPr>
            <w:r>
              <w:rPr>
                <w:rFonts w:ascii="Times New Roman" w:hAnsi="Times New Roman"/>
                <w:b/>
                <w:bCs/>
                <w:noProof/>
                <w:sz w:val="24"/>
              </w:rPr>
              <w:t>Direct grant agreements</w:t>
            </w:r>
          </w:p>
        </w:tc>
        <w:tc>
          <w:tcPr>
            <w:tcW w:w="2551" w:type="dxa"/>
            <w:noWrap/>
          </w:tcPr>
          <w:p w:rsidR="00764095" w:rsidRDefault="00F75A5B">
            <w:pPr>
              <w:jc w:val="right"/>
              <w:rPr>
                <w:rFonts w:ascii="Times New Roman" w:hAnsi="Times New Roman"/>
                <w:b/>
                <w:bCs/>
                <w:noProof/>
                <w:sz w:val="24"/>
              </w:rPr>
            </w:pPr>
            <w:r>
              <w:rPr>
                <w:rFonts w:ascii="Times New Roman" w:hAnsi="Times New Roman"/>
                <w:b/>
                <w:bCs/>
                <w:noProof/>
                <w:sz w:val="24"/>
              </w:rPr>
              <w:t>1 100 000.00</w:t>
            </w:r>
          </w:p>
        </w:tc>
        <w:tc>
          <w:tcPr>
            <w:tcW w:w="1985" w:type="dxa"/>
            <w:shd w:val="clear" w:color="auto" w:fill="auto"/>
            <w:noWrap/>
          </w:tcPr>
          <w:p w:rsidR="00764095" w:rsidRDefault="00F75A5B">
            <w:pPr>
              <w:tabs>
                <w:tab w:val="decimal" w:pos="792"/>
              </w:tabs>
              <w:jc w:val="right"/>
              <w:rPr>
                <w:rFonts w:ascii="Times New Roman" w:hAnsi="Times New Roman"/>
                <w:b/>
                <w:noProof/>
                <w:sz w:val="24"/>
              </w:rPr>
            </w:pPr>
            <w:r>
              <w:rPr>
                <w:rFonts w:ascii="Times New Roman" w:hAnsi="Times New Roman"/>
                <w:b/>
                <w:noProof/>
                <w:sz w:val="24"/>
              </w:rPr>
              <w:t>2</w:t>
            </w:r>
            <w:r>
              <w:rPr>
                <w:rFonts w:ascii="Times New Roman" w:hAnsi="Times New Roman"/>
                <w:b/>
                <w:noProof/>
                <w:w w:val="50"/>
                <w:sz w:val="24"/>
              </w:rPr>
              <w:t> </w:t>
            </w:r>
            <w:r>
              <w:rPr>
                <w:rFonts w:ascii="Times New Roman" w:hAnsi="Times New Roman"/>
                <w:b/>
                <w:noProof/>
                <w:sz w:val="24"/>
              </w:rPr>
              <w:t>%</w:t>
            </w:r>
          </w:p>
        </w:tc>
      </w:tr>
      <w:tr w:rsidR="00764095">
        <w:trPr>
          <w:trHeight w:val="631"/>
        </w:trPr>
        <w:tc>
          <w:tcPr>
            <w:tcW w:w="4361" w:type="dxa"/>
            <w:noWrap/>
            <w:vAlign w:val="bottom"/>
          </w:tcPr>
          <w:p w:rsidR="00764095" w:rsidRDefault="00F75A5B">
            <w:pPr>
              <w:jc w:val="both"/>
              <w:rPr>
                <w:rFonts w:ascii="Times New Roman" w:hAnsi="Times New Roman"/>
                <w:b/>
                <w:bCs/>
                <w:noProof/>
                <w:sz w:val="24"/>
              </w:rPr>
            </w:pPr>
            <w:r>
              <w:rPr>
                <w:rFonts w:ascii="Times New Roman" w:hAnsi="Times New Roman"/>
                <w:b/>
                <w:bCs/>
                <w:noProof/>
                <w:sz w:val="24"/>
              </w:rPr>
              <w:t>Procurement (service contracts)</w:t>
            </w:r>
          </w:p>
        </w:tc>
        <w:tc>
          <w:tcPr>
            <w:tcW w:w="2551" w:type="dxa"/>
            <w:noWrap/>
            <w:vAlign w:val="bottom"/>
          </w:tcPr>
          <w:p w:rsidR="00764095" w:rsidRDefault="00F75A5B">
            <w:pPr>
              <w:jc w:val="right"/>
              <w:rPr>
                <w:rFonts w:ascii="Times New Roman" w:hAnsi="Times New Roman"/>
                <w:b/>
                <w:bCs/>
                <w:noProof/>
                <w:sz w:val="24"/>
              </w:rPr>
            </w:pPr>
            <w:r>
              <w:rPr>
                <w:rFonts w:ascii="Times New Roman" w:hAnsi="Times New Roman"/>
                <w:b/>
                <w:bCs/>
                <w:noProof/>
                <w:sz w:val="24"/>
              </w:rPr>
              <w:t>11 485 709.46</w:t>
            </w:r>
          </w:p>
        </w:tc>
        <w:tc>
          <w:tcPr>
            <w:tcW w:w="1985" w:type="dxa"/>
            <w:shd w:val="clear" w:color="auto" w:fill="auto"/>
            <w:noWrap/>
            <w:vAlign w:val="bottom"/>
          </w:tcPr>
          <w:p w:rsidR="00764095" w:rsidRDefault="00F75A5B">
            <w:pPr>
              <w:tabs>
                <w:tab w:val="decimal" w:pos="792"/>
              </w:tabs>
              <w:jc w:val="right"/>
              <w:rPr>
                <w:rFonts w:ascii="Times New Roman" w:hAnsi="Times New Roman"/>
                <w:b/>
                <w:noProof/>
                <w:sz w:val="24"/>
              </w:rPr>
            </w:pPr>
            <w:r>
              <w:rPr>
                <w:rFonts w:ascii="Times New Roman" w:hAnsi="Times New Roman"/>
                <w:b/>
                <w:noProof/>
                <w:sz w:val="24"/>
              </w:rPr>
              <w:t>22</w:t>
            </w:r>
            <w:r>
              <w:rPr>
                <w:rFonts w:ascii="Times New Roman" w:hAnsi="Times New Roman"/>
                <w:b/>
                <w:noProof/>
                <w:w w:val="50"/>
                <w:sz w:val="24"/>
              </w:rPr>
              <w:t> </w:t>
            </w:r>
            <w:r>
              <w:rPr>
                <w:rFonts w:ascii="Times New Roman" w:hAnsi="Times New Roman"/>
                <w:b/>
                <w:noProof/>
                <w:sz w:val="24"/>
              </w:rPr>
              <w:t>%</w:t>
            </w:r>
          </w:p>
        </w:tc>
      </w:tr>
      <w:tr w:rsidR="00764095">
        <w:trPr>
          <w:trHeight w:val="340"/>
        </w:trPr>
        <w:tc>
          <w:tcPr>
            <w:tcW w:w="4361" w:type="dxa"/>
            <w:shd w:val="clear" w:color="auto" w:fill="FFFFFF"/>
            <w:noWrap/>
            <w:vAlign w:val="bottom"/>
          </w:tcPr>
          <w:p w:rsidR="00764095" w:rsidRDefault="00F75A5B">
            <w:pPr>
              <w:jc w:val="right"/>
              <w:rPr>
                <w:rFonts w:ascii="Times New Roman" w:hAnsi="Times New Roman"/>
                <w:b/>
                <w:bCs/>
                <w:i/>
                <w:noProof/>
                <w:szCs w:val="20"/>
              </w:rPr>
            </w:pPr>
            <w:r>
              <w:rPr>
                <w:rFonts w:ascii="Times New Roman" w:hAnsi="Times New Roman"/>
                <w:b/>
                <w:bCs/>
                <w:i/>
                <w:noProof/>
                <w:szCs w:val="20"/>
              </w:rPr>
              <w:t>Managed by EAHC</w:t>
            </w:r>
          </w:p>
        </w:tc>
        <w:tc>
          <w:tcPr>
            <w:tcW w:w="2551" w:type="dxa"/>
            <w:shd w:val="clear" w:color="auto" w:fill="FFFFFF"/>
            <w:noWrap/>
            <w:vAlign w:val="bottom"/>
          </w:tcPr>
          <w:p w:rsidR="00764095" w:rsidRDefault="00F75A5B">
            <w:pPr>
              <w:jc w:val="right"/>
              <w:rPr>
                <w:rFonts w:ascii="Times New Roman" w:hAnsi="Times New Roman"/>
                <w:noProof/>
                <w:color w:val="000000"/>
                <w:sz w:val="24"/>
              </w:rPr>
            </w:pPr>
            <w:r>
              <w:rPr>
                <w:rFonts w:ascii="Times New Roman" w:hAnsi="Times New Roman"/>
                <w:bCs/>
                <w:noProof/>
                <w:sz w:val="24"/>
              </w:rPr>
              <w:t xml:space="preserve">6 107 </w:t>
            </w:r>
            <w:r>
              <w:rPr>
                <w:rFonts w:ascii="Times New Roman" w:hAnsi="Times New Roman"/>
                <w:bCs/>
                <w:noProof/>
                <w:sz w:val="24"/>
              </w:rPr>
              <w:t>377.04</w:t>
            </w:r>
          </w:p>
        </w:tc>
        <w:tc>
          <w:tcPr>
            <w:tcW w:w="1985" w:type="dxa"/>
            <w:shd w:val="clear" w:color="auto" w:fill="FFFFFF"/>
            <w:noWrap/>
            <w:vAlign w:val="bottom"/>
          </w:tcPr>
          <w:p w:rsidR="00764095" w:rsidRDefault="00F75A5B">
            <w:pPr>
              <w:tabs>
                <w:tab w:val="decimal" w:pos="792"/>
              </w:tabs>
              <w:jc w:val="right"/>
              <w:rPr>
                <w:rFonts w:ascii="Times New Roman" w:hAnsi="Times New Roman"/>
                <w:noProof/>
                <w:sz w:val="24"/>
              </w:rPr>
            </w:pPr>
            <w:r>
              <w:rPr>
                <w:rFonts w:ascii="Times New Roman" w:hAnsi="Times New Roman"/>
                <w:noProof/>
                <w:sz w:val="24"/>
              </w:rPr>
              <w:t>12</w:t>
            </w:r>
            <w:r>
              <w:rPr>
                <w:rFonts w:ascii="Times New Roman" w:hAnsi="Times New Roman"/>
                <w:noProof/>
                <w:w w:val="50"/>
                <w:sz w:val="24"/>
              </w:rPr>
              <w:t> </w:t>
            </w:r>
            <w:r>
              <w:rPr>
                <w:rFonts w:ascii="Times New Roman" w:hAnsi="Times New Roman"/>
                <w:noProof/>
                <w:sz w:val="24"/>
              </w:rPr>
              <w:t>%</w:t>
            </w:r>
          </w:p>
        </w:tc>
      </w:tr>
      <w:tr w:rsidR="00764095">
        <w:trPr>
          <w:trHeight w:val="340"/>
        </w:trPr>
        <w:tc>
          <w:tcPr>
            <w:tcW w:w="4361" w:type="dxa"/>
            <w:shd w:val="clear" w:color="auto" w:fill="FFFFFF"/>
            <w:noWrap/>
            <w:vAlign w:val="bottom"/>
          </w:tcPr>
          <w:p w:rsidR="00764095" w:rsidRDefault="00F75A5B">
            <w:pPr>
              <w:jc w:val="right"/>
              <w:rPr>
                <w:rFonts w:ascii="Times New Roman" w:hAnsi="Times New Roman"/>
                <w:b/>
                <w:bCs/>
                <w:i/>
                <w:noProof/>
                <w:szCs w:val="20"/>
              </w:rPr>
            </w:pPr>
            <w:r>
              <w:rPr>
                <w:rFonts w:ascii="Times New Roman" w:hAnsi="Times New Roman"/>
                <w:b/>
                <w:bCs/>
                <w:i/>
                <w:noProof/>
                <w:szCs w:val="20"/>
              </w:rPr>
              <w:t>Managed by DG SANCO</w:t>
            </w:r>
          </w:p>
        </w:tc>
        <w:tc>
          <w:tcPr>
            <w:tcW w:w="2551" w:type="dxa"/>
            <w:shd w:val="clear" w:color="auto" w:fill="FFFFFF"/>
            <w:noWrap/>
            <w:vAlign w:val="bottom"/>
          </w:tcPr>
          <w:p w:rsidR="00764095" w:rsidRDefault="00F75A5B">
            <w:pPr>
              <w:jc w:val="right"/>
              <w:rPr>
                <w:rFonts w:ascii="Times New Roman" w:hAnsi="Times New Roman"/>
                <w:noProof/>
                <w:color w:val="000000"/>
                <w:sz w:val="24"/>
              </w:rPr>
            </w:pPr>
            <w:r>
              <w:rPr>
                <w:rFonts w:ascii="Times New Roman" w:hAnsi="Times New Roman"/>
                <w:noProof/>
                <w:color w:val="000000"/>
                <w:sz w:val="24"/>
              </w:rPr>
              <w:t>5 378 332.42</w:t>
            </w:r>
          </w:p>
        </w:tc>
        <w:tc>
          <w:tcPr>
            <w:tcW w:w="1985" w:type="dxa"/>
            <w:shd w:val="clear" w:color="auto" w:fill="FFFFFF"/>
            <w:noWrap/>
            <w:vAlign w:val="bottom"/>
          </w:tcPr>
          <w:p w:rsidR="00764095" w:rsidRDefault="00F75A5B">
            <w:pPr>
              <w:tabs>
                <w:tab w:val="decimal" w:pos="792"/>
              </w:tabs>
              <w:jc w:val="right"/>
              <w:rPr>
                <w:rFonts w:ascii="Times New Roman" w:hAnsi="Times New Roman"/>
                <w:noProof/>
                <w:sz w:val="24"/>
              </w:rPr>
            </w:pPr>
            <w:r>
              <w:rPr>
                <w:rFonts w:ascii="Times New Roman" w:hAnsi="Times New Roman"/>
                <w:noProof/>
                <w:sz w:val="24"/>
              </w:rPr>
              <w:t>10</w:t>
            </w:r>
            <w:r>
              <w:rPr>
                <w:rFonts w:ascii="Times New Roman" w:hAnsi="Times New Roman"/>
                <w:noProof/>
                <w:w w:val="50"/>
                <w:sz w:val="24"/>
              </w:rPr>
              <w:t> </w:t>
            </w:r>
            <w:r>
              <w:rPr>
                <w:rFonts w:ascii="Times New Roman" w:hAnsi="Times New Roman"/>
                <w:noProof/>
                <w:sz w:val="24"/>
              </w:rPr>
              <w:t>%</w:t>
            </w:r>
          </w:p>
        </w:tc>
      </w:tr>
      <w:tr w:rsidR="00764095">
        <w:trPr>
          <w:trHeight w:val="517"/>
        </w:trPr>
        <w:tc>
          <w:tcPr>
            <w:tcW w:w="4361" w:type="dxa"/>
            <w:shd w:val="clear" w:color="auto" w:fill="auto"/>
            <w:noWrap/>
          </w:tcPr>
          <w:p w:rsidR="00764095" w:rsidRDefault="00F75A5B">
            <w:pPr>
              <w:rPr>
                <w:rFonts w:ascii="Times New Roman" w:hAnsi="Times New Roman"/>
                <w:b/>
                <w:bCs/>
                <w:noProof/>
                <w:sz w:val="24"/>
              </w:rPr>
            </w:pPr>
            <w:r>
              <w:rPr>
                <w:rFonts w:ascii="Times New Roman" w:hAnsi="Times New Roman"/>
                <w:b/>
                <w:bCs/>
                <w:noProof/>
                <w:sz w:val="24"/>
              </w:rPr>
              <w:t xml:space="preserve">Other actions </w:t>
            </w:r>
          </w:p>
        </w:tc>
        <w:tc>
          <w:tcPr>
            <w:tcW w:w="2551" w:type="dxa"/>
            <w:shd w:val="clear" w:color="auto" w:fill="auto"/>
            <w:noWrap/>
          </w:tcPr>
          <w:p w:rsidR="00764095" w:rsidRDefault="00F75A5B">
            <w:pPr>
              <w:jc w:val="right"/>
              <w:rPr>
                <w:rFonts w:ascii="Times New Roman" w:hAnsi="Times New Roman"/>
                <w:b/>
                <w:noProof/>
                <w:color w:val="000000"/>
                <w:sz w:val="24"/>
              </w:rPr>
            </w:pPr>
            <w:r>
              <w:rPr>
                <w:rFonts w:ascii="Times New Roman" w:hAnsi="Times New Roman"/>
                <w:b/>
                <w:noProof/>
                <w:color w:val="000000"/>
                <w:sz w:val="24"/>
              </w:rPr>
              <w:t>4 321 656.57</w:t>
            </w:r>
          </w:p>
          <w:p w:rsidR="00764095" w:rsidRDefault="00764095">
            <w:pPr>
              <w:jc w:val="right"/>
              <w:rPr>
                <w:rFonts w:ascii="Times New Roman" w:hAnsi="Times New Roman"/>
                <w:b/>
                <w:noProof/>
                <w:sz w:val="24"/>
              </w:rPr>
            </w:pPr>
          </w:p>
        </w:tc>
        <w:tc>
          <w:tcPr>
            <w:tcW w:w="1985" w:type="dxa"/>
            <w:shd w:val="clear" w:color="auto" w:fill="auto"/>
            <w:noWrap/>
          </w:tcPr>
          <w:p w:rsidR="00764095" w:rsidRDefault="00F75A5B">
            <w:pPr>
              <w:tabs>
                <w:tab w:val="decimal" w:pos="792"/>
              </w:tabs>
              <w:jc w:val="right"/>
              <w:rPr>
                <w:rFonts w:ascii="Times New Roman" w:hAnsi="Times New Roman"/>
                <w:b/>
                <w:noProof/>
                <w:sz w:val="24"/>
              </w:rPr>
            </w:pPr>
            <w:r>
              <w:rPr>
                <w:rFonts w:ascii="Times New Roman" w:hAnsi="Times New Roman"/>
                <w:b/>
                <w:noProof/>
                <w:sz w:val="24"/>
              </w:rPr>
              <w:t>8</w:t>
            </w:r>
            <w:r>
              <w:rPr>
                <w:rFonts w:ascii="Times New Roman" w:hAnsi="Times New Roman"/>
                <w:b/>
                <w:noProof/>
                <w:w w:val="50"/>
                <w:sz w:val="24"/>
              </w:rPr>
              <w:t> </w:t>
            </w:r>
            <w:r>
              <w:rPr>
                <w:rFonts w:ascii="Times New Roman" w:hAnsi="Times New Roman"/>
                <w:b/>
                <w:noProof/>
                <w:sz w:val="24"/>
              </w:rPr>
              <w:t>%</w:t>
            </w:r>
          </w:p>
        </w:tc>
      </w:tr>
      <w:tr w:rsidR="00764095">
        <w:trPr>
          <w:trHeight w:val="340"/>
        </w:trPr>
        <w:tc>
          <w:tcPr>
            <w:tcW w:w="4361" w:type="dxa"/>
            <w:shd w:val="clear" w:color="auto" w:fill="auto"/>
            <w:noWrap/>
          </w:tcPr>
          <w:p w:rsidR="00764095" w:rsidRDefault="00F75A5B">
            <w:pPr>
              <w:jc w:val="both"/>
              <w:rPr>
                <w:rFonts w:ascii="Times New Roman" w:hAnsi="Times New Roman"/>
                <w:b/>
                <w:bCs/>
                <w:noProof/>
                <w:sz w:val="24"/>
              </w:rPr>
            </w:pPr>
            <w:r>
              <w:rPr>
                <w:rFonts w:ascii="Times New Roman" w:hAnsi="Times New Roman"/>
                <w:b/>
                <w:bCs/>
                <w:noProof/>
                <w:sz w:val="24"/>
              </w:rPr>
              <w:t>Executed budget in 2013</w:t>
            </w:r>
          </w:p>
        </w:tc>
        <w:tc>
          <w:tcPr>
            <w:tcW w:w="2551" w:type="dxa"/>
            <w:shd w:val="clear" w:color="auto" w:fill="auto"/>
            <w:noWrap/>
          </w:tcPr>
          <w:p w:rsidR="00764095" w:rsidRDefault="00F75A5B">
            <w:pPr>
              <w:jc w:val="right"/>
              <w:rPr>
                <w:rFonts w:ascii="Times New Roman" w:hAnsi="Times New Roman"/>
                <w:b/>
                <w:bCs/>
                <w:noProof/>
                <w:sz w:val="24"/>
              </w:rPr>
            </w:pPr>
            <w:r>
              <w:rPr>
                <w:rFonts w:ascii="Times New Roman" w:hAnsi="Times New Roman"/>
                <w:b/>
                <w:bCs/>
                <w:noProof/>
                <w:sz w:val="24"/>
              </w:rPr>
              <w:t xml:space="preserve">51 579 470.63 </w:t>
            </w:r>
          </w:p>
        </w:tc>
        <w:tc>
          <w:tcPr>
            <w:tcW w:w="1985" w:type="dxa"/>
            <w:shd w:val="clear" w:color="auto" w:fill="auto"/>
            <w:noWrap/>
          </w:tcPr>
          <w:p w:rsidR="00764095" w:rsidRDefault="00F75A5B">
            <w:pPr>
              <w:tabs>
                <w:tab w:val="decimal" w:pos="792"/>
              </w:tabs>
              <w:jc w:val="right"/>
              <w:rPr>
                <w:rFonts w:ascii="Times New Roman" w:hAnsi="Times New Roman"/>
                <w:b/>
                <w:noProof/>
                <w:sz w:val="24"/>
              </w:rPr>
            </w:pPr>
            <w:r>
              <w:rPr>
                <w:rFonts w:ascii="Times New Roman" w:hAnsi="Times New Roman"/>
                <w:b/>
                <w:noProof/>
                <w:sz w:val="24"/>
              </w:rPr>
              <w:t>100</w:t>
            </w:r>
            <w:r>
              <w:rPr>
                <w:rFonts w:ascii="Times New Roman" w:hAnsi="Times New Roman"/>
                <w:b/>
                <w:noProof/>
                <w:w w:val="50"/>
                <w:sz w:val="24"/>
              </w:rPr>
              <w:t> </w:t>
            </w:r>
            <w:r>
              <w:rPr>
                <w:rFonts w:ascii="Times New Roman" w:hAnsi="Times New Roman"/>
                <w:b/>
                <w:noProof/>
                <w:sz w:val="24"/>
              </w:rPr>
              <w:t>%</w:t>
            </w:r>
          </w:p>
        </w:tc>
      </w:tr>
      <w:tr w:rsidR="00764095">
        <w:trPr>
          <w:trHeight w:val="340"/>
        </w:trPr>
        <w:tc>
          <w:tcPr>
            <w:tcW w:w="4361" w:type="dxa"/>
            <w:shd w:val="clear" w:color="auto" w:fill="auto"/>
            <w:noWrap/>
          </w:tcPr>
          <w:p w:rsidR="00764095" w:rsidRDefault="00F75A5B">
            <w:pPr>
              <w:jc w:val="both"/>
              <w:rPr>
                <w:rFonts w:ascii="Times New Roman" w:hAnsi="Times New Roman"/>
                <w:b/>
                <w:bCs/>
                <w:noProof/>
                <w:sz w:val="24"/>
              </w:rPr>
            </w:pPr>
            <w:r>
              <w:rPr>
                <w:rFonts w:ascii="Times New Roman" w:hAnsi="Times New Roman"/>
                <w:b/>
                <w:bCs/>
                <w:noProof/>
                <w:sz w:val="24"/>
              </w:rPr>
              <w:t>Total available budget</w:t>
            </w:r>
          </w:p>
        </w:tc>
        <w:tc>
          <w:tcPr>
            <w:tcW w:w="2551" w:type="dxa"/>
            <w:shd w:val="clear" w:color="auto" w:fill="auto"/>
            <w:noWrap/>
          </w:tcPr>
          <w:p w:rsidR="00764095" w:rsidRDefault="00F75A5B">
            <w:pPr>
              <w:jc w:val="right"/>
              <w:rPr>
                <w:rFonts w:ascii="Times New Roman" w:hAnsi="Times New Roman"/>
                <w:b/>
                <w:bCs/>
                <w:noProof/>
                <w:sz w:val="24"/>
              </w:rPr>
            </w:pPr>
            <w:r>
              <w:rPr>
                <w:rFonts w:ascii="Times New Roman" w:hAnsi="Times New Roman"/>
                <w:b/>
                <w:bCs/>
                <w:noProof/>
                <w:sz w:val="24"/>
              </w:rPr>
              <w:t>51 924 359.33</w:t>
            </w:r>
          </w:p>
        </w:tc>
        <w:tc>
          <w:tcPr>
            <w:tcW w:w="1985" w:type="dxa"/>
            <w:shd w:val="clear" w:color="auto" w:fill="auto"/>
            <w:noWrap/>
          </w:tcPr>
          <w:p w:rsidR="00764095" w:rsidRDefault="00764095">
            <w:pPr>
              <w:jc w:val="both"/>
              <w:rPr>
                <w:rFonts w:ascii="Times New Roman" w:hAnsi="Times New Roman"/>
                <w:noProof/>
                <w:sz w:val="24"/>
              </w:rPr>
            </w:pPr>
          </w:p>
        </w:tc>
      </w:tr>
      <w:tr w:rsidR="00764095">
        <w:trPr>
          <w:trHeight w:val="255"/>
        </w:trPr>
        <w:tc>
          <w:tcPr>
            <w:tcW w:w="4361" w:type="dxa"/>
            <w:shd w:val="clear" w:color="auto" w:fill="auto"/>
            <w:noWrap/>
          </w:tcPr>
          <w:p w:rsidR="00764095" w:rsidRDefault="00F75A5B">
            <w:pPr>
              <w:jc w:val="both"/>
              <w:rPr>
                <w:rFonts w:ascii="Times New Roman" w:hAnsi="Times New Roman"/>
                <w:bCs/>
                <w:noProof/>
                <w:sz w:val="24"/>
              </w:rPr>
            </w:pPr>
            <w:r>
              <w:rPr>
                <w:rFonts w:ascii="Times New Roman" w:hAnsi="Times New Roman"/>
                <w:b/>
                <w:bCs/>
                <w:noProof/>
                <w:sz w:val="24"/>
              </w:rPr>
              <w:t>Credits not used</w:t>
            </w:r>
            <w:r>
              <w:rPr>
                <w:rStyle w:val="FootnoteReference"/>
                <w:rFonts w:ascii="Times New Roman" w:hAnsi="Times New Roman"/>
                <w:b/>
                <w:bCs/>
                <w:noProof/>
                <w:sz w:val="24"/>
              </w:rPr>
              <w:footnoteReference w:id="8"/>
            </w:r>
            <w:r>
              <w:rPr>
                <w:rFonts w:ascii="Times New Roman" w:hAnsi="Times New Roman"/>
                <w:bCs/>
                <w:noProof/>
                <w:sz w:val="24"/>
              </w:rPr>
              <w:t xml:space="preserve"> </w:t>
            </w:r>
          </w:p>
        </w:tc>
        <w:tc>
          <w:tcPr>
            <w:tcW w:w="2551" w:type="dxa"/>
            <w:shd w:val="clear" w:color="auto" w:fill="auto"/>
            <w:noWrap/>
          </w:tcPr>
          <w:p w:rsidR="00764095" w:rsidRDefault="00F75A5B">
            <w:pPr>
              <w:jc w:val="right"/>
              <w:rPr>
                <w:rFonts w:ascii="Times New Roman" w:hAnsi="Times New Roman"/>
                <w:b/>
                <w:noProof/>
                <w:sz w:val="24"/>
              </w:rPr>
            </w:pPr>
            <w:r>
              <w:rPr>
                <w:rFonts w:ascii="Times New Roman" w:hAnsi="Times New Roman"/>
                <w:b/>
                <w:noProof/>
                <w:sz w:val="24"/>
              </w:rPr>
              <w:t>344 888.70</w:t>
            </w:r>
          </w:p>
        </w:tc>
        <w:tc>
          <w:tcPr>
            <w:tcW w:w="1985" w:type="dxa"/>
            <w:shd w:val="clear" w:color="auto" w:fill="auto"/>
            <w:noWrap/>
          </w:tcPr>
          <w:p w:rsidR="00764095" w:rsidRDefault="00764095">
            <w:pPr>
              <w:jc w:val="both"/>
              <w:rPr>
                <w:rFonts w:ascii="Times New Roman" w:hAnsi="Times New Roman"/>
                <w:noProof/>
                <w:sz w:val="24"/>
              </w:rPr>
            </w:pPr>
          </w:p>
        </w:tc>
      </w:tr>
      <w:tr w:rsidR="00764095">
        <w:trPr>
          <w:trHeight w:val="255"/>
        </w:trPr>
        <w:tc>
          <w:tcPr>
            <w:tcW w:w="4361" w:type="dxa"/>
            <w:shd w:val="clear" w:color="auto" w:fill="auto"/>
            <w:noWrap/>
          </w:tcPr>
          <w:p w:rsidR="00764095" w:rsidRDefault="00F75A5B">
            <w:pPr>
              <w:jc w:val="both"/>
              <w:rPr>
                <w:rFonts w:ascii="Times New Roman" w:hAnsi="Times New Roman"/>
                <w:b/>
                <w:bCs/>
                <w:noProof/>
                <w:sz w:val="24"/>
              </w:rPr>
            </w:pPr>
            <w:r>
              <w:rPr>
                <w:rFonts w:ascii="Times New Roman" w:hAnsi="Times New Roman"/>
                <w:b/>
                <w:bCs/>
                <w:noProof/>
                <w:sz w:val="24"/>
              </w:rPr>
              <w:t>Level of budget execution</w:t>
            </w:r>
          </w:p>
        </w:tc>
        <w:tc>
          <w:tcPr>
            <w:tcW w:w="2551" w:type="dxa"/>
            <w:shd w:val="clear" w:color="auto" w:fill="auto"/>
            <w:noWrap/>
          </w:tcPr>
          <w:p w:rsidR="00764095" w:rsidRDefault="00F75A5B">
            <w:pPr>
              <w:jc w:val="right"/>
              <w:rPr>
                <w:rFonts w:ascii="Times New Roman" w:hAnsi="Times New Roman"/>
                <w:b/>
                <w:noProof/>
                <w:sz w:val="24"/>
              </w:rPr>
            </w:pPr>
            <w:r>
              <w:rPr>
                <w:rFonts w:ascii="Times New Roman" w:hAnsi="Times New Roman"/>
                <w:b/>
                <w:noProof/>
                <w:sz w:val="24"/>
              </w:rPr>
              <w:t>99.33</w:t>
            </w:r>
            <w:r>
              <w:rPr>
                <w:rFonts w:ascii="Times New Roman" w:hAnsi="Times New Roman"/>
                <w:b/>
                <w:noProof/>
                <w:w w:val="50"/>
                <w:sz w:val="24"/>
              </w:rPr>
              <w:t> </w:t>
            </w:r>
            <w:r>
              <w:rPr>
                <w:rFonts w:ascii="Times New Roman" w:hAnsi="Times New Roman"/>
                <w:b/>
                <w:noProof/>
                <w:sz w:val="24"/>
              </w:rPr>
              <w:t>%</w:t>
            </w:r>
          </w:p>
        </w:tc>
        <w:tc>
          <w:tcPr>
            <w:tcW w:w="1985" w:type="dxa"/>
            <w:shd w:val="clear" w:color="auto" w:fill="auto"/>
            <w:noWrap/>
          </w:tcPr>
          <w:p w:rsidR="00764095" w:rsidRDefault="00764095">
            <w:pPr>
              <w:jc w:val="both"/>
              <w:rPr>
                <w:rFonts w:ascii="Times New Roman" w:hAnsi="Times New Roman"/>
                <w:b/>
                <w:noProof/>
                <w:sz w:val="24"/>
              </w:rPr>
            </w:pPr>
          </w:p>
        </w:tc>
      </w:tr>
    </w:tbl>
    <w:p w:rsidR="00764095" w:rsidRDefault="00764095">
      <w:pPr>
        <w:keepNext/>
        <w:spacing w:after="240" w:line="240" w:lineRule="auto"/>
        <w:ind w:left="567"/>
        <w:jc w:val="both"/>
        <w:outlineLvl w:val="1"/>
        <w:rPr>
          <w:rFonts w:ascii="Times New Roman" w:eastAsia="Times New Roman" w:hAnsi="Times New Roman"/>
          <w:bCs/>
          <w:iCs/>
          <w:noProof/>
          <w:sz w:val="24"/>
        </w:rPr>
      </w:pPr>
    </w:p>
    <w:p w:rsidR="00764095" w:rsidRDefault="00F75A5B">
      <w:pPr>
        <w:jc w:val="both"/>
        <w:rPr>
          <w:rFonts w:ascii="Times New Roman" w:eastAsia="Times New Roman" w:hAnsi="Times New Roman"/>
          <w:bCs/>
          <w:iCs/>
          <w:noProof/>
          <w:sz w:val="24"/>
        </w:rPr>
      </w:pPr>
      <w:r>
        <w:rPr>
          <w:rFonts w:ascii="Times New Roman" w:hAnsi="Times New Roman"/>
          <w:noProof/>
          <w:sz w:val="24"/>
        </w:rPr>
        <w:t xml:space="preserve">By way of </w:t>
      </w:r>
      <w:r>
        <w:rPr>
          <w:rFonts w:ascii="Times New Roman" w:hAnsi="Times New Roman"/>
          <w:noProof/>
          <w:sz w:val="24"/>
        </w:rPr>
        <w:t>comparison, project grants in 2012 amounted to EUR 15.7 million and grants for joint actions</w:t>
      </w:r>
      <w:r>
        <w:rPr>
          <w:rFonts w:ascii="Times New Roman" w:eastAsia="Times New Roman" w:hAnsi="Times New Roman"/>
          <w:bCs/>
          <w:iCs/>
          <w:noProof/>
          <w:sz w:val="24"/>
        </w:rPr>
        <w:t xml:space="preserve"> EUR 8.9 </w:t>
      </w:r>
      <w:r>
        <w:rPr>
          <w:rFonts w:ascii="Times New Roman" w:hAnsi="Times New Roman"/>
          <w:noProof/>
          <w:sz w:val="24"/>
        </w:rPr>
        <w:t xml:space="preserve">million. The budgets for other financing mechanisms are similar to </w:t>
      </w:r>
      <w:r>
        <w:rPr>
          <w:rFonts w:ascii="Times New Roman" w:hAnsi="Times New Roman"/>
          <w:noProof/>
          <w:sz w:val="24"/>
        </w:rPr>
        <w:lastRenderedPageBreak/>
        <w:t>those in 2012: conference grants</w:t>
      </w:r>
      <w:r>
        <w:rPr>
          <w:rFonts w:ascii="Times New Roman" w:eastAsia="Times New Roman" w:hAnsi="Times New Roman"/>
          <w:bCs/>
          <w:iCs/>
          <w:noProof/>
          <w:sz w:val="24"/>
        </w:rPr>
        <w:t xml:space="preserve"> EUR 0.75 million, operating grants EUR 4.3 million, d</w:t>
      </w:r>
      <w:r>
        <w:rPr>
          <w:rFonts w:ascii="Times New Roman" w:eastAsia="Times New Roman" w:hAnsi="Times New Roman"/>
          <w:bCs/>
          <w:iCs/>
          <w:noProof/>
        </w:rPr>
        <w:t xml:space="preserve">irect grants EUR 2.6 million, </w:t>
      </w:r>
      <w:r>
        <w:rPr>
          <w:rFonts w:ascii="Times New Roman" w:eastAsia="Times New Roman" w:hAnsi="Times New Roman"/>
          <w:bCs/>
          <w:iCs/>
          <w:noProof/>
          <w:sz w:val="24"/>
        </w:rPr>
        <w:t>and procurement EUR 14.2 million.</w:t>
      </w:r>
    </w:p>
    <w:p w:rsidR="00764095" w:rsidRDefault="00F75A5B">
      <w:pPr>
        <w:pStyle w:val="ManualHeading2"/>
        <w:rPr>
          <w:noProof/>
        </w:rPr>
      </w:pPr>
      <w:bookmarkStart w:id="16" w:name="_Toc388355512"/>
      <w:bookmarkStart w:id="17" w:name="_Toc389636405"/>
      <w:bookmarkStart w:id="18" w:name="_Toc390420266"/>
      <w:bookmarkStart w:id="19" w:name="_Toc404756132"/>
      <w:bookmarkStart w:id="20" w:name="_Toc408392858"/>
      <w:bookmarkStart w:id="21" w:name="_Toc417032403"/>
      <w:r>
        <w:t>1.4</w:t>
      </w:r>
      <w:r>
        <w:tab/>
      </w:r>
      <w:r>
        <w:rPr>
          <w:noProof/>
        </w:rPr>
        <w:t>Calls for proposals</w:t>
      </w:r>
      <w:bookmarkEnd w:id="16"/>
      <w:bookmarkEnd w:id="17"/>
      <w:bookmarkEnd w:id="18"/>
      <w:bookmarkEnd w:id="19"/>
      <w:bookmarkEnd w:id="20"/>
      <w:bookmarkEnd w:id="21"/>
    </w:p>
    <w:p w:rsidR="00764095" w:rsidRDefault="00F75A5B">
      <w:pPr>
        <w:jc w:val="both"/>
        <w:rPr>
          <w:rFonts w:ascii="Times New Roman" w:hAnsi="Times New Roman"/>
          <w:noProof/>
          <w:sz w:val="24"/>
        </w:rPr>
      </w:pPr>
      <w:r>
        <w:rPr>
          <w:rFonts w:ascii="Times New Roman" w:hAnsi="Times New Roman"/>
          <w:noProof/>
          <w:sz w:val="24"/>
        </w:rPr>
        <w:t>Four calls for proposals — for projects, conferences, operating grants and joint actions —were launched on 22 December 2012 on the Public Health website on EUROPA</w:t>
      </w:r>
      <w:r>
        <w:rPr>
          <w:rStyle w:val="FootnoteReference"/>
          <w:noProof/>
        </w:rPr>
        <w:footnoteReference w:id="9"/>
      </w:r>
      <w:r>
        <w:rPr>
          <w:rFonts w:ascii="Times New Roman" w:hAnsi="Times New Roman"/>
          <w:noProof/>
          <w:sz w:val="24"/>
        </w:rPr>
        <w:t xml:space="preserve"> and </w:t>
      </w:r>
      <w:r>
        <w:rPr>
          <w:rFonts w:ascii="Times New Roman" w:hAnsi="Times New Roman"/>
          <w:noProof/>
          <w:sz w:val="24"/>
        </w:rPr>
        <w:t>on the EAHC website.</w:t>
      </w:r>
      <w:r>
        <w:rPr>
          <w:rStyle w:val="FootnoteReference"/>
          <w:noProof/>
        </w:rPr>
        <w:footnoteReference w:id="10"/>
      </w:r>
      <w:r>
        <w:rPr>
          <w:rFonts w:ascii="Times New Roman" w:hAnsi="Times New Roman"/>
          <w:noProof/>
          <w:sz w:val="24"/>
        </w:rPr>
        <w:t xml:space="preserve"> The calls were also published in the Official Journal of the European Union.</w:t>
      </w:r>
      <w:r>
        <w:rPr>
          <w:rStyle w:val="FootnoteReference"/>
          <w:noProof/>
        </w:rPr>
        <w:footnoteReference w:id="11"/>
      </w:r>
      <w:r>
        <w:rPr>
          <w:rFonts w:ascii="Times New Roman" w:hAnsi="Times New Roman"/>
          <w:noProof/>
          <w:sz w:val="24"/>
        </w:rPr>
        <w:t xml:space="preserve"> The calls closed on 22 March 2013. Most applications were received from main partners in EU-15 Member States, who accounted for 82</w:t>
      </w:r>
      <w:r>
        <w:rPr>
          <w:rFonts w:ascii="Times New Roman" w:hAnsi="Times New Roman"/>
          <w:noProof/>
          <w:w w:val="50"/>
          <w:sz w:val="24"/>
        </w:rPr>
        <w:t> </w:t>
      </w:r>
      <w:r>
        <w:rPr>
          <w:rFonts w:ascii="Times New Roman" w:hAnsi="Times New Roman"/>
          <w:noProof/>
          <w:sz w:val="24"/>
        </w:rPr>
        <w:t>% of project applications</w:t>
      </w:r>
      <w:r>
        <w:rPr>
          <w:rFonts w:ascii="Times New Roman" w:hAnsi="Times New Roman"/>
          <w:noProof/>
          <w:sz w:val="24"/>
        </w:rPr>
        <w:t>, 80</w:t>
      </w:r>
      <w:r>
        <w:rPr>
          <w:rFonts w:ascii="Times New Roman" w:hAnsi="Times New Roman"/>
          <w:noProof/>
          <w:w w:val="50"/>
          <w:sz w:val="24"/>
        </w:rPr>
        <w:t> </w:t>
      </w:r>
      <w:r>
        <w:rPr>
          <w:rFonts w:ascii="Times New Roman" w:hAnsi="Times New Roman"/>
          <w:noProof/>
          <w:sz w:val="24"/>
        </w:rPr>
        <w:t>% of conference grant applications, 100</w:t>
      </w:r>
      <w:r>
        <w:rPr>
          <w:rFonts w:ascii="Times New Roman" w:hAnsi="Times New Roman"/>
          <w:noProof/>
          <w:w w:val="50"/>
          <w:sz w:val="24"/>
        </w:rPr>
        <w:t> </w:t>
      </w:r>
      <w:r>
        <w:rPr>
          <w:rFonts w:ascii="Times New Roman" w:hAnsi="Times New Roman"/>
          <w:noProof/>
          <w:sz w:val="24"/>
        </w:rPr>
        <w:t>% of operating grant applications, and four fifths of joint action applications.</w:t>
      </w:r>
    </w:p>
    <w:p w:rsidR="00764095" w:rsidRDefault="00F75A5B">
      <w:pPr>
        <w:jc w:val="both"/>
        <w:rPr>
          <w:rFonts w:ascii="Times New Roman" w:hAnsi="Times New Roman"/>
          <w:noProof/>
          <w:sz w:val="24"/>
        </w:rPr>
      </w:pPr>
      <w:r>
        <w:rPr>
          <w:rFonts w:ascii="Times New Roman" w:hAnsi="Times New Roman"/>
          <w:noProof/>
          <w:sz w:val="24"/>
        </w:rPr>
        <w:t>EAHC organised a joint action workshop in December 2012 and a joint action quality assurance workshop in February 2013. An informa</w:t>
      </w:r>
      <w:r>
        <w:rPr>
          <w:rFonts w:ascii="Times New Roman" w:hAnsi="Times New Roman"/>
          <w:noProof/>
          <w:sz w:val="24"/>
        </w:rPr>
        <w:t>tion day with a focus on the European innovation partnership on active and healthy ageing was organized in Brussels and, general information days in Italy and Greece. Guidelines for applicants were made available on the EAHC website. The EAHC helpdesk also</w:t>
      </w:r>
      <w:r>
        <w:rPr>
          <w:rFonts w:ascii="Times New Roman" w:hAnsi="Times New Roman"/>
          <w:noProof/>
          <w:sz w:val="24"/>
        </w:rPr>
        <w:t xml:space="preserve"> provided assistance and practical help.</w:t>
      </w:r>
    </w:p>
    <w:p w:rsidR="00764095" w:rsidRDefault="00F75A5B">
      <w:pPr>
        <w:jc w:val="both"/>
        <w:rPr>
          <w:rFonts w:ascii="Times New Roman" w:hAnsi="Times New Roman"/>
          <w:noProof/>
          <w:sz w:val="24"/>
        </w:rPr>
      </w:pPr>
      <w:r>
        <w:rPr>
          <w:rFonts w:ascii="Times New Roman" w:hAnsi="Times New Roman"/>
          <w:noProof/>
          <w:sz w:val="24"/>
        </w:rPr>
        <w:t>Altogether, 165 applications were submitted, for an amount totalling EUR 83 650 303. Of these, seven proposals were excluded in the screening phase. Out of the 158 remaining applications, 53 (32.9</w:t>
      </w:r>
      <w:r>
        <w:rPr>
          <w:rFonts w:ascii="Times New Roman" w:hAnsi="Times New Roman"/>
          <w:noProof/>
          <w:w w:val="50"/>
          <w:sz w:val="24"/>
        </w:rPr>
        <w:t> </w:t>
      </w:r>
      <w:r>
        <w:rPr>
          <w:rFonts w:ascii="Times New Roman" w:hAnsi="Times New Roman"/>
          <w:noProof/>
          <w:sz w:val="24"/>
        </w:rPr>
        <w:t>%) were funded. Ap</w:t>
      </w:r>
      <w:r>
        <w:rPr>
          <w:rFonts w:ascii="Times New Roman" w:hAnsi="Times New Roman"/>
          <w:noProof/>
          <w:sz w:val="24"/>
        </w:rPr>
        <w:t xml:space="preserve">plications were evaluated in accordance with the rules and criteria set out in Commission Implementing Decision </w:t>
      </w:r>
      <w:r>
        <w:rPr>
          <w:rFonts w:ascii="Times New Roman" w:hAnsi="Times New Roman"/>
          <w:noProof/>
          <w:sz w:val="24"/>
        </w:rPr>
        <w:br/>
        <w:t>2012/C 378/6 and the calls for proposals.</w:t>
      </w:r>
      <w:r>
        <w:rPr>
          <w:rStyle w:val="FootnoteReference"/>
          <w:noProof/>
        </w:rPr>
        <w:footnoteReference w:id="12"/>
      </w:r>
      <w:r>
        <w:rPr>
          <w:rFonts w:ascii="Times New Roman" w:hAnsi="Times New Roman"/>
          <w:noProof/>
          <w:sz w:val="24"/>
        </w:rPr>
        <w:t xml:space="preserve"> 32 external experts from 18 countries took part in the evaluation process. The experts were drawn fr</w:t>
      </w:r>
      <w:r>
        <w:rPr>
          <w:rFonts w:ascii="Times New Roman" w:hAnsi="Times New Roman"/>
          <w:noProof/>
          <w:sz w:val="24"/>
        </w:rPr>
        <w:t>om a list established following a call for expressions of interest entitled ‘Experts for the second programme of Community action in the field of health in various evaluation activities’.</w:t>
      </w:r>
      <w:r>
        <w:rPr>
          <w:rStyle w:val="FootnoteReference"/>
          <w:noProof/>
        </w:rPr>
        <w:footnoteReference w:id="13"/>
      </w:r>
    </w:p>
    <w:p w:rsidR="00764095" w:rsidRDefault="00F75A5B">
      <w:pPr>
        <w:jc w:val="both"/>
        <w:rPr>
          <w:rFonts w:ascii="Times New Roman" w:hAnsi="Times New Roman"/>
          <w:noProof/>
          <w:sz w:val="24"/>
        </w:rPr>
      </w:pPr>
      <w:r>
        <w:rPr>
          <w:rFonts w:ascii="Times New Roman" w:hAnsi="Times New Roman"/>
          <w:noProof/>
          <w:sz w:val="24"/>
        </w:rPr>
        <w:t>The evaluation process took place in two stages.</w:t>
      </w:r>
    </w:p>
    <w:p w:rsidR="00764095" w:rsidRDefault="00F75A5B">
      <w:pPr>
        <w:jc w:val="both"/>
        <w:rPr>
          <w:rFonts w:ascii="Times New Roman" w:hAnsi="Times New Roman"/>
          <w:noProof/>
          <w:sz w:val="24"/>
        </w:rPr>
      </w:pPr>
      <w:r>
        <w:rPr>
          <w:rFonts w:ascii="Times New Roman" w:hAnsi="Times New Roman"/>
          <w:noProof/>
          <w:sz w:val="24"/>
        </w:rPr>
        <w:t>In the first stage</w:t>
      </w:r>
      <w:r>
        <w:rPr>
          <w:rFonts w:ascii="Times New Roman" w:hAnsi="Times New Roman"/>
          <w:noProof/>
          <w:sz w:val="24"/>
        </w:rPr>
        <w:t>, three external evaluators reviewed each proposal. A consolidated evaluation report for each proposal was drawn up at a meeting organised by EAHC.</w:t>
      </w:r>
    </w:p>
    <w:p w:rsidR="00764095" w:rsidRDefault="00F75A5B">
      <w:pPr>
        <w:jc w:val="both"/>
        <w:rPr>
          <w:rFonts w:ascii="Times New Roman" w:hAnsi="Times New Roman"/>
          <w:noProof/>
          <w:sz w:val="24"/>
        </w:rPr>
      </w:pPr>
      <w:r>
        <w:rPr>
          <w:rFonts w:ascii="Times New Roman" w:hAnsi="Times New Roman"/>
          <w:noProof/>
          <w:sz w:val="24"/>
        </w:rPr>
        <w:t xml:space="preserve">In the second stage, the evaluation committee checked that the evaluators had complied with the relevant </w:t>
      </w:r>
      <w:r>
        <w:rPr>
          <w:rFonts w:ascii="Times New Roman" w:hAnsi="Times New Roman"/>
          <w:noProof/>
          <w:sz w:val="24"/>
        </w:rPr>
        <w:t>rules and criteria. It then drew up final lists of proposals recommended for funding, together with reserve lists. The evaluation committee comprised representatives from the Directorate-General for Health and Consumers, the Directorate-General for Researc</w:t>
      </w:r>
      <w:r>
        <w:rPr>
          <w:rFonts w:ascii="Times New Roman" w:hAnsi="Times New Roman"/>
          <w:noProof/>
          <w:sz w:val="24"/>
        </w:rPr>
        <w:t>h and Innovation and from EAHC.</w:t>
      </w:r>
    </w:p>
    <w:p w:rsidR="00764095" w:rsidRDefault="00F75A5B">
      <w:pPr>
        <w:jc w:val="both"/>
        <w:rPr>
          <w:rFonts w:ascii="Times New Roman" w:hAnsi="Times New Roman"/>
          <w:noProof/>
          <w:sz w:val="24"/>
        </w:rPr>
      </w:pPr>
      <w:r>
        <w:rPr>
          <w:rFonts w:ascii="Times New Roman" w:hAnsi="Times New Roman"/>
          <w:bCs/>
          <w:noProof/>
          <w:sz w:val="24"/>
        </w:rPr>
        <w:lastRenderedPageBreak/>
        <w:t xml:space="preserve">The Health Programme Committee issued a favourable opinion on the actions proposed for funding at its meeting on 29 June 2013. </w:t>
      </w:r>
      <w:r>
        <w:rPr>
          <w:rFonts w:ascii="Times New Roman" w:hAnsi="Times New Roman"/>
          <w:noProof/>
          <w:sz w:val="24"/>
        </w:rPr>
        <w:t>The related awarding Commission Decision was adopted on 29 October 2013.</w:t>
      </w:r>
      <w:r>
        <w:rPr>
          <w:rStyle w:val="FootnoteReference"/>
          <w:rFonts w:ascii="Times New Roman" w:hAnsi="Times New Roman"/>
          <w:noProof/>
          <w:sz w:val="24"/>
        </w:rPr>
        <w:footnoteReference w:id="14"/>
      </w:r>
    </w:p>
    <w:p w:rsidR="00764095" w:rsidRDefault="00F75A5B">
      <w:pPr>
        <w:pStyle w:val="ManualHeading3"/>
        <w:rPr>
          <w:noProof/>
        </w:rPr>
      </w:pPr>
      <w:bookmarkStart w:id="22" w:name="_Toc388355513"/>
      <w:bookmarkStart w:id="23" w:name="_Toc389636406"/>
      <w:bookmarkStart w:id="24" w:name="_Toc390420267"/>
      <w:bookmarkStart w:id="25" w:name="_Toc404756133"/>
      <w:bookmarkStart w:id="26" w:name="_Toc408392859"/>
      <w:r>
        <w:t>1.4.1</w:t>
      </w:r>
      <w:r>
        <w:tab/>
      </w:r>
      <w:r>
        <w:rPr>
          <w:noProof/>
        </w:rPr>
        <w:t>Project grants</w:t>
      </w:r>
      <w:bookmarkEnd w:id="22"/>
      <w:bookmarkEnd w:id="23"/>
      <w:bookmarkEnd w:id="24"/>
      <w:bookmarkEnd w:id="25"/>
      <w:bookmarkEnd w:id="26"/>
    </w:p>
    <w:p w:rsidR="00764095" w:rsidRDefault="00F75A5B">
      <w:pPr>
        <w:jc w:val="both"/>
        <w:rPr>
          <w:rFonts w:ascii="Times New Roman" w:hAnsi="Times New Roman"/>
          <w:noProof/>
          <w:sz w:val="24"/>
          <w:szCs w:val="24"/>
        </w:rPr>
      </w:pPr>
      <w:r>
        <w:rPr>
          <w:rFonts w:ascii="Times New Roman" w:hAnsi="Times New Roman"/>
          <w:noProof/>
          <w:sz w:val="24"/>
          <w:szCs w:val="24"/>
        </w:rPr>
        <w:t>In</w:t>
      </w:r>
      <w:r>
        <w:rPr>
          <w:rFonts w:ascii="Times New Roman" w:hAnsi="Times New Roman"/>
          <w:noProof/>
          <w:sz w:val="24"/>
          <w:szCs w:val="24"/>
        </w:rPr>
        <w:t xml:space="preserve"> all, 67 proposals were submitted in response to the call for proposals for projects. Nine proposals were recommended for funding and three were placed on a reserve list. In the end, 11 projects (16</w:t>
      </w:r>
      <w:r>
        <w:rPr>
          <w:rFonts w:ascii="Times New Roman" w:hAnsi="Times New Roman"/>
          <w:noProof/>
          <w:w w:val="50"/>
          <w:sz w:val="24"/>
          <w:szCs w:val="24"/>
        </w:rPr>
        <w:t> </w:t>
      </w:r>
      <w:r>
        <w:rPr>
          <w:rFonts w:ascii="Times New Roman" w:hAnsi="Times New Roman"/>
          <w:noProof/>
          <w:sz w:val="24"/>
          <w:szCs w:val="24"/>
        </w:rPr>
        <w:t>% of the total) were funded, for a total of EUR 14 633 50</w:t>
      </w:r>
      <w:r>
        <w:rPr>
          <w:rFonts w:ascii="Times New Roman" w:hAnsi="Times New Roman"/>
          <w:noProof/>
          <w:sz w:val="24"/>
          <w:szCs w:val="24"/>
        </w:rPr>
        <w:t>3.00. Their distribution among the programme strands was as follows:</w:t>
      </w:r>
    </w:p>
    <w:p w:rsidR="00764095" w:rsidRDefault="00F75A5B">
      <w:pPr>
        <w:spacing w:before="120" w:after="120" w:line="240" w:lineRule="auto"/>
        <w:ind w:left="360"/>
        <w:jc w:val="both"/>
        <w:rPr>
          <w:rFonts w:ascii="Times New Roman" w:eastAsia="Times New Roman" w:hAnsi="Times New Roman"/>
          <w:noProof/>
          <w:sz w:val="24"/>
          <w:szCs w:val="24"/>
        </w:rPr>
      </w:pPr>
      <w:r>
        <w:rPr>
          <w:rFonts w:ascii="Times New Roman" w:eastAsia="Times New Roman" w:hAnsi="Times New Roman"/>
          <w:noProof/>
          <w:sz w:val="24"/>
          <w:szCs w:val="24"/>
        </w:rPr>
        <w:t>Health security:</w:t>
      </w:r>
      <w:r>
        <w:rPr>
          <w:rFonts w:ascii="Times New Roman" w:eastAsia="Times New Roman" w:hAnsi="Times New Roman"/>
          <w:noProof/>
          <w:sz w:val="24"/>
          <w:szCs w:val="24"/>
        </w:rPr>
        <w:tab/>
      </w:r>
      <w:r>
        <w:rPr>
          <w:rFonts w:ascii="Times New Roman" w:eastAsia="Times New Roman" w:hAnsi="Times New Roman"/>
          <w:noProof/>
          <w:sz w:val="24"/>
          <w:szCs w:val="24"/>
        </w:rPr>
        <w:tab/>
        <w:t>EUR 2 609 911.00   (two projects)</w:t>
      </w:r>
    </w:p>
    <w:p w:rsidR="00764095" w:rsidRDefault="00F75A5B">
      <w:pPr>
        <w:spacing w:before="120" w:after="120" w:line="240" w:lineRule="auto"/>
        <w:ind w:left="360"/>
        <w:jc w:val="both"/>
        <w:rPr>
          <w:rFonts w:ascii="Times New Roman" w:eastAsia="Times New Roman" w:hAnsi="Times New Roman"/>
          <w:noProof/>
          <w:sz w:val="24"/>
          <w:szCs w:val="24"/>
        </w:rPr>
      </w:pPr>
      <w:r>
        <w:rPr>
          <w:rFonts w:ascii="Times New Roman" w:eastAsia="Times New Roman" w:hAnsi="Times New Roman"/>
          <w:noProof/>
          <w:sz w:val="24"/>
          <w:szCs w:val="24"/>
        </w:rPr>
        <w:t>Health promotion:</w:t>
      </w:r>
      <w:r>
        <w:rPr>
          <w:rFonts w:ascii="Times New Roman" w:eastAsia="Times New Roman" w:hAnsi="Times New Roman"/>
          <w:noProof/>
          <w:sz w:val="24"/>
          <w:szCs w:val="24"/>
        </w:rPr>
        <w:tab/>
      </w:r>
      <w:r>
        <w:rPr>
          <w:rFonts w:ascii="Times New Roman" w:eastAsia="Times New Roman" w:hAnsi="Times New Roman"/>
          <w:noProof/>
          <w:sz w:val="24"/>
          <w:szCs w:val="24"/>
        </w:rPr>
        <w:tab/>
        <w:t>EUR 12 023 592.00 (nine projects)</w:t>
      </w:r>
    </w:p>
    <w:p w:rsidR="00764095" w:rsidRDefault="00764095">
      <w:pPr>
        <w:jc w:val="both"/>
        <w:rPr>
          <w:rFonts w:ascii="Times New Roman" w:hAnsi="Times New Roman"/>
          <w:noProof/>
          <w:sz w:val="24"/>
          <w:szCs w:val="24"/>
        </w:rPr>
      </w:pPr>
    </w:p>
    <w:p w:rsidR="00764095" w:rsidRDefault="00F75A5B">
      <w:pPr>
        <w:jc w:val="both"/>
        <w:rPr>
          <w:rFonts w:ascii="Times New Roman" w:hAnsi="Times New Roman"/>
          <w:noProof/>
          <w:sz w:val="24"/>
          <w:szCs w:val="24"/>
        </w:rPr>
      </w:pPr>
      <w:r>
        <w:rPr>
          <w:rFonts w:ascii="Times New Roman" w:hAnsi="Times New Roman"/>
          <w:noProof/>
          <w:sz w:val="24"/>
          <w:szCs w:val="24"/>
        </w:rPr>
        <w:t>Annex 2 contains a table of the projects funded. The EAHC database</w:t>
      </w:r>
      <w:r>
        <w:rPr>
          <w:rStyle w:val="FootnoteReference"/>
          <w:noProof/>
        </w:rPr>
        <w:footnoteReference w:id="15"/>
      </w:r>
      <w:r>
        <w:rPr>
          <w:rFonts w:ascii="Times New Roman" w:hAnsi="Times New Roman"/>
          <w:noProof/>
          <w:sz w:val="24"/>
          <w:szCs w:val="24"/>
        </w:rPr>
        <w:t xml:space="preserve"> provides abstracts of the projects. 91</w:t>
      </w:r>
      <w:r>
        <w:rPr>
          <w:rFonts w:ascii="Times New Roman" w:hAnsi="Times New Roman"/>
          <w:noProof/>
          <w:w w:val="50"/>
          <w:sz w:val="24"/>
          <w:szCs w:val="24"/>
        </w:rPr>
        <w:t> </w:t>
      </w:r>
      <w:r>
        <w:rPr>
          <w:rFonts w:ascii="Times New Roman" w:hAnsi="Times New Roman"/>
          <w:noProof/>
          <w:sz w:val="24"/>
          <w:szCs w:val="24"/>
        </w:rPr>
        <w:t>% of the successful projects were presented by main partners located in EU-15 countries. The participation rate of EU-12 countries as associated partners was only 14</w:t>
      </w:r>
      <w:r>
        <w:rPr>
          <w:rFonts w:ascii="Times New Roman" w:hAnsi="Times New Roman"/>
          <w:noProof/>
          <w:w w:val="50"/>
          <w:sz w:val="24"/>
          <w:szCs w:val="24"/>
        </w:rPr>
        <w:t> </w:t>
      </w:r>
      <w:r>
        <w:rPr>
          <w:rFonts w:ascii="Times New Roman" w:hAnsi="Times New Roman"/>
          <w:noProof/>
          <w:sz w:val="24"/>
          <w:szCs w:val="24"/>
        </w:rPr>
        <w:t>%.</w:t>
      </w:r>
    </w:p>
    <w:p w:rsidR="00764095" w:rsidRDefault="00F75A5B">
      <w:pPr>
        <w:pStyle w:val="ManualHeading3"/>
        <w:rPr>
          <w:bCs/>
          <w:noProof/>
        </w:rPr>
      </w:pPr>
      <w:bookmarkStart w:id="27" w:name="_Toc388355514"/>
      <w:bookmarkStart w:id="28" w:name="_Toc389636407"/>
      <w:bookmarkStart w:id="29" w:name="_Toc390420268"/>
      <w:bookmarkStart w:id="30" w:name="_Toc404756134"/>
      <w:bookmarkStart w:id="31" w:name="_Toc408392860"/>
      <w:r>
        <w:t>1.4.2</w:t>
      </w:r>
      <w:r>
        <w:tab/>
      </w:r>
      <w:r>
        <w:rPr>
          <w:noProof/>
        </w:rPr>
        <w:t>Conference grants</w:t>
      </w:r>
      <w:bookmarkEnd w:id="27"/>
      <w:bookmarkEnd w:id="28"/>
      <w:bookmarkEnd w:id="29"/>
      <w:bookmarkEnd w:id="30"/>
      <w:bookmarkEnd w:id="31"/>
    </w:p>
    <w:p w:rsidR="00764095" w:rsidRDefault="00F75A5B">
      <w:pPr>
        <w:jc w:val="both"/>
        <w:rPr>
          <w:rFonts w:ascii="Times New Roman" w:hAnsi="Times New Roman"/>
          <w:bCs/>
          <w:noProof/>
          <w:sz w:val="24"/>
          <w:szCs w:val="24"/>
        </w:rPr>
      </w:pPr>
      <w:r>
        <w:rPr>
          <w:rFonts w:ascii="Times New Roman" w:hAnsi="Times New Roman"/>
          <w:noProof/>
          <w:sz w:val="24"/>
          <w:szCs w:val="24"/>
        </w:rPr>
        <w:t>A total of 47 proposals</w:t>
      </w:r>
      <w:r>
        <w:rPr>
          <w:rFonts w:ascii="Times New Roman" w:hAnsi="Times New Roman"/>
          <w:noProof/>
          <w:sz w:val="24"/>
          <w:szCs w:val="24"/>
        </w:rPr>
        <w:t xml:space="preserve"> were submitted in response to the call for proposals for conferences. Eleven proposals were recommended for funding and three were put on the reserve list. In the end, 14 conferences (30</w:t>
      </w:r>
      <w:r>
        <w:rPr>
          <w:rFonts w:ascii="Times New Roman" w:hAnsi="Times New Roman"/>
          <w:noProof/>
          <w:w w:val="50"/>
          <w:sz w:val="24"/>
          <w:szCs w:val="24"/>
        </w:rPr>
        <w:t> </w:t>
      </w:r>
      <w:r>
        <w:rPr>
          <w:rFonts w:ascii="Times New Roman" w:hAnsi="Times New Roman"/>
          <w:noProof/>
          <w:sz w:val="24"/>
          <w:szCs w:val="24"/>
        </w:rPr>
        <w:t>% of the proposals received) were co-funded based on the competitive</w:t>
      </w:r>
      <w:r>
        <w:rPr>
          <w:rFonts w:ascii="Times New Roman" w:hAnsi="Times New Roman"/>
          <w:noProof/>
          <w:sz w:val="24"/>
          <w:szCs w:val="24"/>
        </w:rPr>
        <w:t xml:space="preserve"> call for proposals and two conferences were organised by the Presidencies of the European Council. The total budget for conference grants was EUR</w:t>
      </w:r>
      <w:r>
        <w:rPr>
          <w:rFonts w:ascii="Times New Roman" w:hAnsi="Times New Roman"/>
          <w:bCs/>
          <w:noProof/>
          <w:sz w:val="24"/>
          <w:szCs w:val="24"/>
        </w:rPr>
        <w:t xml:space="preserve"> 1 125 467.60.</w:t>
      </w:r>
    </w:p>
    <w:p w:rsidR="00764095" w:rsidRDefault="00F75A5B">
      <w:pPr>
        <w:jc w:val="both"/>
        <w:rPr>
          <w:rFonts w:ascii="Times New Roman" w:hAnsi="Times New Roman"/>
          <w:noProof/>
          <w:sz w:val="24"/>
          <w:szCs w:val="24"/>
        </w:rPr>
      </w:pPr>
      <w:r>
        <w:rPr>
          <w:rFonts w:ascii="Times New Roman" w:hAnsi="Times New Roman"/>
          <w:noProof/>
          <w:sz w:val="24"/>
          <w:szCs w:val="24"/>
        </w:rPr>
        <w:t>Their distribution among the programme strands was as follows:</w:t>
      </w:r>
    </w:p>
    <w:p w:rsidR="00764095" w:rsidRDefault="00F75A5B">
      <w:pPr>
        <w:spacing w:before="120" w:after="120" w:line="240" w:lineRule="auto"/>
        <w:ind w:left="360"/>
        <w:jc w:val="both"/>
        <w:rPr>
          <w:rFonts w:ascii="Times New Roman" w:eastAsia="Times New Roman" w:hAnsi="Times New Roman"/>
          <w:noProof/>
          <w:sz w:val="24"/>
          <w:szCs w:val="24"/>
        </w:rPr>
      </w:pPr>
      <w:r>
        <w:rPr>
          <w:rFonts w:ascii="Times New Roman" w:eastAsia="Times New Roman" w:hAnsi="Times New Roman"/>
          <w:noProof/>
          <w:sz w:val="24"/>
          <w:szCs w:val="24"/>
        </w:rPr>
        <w:t>Health promotion:</w:t>
      </w:r>
      <w:r>
        <w:rPr>
          <w:rFonts w:ascii="Times New Roman" w:eastAsia="Times New Roman" w:hAnsi="Times New Roman"/>
          <w:noProof/>
          <w:sz w:val="24"/>
          <w:szCs w:val="24"/>
        </w:rPr>
        <w:tab/>
      </w:r>
      <w:r>
        <w:rPr>
          <w:rFonts w:ascii="Times New Roman" w:eastAsia="Times New Roman" w:hAnsi="Times New Roman"/>
          <w:noProof/>
          <w:sz w:val="24"/>
          <w:szCs w:val="24"/>
        </w:rPr>
        <w:tab/>
        <w:t>EUR 371 603.6</w:t>
      </w:r>
      <w:r>
        <w:rPr>
          <w:rFonts w:ascii="Times New Roman" w:eastAsia="Times New Roman" w:hAnsi="Times New Roman"/>
          <w:noProof/>
          <w:sz w:val="24"/>
          <w:szCs w:val="24"/>
        </w:rPr>
        <w:t>0 (four conferences + two conferences organised by the Greek and Lithuanian Council Presidencies)</w:t>
      </w:r>
    </w:p>
    <w:p w:rsidR="00764095" w:rsidRDefault="00F75A5B">
      <w:pPr>
        <w:spacing w:before="120" w:after="240" w:line="240" w:lineRule="auto"/>
        <w:ind w:left="360"/>
        <w:jc w:val="both"/>
        <w:rPr>
          <w:rFonts w:ascii="Times New Roman" w:eastAsia="Times New Roman" w:hAnsi="Times New Roman"/>
          <w:noProof/>
          <w:sz w:val="24"/>
          <w:szCs w:val="24"/>
        </w:rPr>
      </w:pPr>
      <w:r>
        <w:rPr>
          <w:rFonts w:ascii="Times New Roman" w:eastAsia="Times New Roman" w:hAnsi="Times New Roman"/>
          <w:noProof/>
          <w:sz w:val="24"/>
          <w:szCs w:val="24"/>
        </w:rPr>
        <w:t>Health information:</w:t>
      </w:r>
      <w:r>
        <w:rPr>
          <w:rFonts w:ascii="Times New Roman" w:eastAsia="Times New Roman" w:hAnsi="Times New Roman"/>
          <w:noProof/>
          <w:sz w:val="24"/>
          <w:szCs w:val="24"/>
        </w:rPr>
        <w:tab/>
        <w:t>EUR 753 864.00 (10 conferences)</w:t>
      </w:r>
    </w:p>
    <w:p w:rsidR="00764095" w:rsidRDefault="00F75A5B">
      <w:pPr>
        <w:jc w:val="both"/>
        <w:rPr>
          <w:rFonts w:ascii="Times New Roman" w:hAnsi="Times New Roman"/>
          <w:noProof/>
          <w:sz w:val="24"/>
          <w:szCs w:val="24"/>
        </w:rPr>
      </w:pPr>
      <w:r>
        <w:rPr>
          <w:rFonts w:ascii="Times New Roman" w:hAnsi="Times New Roman"/>
          <w:noProof/>
          <w:sz w:val="24"/>
          <w:szCs w:val="24"/>
        </w:rPr>
        <w:t>The conferences addressed the following topics: Alzheimer’s disease, rare diseases, organ transplantation,</w:t>
      </w:r>
      <w:r>
        <w:rPr>
          <w:rFonts w:ascii="Times New Roman" w:hAnsi="Times New Roman"/>
          <w:noProof/>
          <w:sz w:val="24"/>
          <w:szCs w:val="24"/>
        </w:rPr>
        <w:t xml:space="preserve"> alcohol, mental health, ageing, migrant and ethnic minority health, HIV/AIDS, living donation of organs and chronic diseases. Several larger public health conferences were also co-funded: the annual conference of the European Public Health Association (EU</w:t>
      </w:r>
      <w:r>
        <w:rPr>
          <w:rFonts w:ascii="Times New Roman" w:hAnsi="Times New Roman"/>
          <w:noProof/>
          <w:sz w:val="24"/>
          <w:szCs w:val="24"/>
        </w:rPr>
        <w:t>PHA), the World Health Summit, the European Health Forum in Gastein and the 6th Global Patients Forum. The Lithuanian Council Presidency conference focused on mental health, and the Greek Council Presidency conference focused on nutrition and physical acti</w:t>
      </w:r>
      <w:r>
        <w:rPr>
          <w:rFonts w:ascii="Times New Roman" w:hAnsi="Times New Roman"/>
          <w:noProof/>
          <w:sz w:val="24"/>
          <w:szCs w:val="24"/>
        </w:rPr>
        <w:t>vity.</w:t>
      </w:r>
    </w:p>
    <w:p w:rsidR="00764095" w:rsidRDefault="00F75A5B">
      <w:pPr>
        <w:jc w:val="both"/>
        <w:rPr>
          <w:rFonts w:ascii="Times New Roman" w:hAnsi="Times New Roman"/>
          <w:noProof/>
          <w:sz w:val="24"/>
          <w:szCs w:val="24"/>
        </w:rPr>
      </w:pPr>
      <w:r>
        <w:rPr>
          <w:rFonts w:ascii="Times New Roman" w:hAnsi="Times New Roman"/>
          <w:noProof/>
          <w:sz w:val="24"/>
          <w:szCs w:val="24"/>
        </w:rPr>
        <w:t>Annex 3 and Annex 4 contain tables listing the conferences funded. The EAHC database provides abstracts of the conferences and the conference proceedings themselves.</w:t>
      </w:r>
    </w:p>
    <w:p w:rsidR="00764095" w:rsidRDefault="00F75A5B">
      <w:pPr>
        <w:pStyle w:val="ManualHeading3"/>
        <w:rPr>
          <w:bCs/>
          <w:noProof/>
        </w:rPr>
      </w:pPr>
      <w:bookmarkStart w:id="32" w:name="_Toc388355515"/>
      <w:bookmarkStart w:id="33" w:name="_Toc389636408"/>
      <w:bookmarkStart w:id="34" w:name="_Toc390420269"/>
      <w:bookmarkStart w:id="35" w:name="_Toc404756135"/>
      <w:bookmarkStart w:id="36" w:name="_Toc408392861"/>
      <w:r>
        <w:lastRenderedPageBreak/>
        <w:t>1.4.3</w:t>
      </w:r>
      <w:r>
        <w:tab/>
      </w:r>
      <w:r>
        <w:rPr>
          <w:noProof/>
        </w:rPr>
        <w:t>Operating grants</w:t>
      </w:r>
      <w:bookmarkEnd w:id="32"/>
      <w:bookmarkEnd w:id="33"/>
      <w:bookmarkEnd w:id="34"/>
      <w:bookmarkEnd w:id="35"/>
      <w:bookmarkEnd w:id="36"/>
    </w:p>
    <w:p w:rsidR="00764095" w:rsidRDefault="00F75A5B">
      <w:pPr>
        <w:jc w:val="both"/>
        <w:rPr>
          <w:rFonts w:ascii="Times New Roman" w:hAnsi="Times New Roman"/>
          <w:noProof/>
          <w:sz w:val="24"/>
          <w:szCs w:val="24"/>
        </w:rPr>
      </w:pPr>
      <w:r>
        <w:rPr>
          <w:rFonts w:ascii="Times New Roman" w:hAnsi="Times New Roman"/>
          <w:noProof/>
          <w:sz w:val="24"/>
          <w:szCs w:val="24"/>
        </w:rPr>
        <w:t>A total of 45 proposals were submitted in response to the cal</w:t>
      </w:r>
      <w:r>
        <w:rPr>
          <w:rFonts w:ascii="Times New Roman" w:hAnsi="Times New Roman"/>
          <w:noProof/>
          <w:sz w:val="24"/>
          <w:szCs w:val="24"/>
        </w:rPr>
        <w:t>l for proposals for operating grants. Of these, 20 were proposed for funding and four were placed on a reserve list. In the end, 22 proposals (eight new and 14 renewals) were funded (49</w:t>
      </w:r>
      <w:r>
        <w:rPr>
          <w:rFonts w:ascii="Times New Roman" w:hAnsi="Times New Roman"/>
          <w:noProof/>
          <w:w w:val="50"/>
          <w:sz w:val="24"/>
          <w:szCs w:val="24"/>
        </w:rPr>
        <w:t> </w:t>
      </w:r>
      <w:r>
        <w:rPr>
          <w:rFonts w:ascii="Times New Roman" w:hAnsi="Times New Roman"/>
          <w:noProof/>
          <w:sz w:val="24"/>
          <w:szCs w:val="24"/>
        </w:rPr>
        <w:t xml:space="preserve">% of the proposals received) for a total of EUR 5 474 491.00.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764095">
        <w:tc>
          <w:tcPr>
            <w:tcW w:w="9289" w:type="dxa"/>
            <w:shd w:val="clear" w:color="auto" w:fill="008080"/>
          </w:tcPr>
          <w:p w:rsidR="00764095" w:rsidRDefault="00F75A5B">
            <w:pPr>
              <w:jc w:val="both"/>
              <w:rPr>
                <w:rFonts w:ascii="Times New Roman" w:hAnsi="Times New Roman"/>
                <w:noProof/>
                <w:color w:val="FFFFFF"/>
                <w:sz w:val="24"/>
                <w:szCs w:val="24"/>
              </w:rPr>
            </w:pPr>
            <w:r>
              <w:rPr>
                <w:rFonts w:ascii="Times New Roman" w:hAnsi="Times New Roman"/>
                <w:noProof/>
                <w:color w:val="FFFFFF"/>
                <w:sz w:val="24"/>
                <w:szCs w:val="24"/>
              </w:rPr>
              <w:t>New ope</w:t>
            </w:r>
            <w:r>
              <w:rPr>
                <w:rFonts w:ascii="Times New Roman" w:hAnsi="Times New Roman"/>
                <w:noProof/>
                <w:color w:val="FFFFFF"/>
                <w:sz w:val="24"/>
                <w:szCs w:val="24"/>
              </w:rPr>
              <w:t>rating grants</w:t>
            </w:r>
          </w:p>
        </w:tc>
      </w:tr>
      <w:tr w:rsidR="00764095">
        <w:tc>
          <w:tcPr>
            <w:tcW w:w="9289" w:type="dxa"/>
            <w:shd w:val="clear" w:color="auto" w:fill="auto"/>
          </w:tcPr>
          <w:p w:rsidR="00764095" w:rsidRDefault="00F75A5B">
            <w:pPr>
              <w:jc w:val="both"/>
              <w:rPr>
                <w:rFonts w:ascii="Times New Roman" w:hAnsi="Times New Roman"/>
                <w:noProof/>
                <w:sz w:val="24"/>
                <w:szCs w:val="24"/>
              </w:rPr>
            </w:pPr>
            <w:r>
              <w:rPr>
                <w:rFonts w:ascii="Times New Roman" w:hAnsi="Times New Roman"/>
                <w:noProof/>
                <w:sz w:val="24"/>
                <w:szCs w:val="24"/>
              </w:rPr>
              <w:t>Netherlands Organisation for Applied Scientific Research (TNO), to host the European network for action on ageing and physical activity (EUNAAPA)</w:t>
            </w:r>
          </w:p>
        </w:tc>
      </w:tr>
      <w:tr w:rsidR="00764095">
        <w:tc>
          <w:tcPr>
            <w:tcW w:w="9289" w:type="dxa"/>
            <w:shd w:val="clear" w:color="auto" w:fill="auto"/>
          </w:tcPr>
          <w:p w:rsidR="00764095" w:rsidRDefault="00F75A5B">
            <w:pPr>
              <w:jc w:val="both"/>
              <w:rPr>
                <w:rFonts w:ascii="Times New Roman" w:hAnsi="Times New Roman"/>
                <w:noProof/>
                <w:sz w:val="24"/>
                <w:szCs w:val="24"/>
              </w:rPr>
            </w:pPr>
            <w:r>
              <w:rPr>
                <w:rFonts w:ascii="Times New Roman" w:hAnsi="Times New Roman"/>
                <w:bCs/>
                <w:noProof/>
                <w:sz w:val="24"/>
                <w:szCs w:val="24"/>
              </w:rPr>
              <w:t>Association of Schools of Public Health in the European Region</w:t>
            </w:r>
            <w:r>
              <w:rPr>
                <w:rFonts w:ascii="Times New Roman" w:hAnsi="Times New Roman"/>
                <w:noProof/>
                <w:sz w:val="24"/>
                <w:szCs w:val="24"/>
              </w:rPr>
              <w:t xml:space="preserve"> (</w:t>
            </w:r>
            <w:r>
              <w:rPr>
                <w:rFonts w:ascii="Times New Roman" w:hAnsi="Times New Roman"/>
                <w:bCs/>
                <w:noProof/>
                <w:sz w:val="24"/>
                <w:szCs w:val="24"/>
              </w:rPr>
              <w:t>ASPHER</w:t>
            </w:r>
            <w:r>
              <w:rPr>
                <w:rFonts w:ascii="Times New Roman" w:hAnsi="Times New Roman"/>
                <w:noProof/>
                <w:sz w:val="24"/>
                <w:szCs w:val="24"/>
              </w:rPr>
              <w:t>)</w:t>
            </w:r>
          </w:p>
        </w:tc>
      </w:tr>
      <w:tr w:rsidR="00764095">
        <w:tc>
          <w:tcPr>
            <w:tcW w:w="9289" w:type="dxa"/>
            <w:shd w:val="clear" w:color="auto" w:fill="auto"/>
          </w:tcPr>
          <w:p w:rsidR="00764095" w:rsidRDefault="00F75A5B">
            <w:pPr>
              <w:jc w:val="both"/>
              <w:rPr>
                <w:rFonts w:ascii="Times New Roman" w:hAnsi="Times New Roman"/>
                <w:noProof/>
                <w:sz w:val="24"/>
                <w:szCs w:val="24"/>
              </w:rPr>
            </w:pPr>
            <w:r>
              <w:rPr>
                <w:rFonts w:ascii="Times New Roman" w:hAnsi="Times New Roman"/>
                <w:noProof/>
                <w:sz w:val="24"/>
                <w:szCs w:val="24"/>
              </w:rPr>
              <w:t xml:space="preserve">Special Olympics </w:t>
            </w:r>
            <w:r>
              <w:rPr>
                <w:rFonts w:ascii="Times New Roman" w:hAnsi="Times New Roman"/>
                <w:noProof/>
                <w:sz w:val="24"/>
                <w:szCs w:val="24"/>
              </w:rPr>
              <w:t>Europe Euroasia Foundation (SOEEF)</w:t>
            </w:r>
          </w:p>
        </w:tc>
      </w:tr>
      <w:tr w:rsidR="00764095">
        <w:tc>
          <w:tcPr>
            <w:tcW w:w="9289" w:type="dxa"/>
            <w:shd w:val="clear" w:color="auto" w:fill="auto"/>
          </w:tcPr>
          <w:p w:rsidR="00764095" w:rsidRDefault="00F75A5B">
            <w:pPr>
              <w:jc w:val="both"/>
              <w:rPr>
                <w:rFonts w:ascii="Times New Roman" w:hAnsi="Times New Roman"/>
                <w:noProof/>
                <w:sz w:val="24"/>
                <w:szCs w:val="24"/>
              </w:rPr>
            </w:pPr>
            <w:r>
              <w:rPr>
                <w:rFonts w:ascii="Times New Roman" w:hAnsi="Times New Roman"/>
                <w:noProof/>
                <w:sz w:val="24"/>
                <w:szCs w:val="24"/>
              </w:rPr>
              <w:t>European Federation of Allergy and Airways Diseases Patients’ Associations (EFA)</w:t>
            </w:r>
          </w:p>
        </w:tc>
      </w:tr>
      <w:tr w:rsidR="00764095" w:rsidRPr="007867A8">
        <w:tc>
          <w:tcPr>
            <w:tcW w:w="9289" w:type="dxa"/>
            <w:shd w:val="clear" w:color="auto" w:fill="auto"/>
          </w:tcPr>
          <w:p w:rsidR="00764095" w:rsidRDefault="00F75A5B">
            <w:pPr>
              <w:jc w:val="both"/>
              <w:rPr>
                <w:rFonts w:ascii="Times New Roman" w:hAnsi="Times New Roman"/>
                <w:noProof/>
                <w:sz w:val="24"/>
                <w:szCs w:val="24"/>
                <w:lang w:val="fr-FR"/>
              </w:rPr>
            </w:pPr>
            <w:r>
              <w:rPr>
                <w:rFonts w:ascii="Times New Roman" w:hAnsi="Times New Roman"/>
                <w:noProof/>
                <w:sz w:val="24"/>
                <w:szCs w:val="24"/>
                <w:lang w:val="fr-FR"/>
              </w:rPr>
              <w:t>Institut National de la Santé et la Recherche Médicale (INSERM), to host the ORPHANET-network</w:t>
            </w:r>
          </w:p>
        </w:tc>
      </w:tr>
      <w:tr w:rsidR="00764095">
        <w:tc>
          <w:tcPr>
            <w:tcW w:w="9289" w:type="dxa"/>
            <w:shd w:val="clear" w:color="auto" w:fill="auto"/>
          </w:tcPr>
          <w:p w:rsidR="00764095" w:rsidRDefault="00F75A5B">
            <w:pPr>
              <w:jc w:val="both"/>
              <w:rPr>
                <w:rFonts w:ascii="Times New Roman" w:hAnsi="Times New Roman"/>
                <w:noProof/>
                <w:sz w:val="24"/>
                <w:szCs w:val="24"/>
              </w:rPr>
            </w:pPr>
            <w:r>
              <w:rPr>
                <w:rFonts w:ascii="Times New Roman" w:hAnsi="Times New Roman"/>
                <w:noProof/>
                <w:sz w:val="24"/>
                <w:szCs w:val="24"/>
              </w:rPr>
              <w:t>University Court of the University of St An</w:t>
            </w:r>
            <w:r>
              <w:rPr>
                <w:rFonts w:ascii="Times New Roman" w:hAnsi="Times New Roman"/>
                <w:noProof/>
                <w:sz w:val="24"/>
                <w:szCs w:val="24"/>
              </w:rPr>
              <w:t>drews, to host the health behaviour in school-aged children (HBSC) survey network</w:t>
            </w:r>
          </w:p>
        </w:tc>
      </w:tr>
      <w:tr w:rsidR="00764095">
        <w:tc>
          <w:tcPr>
            <w:tcW w:w="9289" w:type="dxa"/>
            <w:shd w:val="clear" w:color="auto" w:fill="auto"/>
          </w:tcPr>
          <w:p w:rsidR="00764095" w:rsidRDefault="00F75A5B">
            <w:pPr>
              <w:jc w:val="both"/>
              <w:rPr>
                <w:rFonts w:ascii="Times New Roman" w:hAnsi="Times New Roman"/>
                <w:noProof/>
                <w:sz w:val="24"/>
                <w:szCs w:val="24"/>
              </w:rPr>
            </w:pPr>
            <w:r>
              <w:rPr>
                <w:rFonts w:ascii="Times New Roman" w:hAnsi="Times New Roman"/>
                <w:noProof/>
                <w:sz w:val="24"/>
                <w:szCs w:val="24"/>
              </w:rPr>
              <w:t>University of Ulster, to support the EUROCAT-network on congenital anomalies</w:t>
            </w:r>
          </w:p>
        </w:tc>
      </w:tr>
      <w:tr w:rsidR="00764095">
        <w:tc>
          <w:tcPr>
            <w:tcW w:w="9289" w:type="dxa"/>
            <w:shd w:val="clear" w:color="auto" w:fill="auto"/>
          </w:tcPr>
          <w:p w:rsidR="00764095" w:rsidRDefault="00F75A5B">
            <w:pPr>
              <w:jc w:val="both"/>
              <w:rPr>
                <w:rFonts w:ascii="Times New Roman" w:hAnsi="Times New Roman"/>
                <w:noProof/>
                <w:sz w:val="24"/>
                <w:szCs w:val="24"/>
              </w:rPr>
            </w:pPr>
            <w:r>
              <w:rPr>
                <w:rFonts w:ascii="Times New Roman" w:hAnsi="Times New Roman"/>
                <w:noProof/>
                <w:sz w:val="24"/>
                <w:szCs w:val="24"/>
              </w:rPr>
              <w:t xml:space="preserve">Fundación para la Investigación Biomédica Hospital Universitario 12 de Octubre, to host the </w:t>
            </w:r>
            <w:r>
              <w:rPr>
                <w:rFonts w:ascii="Times New Roman" w:hAnsi="Times New Roman"/>
                <w:noProof/>
                <w:sz w:val="24"/>
                <w:szCs w:val="24"/>
              </w:rPr>
              <w:t>Surveillance of cerebral palsy in Europe (SCPE) network</w:t>
            </w:r>
          </w:p>
        </w:tc>
      </w:tr>
    </w:tbl>
    <w:p w:rsidR="00764095" w:rsidRDefault="0076409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764095">
        <w:tc>
          <w:tcPr>
            <w:tcW w:w="9289" w:type="dxa"/>
            <w:shd w:val="clear" w:color="auto" w:fill="008080"/>
          </w:tcPr>
          <w:p w:rsidR="00764095" w:rsidRDefault="00F75A5B">
            <w:pPr>
              <w:jc w:val="both"/>
              <w:rPr>
                <w:rFonts w:ascii="Times New Roman" w:hAnsi="Times New Roman"/>
                <w:noProof/>
                <w:color w:val="FFFFFF"/>
                <w:sz w:val="24"/>
                <w:szCs w:val="24"/>
              </w:rPr>
            </w:pPr>
            <w:r>
              <w:rPr>
                <w:rFonts w:ascii="Times New Roman" w:hAnsi="Times New Roman"/>
                <w:noProof/>
                <w:color w:val="FFFFFF"/>
                <w:sz w:val="24"/>
                <w:szCs w:val="24"/>
              </w:rPr>
              <w:t>Renewals</w:t>
            </w:r>
          </w:p>
        </w:tc>
      </w:tr>
      <w:tr w:rsidR="00764095">
        <w:tc>
          <w:tcPr>
            <w:tcW w:w="9289" w:type="dxa"/>
            <w:shd w:val="clear" w:color="auto" w:fill="auto"/>
          </w:tcPr>
          <w:p w:rsidR="00764095" w:rsidRDefault="00F75A5B">
            <w:pPr>
              <w:jc w:val="both"/>
              <w:rPr>
                <w:rFonts w:ascii="Times New Roman" w:hAnsi="Times New Roman"/>
                <w:noProof/>
                <w:sz w:val="24"/>
                <w:szCs w:val="24"/>
              </w:rPr>
            </w:pPr>
            <w:r>
              <w:rPr>
                <w:rFonts w:ascii="Times New Roman" w:hAnsi="Times New Roman"/>
                <w:noProof/>
                <w:sz w:val="24"/>
                <w:szCs w:val="24"/>
              </w:rPr>
              <w:t>Alzheimer Europe</w:t>
            </w:r>
          </w:p>
        </w:tc>
      </w:tr>
      <w:tr w:rsidR="00764095">
        <w:tc>
          <w:tcPr>
            <w:tcW w:w="9289" w:type="dxa"/>
            <w:shd w:val="clear" w:color="auto" w:fill="auto"/>
          </w:tcPr>
          <w:p w:rsidR="00764095" w:rsidRDefault="00F75A5B">
            <w:pPr>
              <w:jc w:val="both"/>
              <w:rPr>
                <w:rFonts w:ascii="Times New Roman" w:hAnsi="Times New Roman"/>
                <w:noProof/>
                <w:sz w:val="24"/>
                <w:szCs w:val="24"/>
              </w:rPr>
            </w:pPr>
            <w:r>
              <w:rPr>
                <w:rFonts w:ascii="Times New Roman" w:hAnsi="Times New Roman"/>
                <w:noProof/>
                <w:sz w:val="24"/>
                <w:szCs w:val="24"/>
              </w:rPr>
              <w:t>EUROPA DONNA (The European Breast Cancer Coalition)</w:t>
            </w:r>
          </w:p>
        </w:tc>
      </w:tr>
      <w:tr w:rsidR="00764095">
        <w:tc>
          <w:tcPr>
            <w:tcW w:w="9289" w:type="dxa"/>
            <w:shd w:val="clear" w:color="auto" w:fill="auto"/>
          </w:tcPr>
          <w:p w:rsidR="00764095" w:rsidRDefault="00F75A5B">
            <w:pPr>
              <w:jc w:val="both"/>
              <w:rPr>
                <w:rFonts w:ascii="Times New Roman" w:hAnsi="Times New Roman"/>
                <w:noProof/>
                <w:sz w:val="24"/>
                <w:szCs w:val="24"/>
              </w:rPr>
            </w:pPr>
            <w:r>
              <w:rPr>
                <w:rFonts w:ascii="Times New Roman" w:hAnsi="Times New Roman"/>
                <w:noProof/>
                <w:sz w:val="24"/>
                <w:szCs w:val="24"/>
              </w:rPr>
              <w:t>European Alcohol Policy Alliance (EURO-Care)</w:t>
            </w:r>
          </w:p>
        </w:tc>
      </w:tr>
      <w:tr w:rsidR="00764095">
        <w:tc>
          <w:tcPr>
            <w:tcW w:w="9289" w:type="dxa"/>
            <w:shd w:val="clear" w:color="auto" w:fill="auto"/>
          </w:tcPr>
          <w:p w:rsidR="00764095" w:rsidRDefault="00F75A5B">
            <w:pPr>
              <w:jc w:val="both"/>
              <w:rPr>
                <w:rFonts w:ascii="Times New Roman" w:hAnsi="Times New Roman"/>
                <w:noProof/>
                <w:sz w:val="24"/>
                <w:szCs w:val="24"/>
              </w:rPr>
            </w:pPr>
            <w:r>
              <w:rPr>
                <w:rFonts w:ascii="Times New Roman" w:hAnsi="Times New Roman"/>
                <w:noProof/>
                <w:sz w:val="24"/>
                <w:szCs w:val="24"/>
              </w:rPr>
              <w:t>European Network for Smoking and Tobacco Prevention (ENSP)</w:t>
            </w:r>
          </w:p>
        </w:tc>
      </w:tr>
      <w:tr w:rsidR="00764095">
        <w:tc>
          <w:tcPr>
            <w:tcW w:w="9289" w:type="dxa"/>
            <w:shd w:val="clear" w:color="auto" w:fill="auto"/>
          </w:tcPr>
          <w:p w:rsidR="00764095" w:rsidRDefault="00F75A5B">
            <w:pPr>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noProof/>
                <w:sz w:val="24"/>
                <w:szCs w:val="24"/>
              </w:rPr>
              <w:t>European Organisation for Rare Diseases (EURORDIS)</w:t>
            </w:r>
          </w:p>
        </w:tc>
      </w:tr>
      <w:tr w:rsidR="00764095">
        <w:tc>
          <w:tcPr>
            <w:tcW w:w="9289" w:type="dxa"/>
            <w:shd w:val="clear" w:color="auto" w:fill="auto"/>
          </w:tcPr>
          <w:p w:rsidR="00764095" w:rsidRDefault="00F75A5B">
            <w:pPr>
              <w:jc w:val="both"/>
              <w:rPr>
                <w:rFonts w:ascii="Times New Roman" w:hAnsi="Times New Roman"/>
                <w:noProof/>
                <w:sz w:val="24"/>
                <w:szCs w:val="24"/>
              </w:rPr>
            </w:pPr>
            <w:r>
              <w:rPr>
                <w:rFonts w:ascii="Times New Roman" w:hAnsi="Times New Roman"/>
                <w:noProof/>
                <w:sz w:val="24"/>
                <w:szCs w:val="24"/>
              </w:rPr>
              <w:t>European Public Health Alliance (EPHA)</w:t>
            </w:r>
          </w:p>
        </w:tc>
      </w:tr>
      <w:tr w:rsidR="00764095">
        <w:tc>
          <w:tcPr>
            <w:tcW w:w="9289" w:type="dxa"/>
            <w:shd w:val="clear" w:color="auto" w:fill="auto"/>
          </w:tcPr>
          <w:p w:rsidR="00764095" w:rsidRDefault="00F75A5B">
            <w:pPr>
              <w:jc w:val="both"/>
              <w:rPr>
                <w:rFonts w:ascii="Times New Roman" w:hAnsi="Times New Roman"/>
                <w:noProof/>
                <w:sz w:val="24"/>
                <w:szCs w:val="24"/>
              </w:rPr>
            </w:pPr>
            <w:r>
              <w:rPr>
                <w:rFonts w:ascii="Times New Roman" w:hAnsi="Times New Roman"/>
                <w:noProof/>
                <w:sz w:val="24"/>
                <w:szCs w:val="24"/>
              </w:rPr>
              <w:t>European Patients’ Forum (EPF)</w:t>
            </w:r>
          </w:p>
        </w:tc>
      </w:tr>
      <w:tr w:rsidR="00764095">
        <w:tc>
          <w:tcPr>
            <w:tcW w:w="9289" w:type="dxa"/>
            <w:shd w:val="clear" w:color="auto" w:fill="auto"/>
          </w:tcPr>
          <w:p w:rsidR="00764095" w:rsidRDefault="00F75A5B">
            <w:pPr>
              <w:jc w:val="both"/>
              <w:rPr>
                <w:rFonts w:ascii="Times New Roman" w:hAnsi="Times New Roman"/>
                <w:noProof/>
                <w:sz w:val="24"/>
                <w:szCs w:val="24"/>
              </w:rPr>
            </w:pPr>
            <w:r>
              <w:rPr>
                <w:rFonts w:ascii="Times New Roman" w:hAnsi="Times New Roman"/>
                <w:noProof/>
                <w:sz w:val="24"/>
                <w:szCs w:val="24"/>
              </w:rPr>
              <w:t>PREVENT (for the European network on workplace health promotion)</w:t>
            </w:r>
          </w:p>
        </w:tc>
      </w:tr>
      <w:tr w:rsidR="00764095">
        <w:tc>
          <w:tcPr>
            <w:tcW w:w="9289" w:type="dxa"/>
            <w:shd w:val="clear" w:color="auto" w:fill="auto"/>
          </w:tcPr>
          <w:p w:rsidR="00764095" w:rsidRDefault="00F75A5B">
            <w:pPr>
              <w:jc w:val="both"/>
              <w:rPr>
                <w:rFonts w:ascii="Times New Roman" w:hAnsi="Times New Roman"/>
                <w:noProof/>
                <w:sz w:val="24"/>
                <w:szCs w:val="24"/>
              </w:rPr>
            </w:pPr>
            <w:r>
              <w:rPr>
                <w:rFonts w:ascii="Times New Roman" w:hAnsi="Times New Roman"/>
                <w:noProof/>
                <w:sz w:val="24"/>
                <w:szCs w:val="24"/>
              </w:rPr>
              <w:t xml:space="preserve">Stichting AIDS Fonds Soa AIDS Nederland (for the AIDS Action </w:t>
            </w:r>
            <w:r>
              <w:rPr>
                <w:rFonts w:ascii="Times New Roman" w:hAnsi="Times New Roman"/>
                <w:noProof/>
                <w:sz w:val="24"/>
                <w:szCs w:val="24"/>
              </w:rPr>
              <w:t>Europe network)</w:t>
            </w:r>
          </w:p>
        </w:tc>
      </w:tr>
      <w:tr w:rsidR="00764095">
        <w:tc>
          <w:tcPr>
            <w:tcW w:w="9289" w:type="dxa"/>
            <w:shd w:val="clear" w:color="auto" w:fill="auto"/>
          </w:tcPr>
          <w:p w:rsidR="00764095" w:rsidRDefault="00F75A5B">
            <w:pPr>
              <w:jc w:val="both"/>
              <w:rPr>
                <w:rFonts w:ascii="Times New Roman" w:hAnsi="Times New Roman"/>
                <w:noProof/>
                <w:sz w:val="24"/>
                <w:szCs w:val="24"/>
              </w:rPr>
            </w:pPr>
            <w:r>
              <w:rPr>
                <w:rFonts w:ascii="Times New Roman" w:hAnsi="Times New Roman"/>
                <w:noProof/>
                <w:sz w:val="24"/>
                <w:szCs w:val="24"/>
              </w:rPr>
              <w:lastRenderedPageBreak/>
              <w:t>Stichting Health Action International (HAI)</w:t>
            </w:r>
          </w:p>
        </w:tc>
      </w:tr>
      <w:tr w:rsidR="00764095" w:rsidRPr="007867A8">
        <w:tc>
          <w:tcPr>
            <w:tcW w:w="9289" w:type="dxa"/>
            <w:shd w:val="clear" w:color="auto" w:fill="auto"/>
          </w:tcPr>
          <w:p w:rsidR="00764095" w:rsidRDefault="00F75A5B">
            <w:pPr>
              <w:jc w:val="both"/>
              <w:rPr>
                <w:rFonts w:ascii="Times New Roman" w:hAnsi="Times New Roman"/>
                <w:noProof/>
                <w:sz w:val="24"/>
                <w:szCs w:val="24"/>
                <w:lang w:val="es-ES"/>
              </w:rPr>
            </w:pPr>
            <w:r>
              <w:rPr>
                <w:rFonts w:ascii="Times New Roman" w:hAnsi="Times New Roman"/>
                <w:noProof/>
                <w:sz w:val="24"/>
                <w:szCs w:val="24"/>
                <w:lang w:val="es-ES"/>
              </w:rPr>
              <w:t>Fundación Vasca de Innovación e Investigación Sanitarias (for the network of neonatal intensive care units)</w:t>
            </w:r>
          </w:p>
        </w:tc>
      </w:tr>
      <w:tr w:rsidR="00764095">
        <w:tc>
          <w:tcPr>
            <w:tcW w:w="9289" w:type="dxa"/>
            <w:shd w:val="clear" w:color="auto" w:fill="auto"/>
          </w:tcPr>
          <w:p w:rsidR="00764095" w:rsidRDefault="00F75A5B">
            <w:pPr>
              <w:jc w:val="both"/>
              <w:rPr>
                <w:rFonts w:ascii="Times New Roman" w:hAnsi="Times New Roman"/>
                <w:noProof/>
                <w:sz w:val="24"/>
                <w:szCs w:val="24"/>
              </w:rPr>
            </w:pPr>
            <w:r>
              <w:rPr>
                <w:rFonts w:ascii="Times New Roman" w:hAnsi="Times New Roman"/>
                <w:noProof/>
                <w:sz w:val="24"/>
                <w:szCs w:val="24"/>
              </w:rPr>
              <w:t>International Association for Ambulatory Surgery (IAAS)</w:t>
            </w:r>
          </w:p>
        </w:tc>
      </w:tr>
      <w:tr w:rsidR="00764095">
        <w:tc>
          <w:tcPr>
            <w:tcW w:w="9289" w:type="dxa"/>
            <w:shd w:val="clear" w:color="auto" w:fill="auto"/>
          </w:tcPr>
          <w:p w:rsidR="00764095" w:rsidRDefault="00F75A5B">
            <w:pPr>
              <w:jc w:val="both"/>
              <w:rPr>
                <w:rFonts w:ascii="Times New Roman" w:hAnsi="Times New Roman"/>
                <w:noProof/>
                <w:sz w:val="24"/>
                <w:szCs w:val="24"/>
              </w:rPr>
            </w:pPr>
            <w:r>
              <w:rPr>
                <w:rFonts w:ascii="Times New Roman" w:hAnsi="Times New Roman"/>
                <w:noProof/>
                <w:sz w:val="24"/>
                <w:szCs w:val="24"/>
              </w:rPr>
              <w:t>Statens Serum institute (for</w:t>
            </w:r>
            <w:r>
              <w:rPr>
                <w:rFonts w:ascii="Times New Roman" w:hAnsi="Times New Roman"/>
                <w:noProof/>
                <w:sz w:val="24"/>
                <w:szCs w:val="24"/>
              </w:rPr>
              <w:t xml:space="preserve"> the EURO-MoMo network: real-time mortality monitoring across Europe)</w:t>
            </w:r>
          </w:p>
        </w:tc>
      </w:tr>
      <w:tr w:rsidR="00764095">
        <w:tc>
          <w:tcPr>
            <w:tcW w:w="9289" w:type="dxa"/>
            <w:shd w:val="clear" w:color="auto" w:fill="auto"/>
          </w:tcPr>
          <w:p w:rsidR="00764095" w:rsidRDefault="00F75A5B">
            <w:pPr>
              <w:jc w:val="both"/>
              <w:rPr>
                <w:rFonts w:ascii="Times New Roman" w:hAnsi="Times New Roman"/>
                <w:noProof/>
                <w:sz w:val="24"/>
                <w:szCs w:val="24"/>
              </w:rPr>
            </w:pPr>
            <w:r>
              <w:rPr>
                <w:rFonts w:ascii="Times New Roman" w:hAnsi="Times New Roman"/>
                <w:noProof/>
                <w:sz w:val="24"/>
                <w:szCs w:val="24"/>
              </w:rPr>
              <w:t xml:space="preserve">CBO BV (for the </w:t>
            </w:r>
            <w:r>
              <w:rPr>
                <w:rFonts w:ascii="Times New Roman" w:hAnsi="Times New Roman"/>
                <w:noProof/>
                <w:sz w:val="24"/>
                <w:szCs w:val="24"/>
                <w:lang w:eastAsia="en-GB"/>
              </w:rPr>
              <w:t>Schools for Health in Europe (SHE) network)</w:t>
            </w:r>
          </w:p>
        </w:tc>
      </w:tr>
    </w:tbl>
    <w:p w:rsidR="00764095" w:rsidRDefault="00764095">
      <w:pPr>
        <w:jc w:val="both"/>
        <w:rPr>
          <w:rFonts w:ascii="Times New Roman" w:hAnsi="Times New Roman"/>
          <w:noProof/>
          <w:sz w:val="24"/>
          <w:szCs w:val="24"/>
        </w:rPr>
      </w:pPr>
    </w:p>
    <w:p w:rsidR="00764095" w:rsidRDefault="00F75A5B">
      <w:pPr>
        <w:jc w:val="both"/>
        <w:rPr>
          <w:rFonts w:ascii="Times New Roman" w:hAnsi="Times New Roman"/>
          <w:noProof/>
          <w:sz w:val="24"/>
          <w:szCs w:val="24"/>
        </w:rPr>
      </w:pPr>
      <w:r>
        <w:rPr>
          <w:rFonts w:ascii="Times New Roman" w:hAnsi="Times New Roman"/>
          <w:noProof/>
          <w:sz w:val="24"/>
          <w:szCs w:val="24"/>
        </w:rPr>
        <w:t>Annex 5 contains a table listing the operating grants funded. The EAHC database provides abstracts of these.</w:t>
      </w:r>
    </w:p>
    <w:p w:rsidR="00764095" w:rsidRDefault="00F75A5B">
      <w:pPr>
        <w:pStyle w:val="ManualHeading3"/>
        <w:rPr>
          <w:bCs/>
          <w:noProof/>
        </w:rPr>
      </w:pPr>
      <w:bookmarkStart w:id="37" w:name="_Toc388355516"/>
      <w:bookmarkStart w:id="38" w:name="_Toc389636409"/>
      <w:bookmarkStart w:id="39" w:name="_Toc390420270"/>
      <w:bookmarkStart w:id="40" w:name="_Toc404756136"/>
      <w:bookmarkStart w:id="41" w:name="_Toc408392862"/>
      <w:r>
        <w:t>1.4.4</w:t>
      </w:r>
      <w:r>
        <w:tab/>
      </w:r>
      <w:r>
        <w:rPr>
          <w:noProof/>
        </w:rPr>
        <w:t xml:space="preserve">Joint </w:t>
      </w:r>
      <w:r>
        <w:rPr>
          <w:noProof/>
        </w:rPr>
        <w:t>actions</w:t>
      </w:r>
      <w:bookmarkEnd w:id="37"/>
      <w:bookmarkEnd w:id="38"/>
      <w:bookmarkEnd w:id="39"/>
      <w:bookmarkEnd w:id="40"/>
      <w:bookmarkEnd w:id="41"/>
    </w:p>
    <w:p w:rsidR="00764095" w:rsidRDefault="00F75A5B">
      <w:pPr>
        <w:jc w:val="both"/>
        <w:rPr>
          <w:rFonts w:ascii="Times New Roman" w:hAnsi="Times New Roman"/>
          <w:noProof/>
          <w:sz w:val="24"/>
        </w:rPr>
      </w:pPr>
      <w:r>
        <w:rPr>
          <w:rFonts w:ascii="Times New Roman" w:hAnsi="Times New Roman"/>
          <w:noProof/>
          <w:sz w:val="24"/>
        </w:rPr>
        <w:t>Five proposals for joint actions were submitted and funded for a total of EUR 13 438 643.00. They were distributed among the programme strands as follows:</w:t>
      </w:r>
    </w:p>
    <w:p w:rsidR="00764095" w:rsidRDefault="00F75A5B">
      <w:pPr>
        <w:spacing w:before="120" w:after="120" w:line="240" w:lineRule="auto"/>
        <w:ind w:left="360"/>
        <w:jc w:val="both"/>
        <w:rPr>
          <w:rFonts w:ascii="Times New Roman" w:hAnsi="Times New Roman"/>
          <w:noProof/>
          <w:sz w:val="24"/>
        </w:rPr>
      </w:pPr>
      <w:r>
        <w:rPr>
          <w:rFonts w:ascii="Times New Roman" w:hAnsi="Times New Roman"/>
          <w:noProof/>
          <w:sz w:val="24"/>
        </w:rPr>
        <w:t>Health security:</w:t>
      </w:r>
      <w:r>
        <w:rPr>
          <w:rFonts w:ascii="Times New Roman" w:hAnsi="Times New Roman"/>
          <w:noProof/>
          <w:sz w:val="24"/>
        </w:rPr>
        <w:tab/>
      </w:r>
      <w:r>
        <w:rPr>
          <w:rFonts w:ascii="Times New Roman" w:hAnsi="Times New Roman"/>
          <w:noProof/>
          <w:sz w:val="24"/>
        </w:rPr>
        <w:tab/>
        <w:t>EUR 4 298 700.00 (two joint actions)</w:t>
      </w:r>
    </w:p>
    <w:p w:rsidR="00764095" w:rsidRDefault="00F75A5B">
      <w:pPr>
        <w:spacing w:before="120" w:after="120" w:line="240" w:lineRule="auto"/>
        <w:ind w:left="360"/>
        <w:jc w:val="both"/>
        <w:rPr>
          <w:rFonts w:ascii="Times New Roman" w:hAnsi="Times New Roman"/>
          <w:noProof/>
          <w:sz w:val="24"/>
        </w:rPr>
      </w:pPr>
      <w:r>
        <w:rPr>
          <w:rFonts w:ascii="Times New Roman" w:hAnsi="Times New Roman"/>
          <w:noProof/>
          <w:sz w:val="24"/>
        </w:rPr>
        <w:t>Health promotion:</w:t>
      </w:r>
      <w:r>
        <w:rPr>
          <w:rFonts w:ascii="Times New Roman" w:hAnsi="Times New Roman"/>
          <w:noProof/>
          <w:sz w:val="24"/>
        </w:rPr>
        <w:tab/>
      </w:r>
      <w:r>
        <w:rPr>
          <w:rFonts w:ascii="Times New Roman" w:hAnsi="Times New Roman"/>
          <w:noProof/>
          <w:sz w:val="24"/>
        </w:rPr>
        <w:tab/>
        <w:t>EUR 9 139 943.00 (t</w:t>
      </w:r>
      <w:r>
        <w:rPr>
          <w:rFonts w:ascii="Times New Roman" w:hAnsi="Times New Roman"/>
          <w:noProof/>
          <w:sz w:val="24"/>
        </w:rPr>
        <w:t>hree joint actions)</w:t>
      </w:r>
    </w:p>
    <w:p w:rsidR="00764095" w:rsidRDefault="00F75A5B">
      <w:pPr>
        <w:jc w:val="both"/>
        <w:rPr>
          <w:rFonts w:ascii="Times New Roman" w:hAnsi="Times New Roman"/>
          <w:noProof/>
          <w:sz w:val="24"/>
        </w:rPr>
      </w:pPr>
      <w:r>
        <w:rPr>
          <w:rFonts w:ascii="Times New Roman" w:hAnsi="Times New Roman"/>
          <w:noProof/>
          <w:sz w:val="24"/>
        </w:rPr>
        <w:t>These joint actions, which involved a large number of Member States and other countries taking part in the programme, focused on the following topics: pharmacovigilance, cancer control, reducing alcohol-related harm, chronic diseases, a</w:t>
      </w:r>
      <w:r>
        <w:rPr>
          <w:rFonts w:ascii="Times New Roman" w:hAnsi="Times New Roman"/>
          <w:noProof/>
          <w:sz w:val="24"/>
        </w:rPr>
        <w:t>ssisted reproductive technologies and haematopoietic stem cells for transplantation.</w:t>
      </w:r>
    </w:p>
    <w:p w:rsidR="00764095" w:rsidRDefault="00F75A5B">
      <w:pPr>
        <w:jc w:val="both"/>
        <w:rPr>
          <w:rFonts w:ascii="Times New Roman" w:hAnsi="Times New Roman"/>
          <w:noProof/>
          <w:sz w:val="24"/>
        </w:rPr>
      </w:pPr>
      <w:r>
        <w:rPr>
          <w:rFonts w:ascii="Times New Roman" w:hAnsi="Times New Roman"/>
          <w:noProof/>
          <w:sz w:val="24"/>
        </w:rPr>
        <w:t>Annex 6 contains a table listing the joint actions funded. The EAHC database provides abstracts of these.</w:t>
      </w:r>
    </w:p>
    <w:p w:rsidR="00764095" w:rsidRDefault="00F75A5B">
      <w:pPr>
        <w:pStyle w:val="ManualHeading2"/>
        <w:rPr>
          <w:noProof/>
        </w:rPr>
      </w:pPr>
      <w:bookmarkStart w:id="42" w:name="_Toc388355517"/>
      <w:bookmarkStart w:id="43" w:name="_Toc389636410"/>
      <w:bookmarkStart w:id="44" w:name="_Toc390420271"/>
      <w:bookmarkStart w:id="45" w:name="_Toc404756137"/>
      <w:bookmarkStart w:id="46" w:name="_Toc408392863"/>
      <w:bookmarkStart w:id="47" w:name="_Toc417032404"/>
      <w:r>
        <w:t>1.5</w:t>
      </w:r>
      <w:r>
        <w:tab/>
      </w:r>
      <w:r>
        <w:rPr>
          <w:noProof/>
        </w:rPr>
        <w:t>Direct grant agreements with international organisations</w:t>
      </w:r>
      <w:bookmarkEnd w:id="42"/>
      <w:bookmarkEnd w:id="43"/>
      <w:bookmarkEnd w:id="44"/>
      <w:bookmarkEnd w:id="45"/>
      <w:bookmarkEnd w:id="46"/>
      <w:bookmarkEnd w:id="47"/>
    </w:p>
    <w:p w:rsidR="00764095" w:rsidRDefault="00F75A5B">
      <w:pPr>
        <w:jc w:val="both"/>
        <w:rPr>
          <w:rFonts w:ascii="Times New Roman" w:hAnsi="Times New Roman"/>
          <w:noProof/>
          <w:sz w:val="24"/>
        </w:rPr>
      </w:pPr>
      <w:r>
        <w:rPr>
          <w:rFonts w:ascii="Times New Roman" w:hAnsi="Times New Roman"/>
          <w:noProof/>
          <w:sz w:val="24"/>
        </w:rPr>
        <w:t>In a</w:t>
      </w:r>
      <w:r>
        <w:rPr>
          <w:rFonts w:ascii="Times New Roman" w:hAnsi="Times New Roman"/>
          <w:noProof/>
          <w:sz w:val="24"/>
        </w:rPr>
        <w:t>ll, five direct grant agreements were signed, for a total of EUR 1 100 000 as follows:</w:t>
      </w:r>
    </w:p>
    <w:p w:rsidR="00764095" w:rsidRDefault="00F75A5B">
      <w:pPr>
        <w:numPr>
          <w:ilvl w:val="0"/>
          <w:numId w:val="20"/>
        </w:numPr>
        <w:tabs>
          <w:tab w:val="clear" w:pos="360"/>
          <w:tab w:val="num" w:pos="283"/>
        </w:tabs>
        <w:spacing w:before="120" w:after="120" w:line="240" w:lineRule="auto"/>
        <w:ind w:left="283" w:hanging="283"/>
        <w:jc w:val="both"/>
        <w:rPr>
          <w:rFonts w:ascii="Times New Roman" w:eastAsia="Times New Roman" w:hAnsi="Times New Roman"/>
          <w:noProof/>
          <w:sz w:val="24"/>
        </w:rPr>
      </w:pPr>
      <w:r>
        <w:rPr>
          <w:rFonts w:ascii="Times New Roman" w:eastAsia="Times New Roman" w:hAnsi="Times New Roman"/>
          <w:noProof/>
          <w:sz w:val="24"/>
        </w:rPr>
        <w:t>World Health Organisation (WHO):</w:t>
      </w:r>
    </w:p>
    <w:p w:rsidR="00764095" w:rsidRDefault="00F75A5B">
      <w:pPr>
        <w:numPr>
          <w:ilvl w:val="1"/>
          <w:numId w:val="20"/>
        </w:numPr>
        <w:spacing w:before="120" w:after="120" w:line="240" w:lineRule="auto"/>
        <w:jc w:val="both"/>
        <w:rPr>
          <w:rFonts w:ascii="Times New Roman" w:eastAsia="Times New Roman" w:hAnsi="Times New Roman"/>
          <w:noProof/>
          <w:sz w:val="24"/>
        </w:rPr>
      </w:pPr>
      <w:r>
        <w:rPr>
          <w:rFonts w:ascii="Times New Roman" w:eastAsia="Times New Roman" w:hAnsi="Times New Roman"/>
          <w:noProof/>
          <w:sz w:val="24"/>
        </w:rPr>
        <w:t>European obesity surveillance initiative</w:t>
      </w:r>
    </w:p>
    <w:p w:rsidR="00764095" w:rsidRDefault="00F75A5B">
      <w:pPr>
        <w:numPr>
          <w:ilvl w:val="1"/>
          <w:numId w:val="20"/>
        </w:numPr>
        <w:spacing w:before="120" w:after="120" w:line="240" w:lineRule="auto"/>
        <w:jc w:val="both"/>
        <w:rPr>
          <w:rFonts w:ascii="Times New Roman" w:eastAsia="Times New Roman" w:hAnsi="Times New Roman"/>
          <w:noProof/>
          <w:sz w:val="24"/>
        </w:rPr>
      </w:pPr>
      <w:r>
        <w:rPr>
          <w:rFonts w:ascii="Times New Roman" w:eastAsia="Times New Roman" w:hAnsi="Times New Roman"/>
          <w:noProof/>
          <w:sz w:val="24"/>
        </w:rPr>
        <w:t xml:space="preserve">European validation of minimal information model for patient safety incident  </w:t>
      </w:r>
      <w:r>
        <w:rPr>
          <w:rFonts w:ascii="Times New Roman" w:eastAsia="Times New Roman" w:hAnsi="Times New Roman"/>
          <w:noProof/>
          <w:sz w:val="24"/>
        </w:rPr>
        <w:br/>
      </w:r>
      <w:r>
        <w:rPr>
          <w:rFonts w:ascii="Times New Roman" w:eastAsia="Times New Roman" w:hAnsi="Times New Roman"/>
          <w:noProof/>
          <w:sz w:val="24"/>
        </w:rPr>
        <w:t xml:space="preserve">    reporting and learning  </w:t>
      </w:r>
    </w:p>
    <w:p w:rsidR="00764095" w:rsidRDefault="00F75A5B">
      <w:pPr>
        <w:numPr>
          <w:ilvl w:val="1"/>
          <w:numId w:val="20"/>
        </w:numPr>
        <w:spacing w:before="120" w:after="120" w:line="240" w:lineRule="auto"/>
        <w:jc w:val="both"/>
        <w:rPr>
          <w:rFonts w:ascii="Times New Roman" w:eastAsia="Times New Roman" w:hAnsi="Times New Roman"/>
          <w:noProof/>
          <w:sz w:val="24"/>
        </w:rPr>
      </w:pPr>
      <w:r>
        <w:rPr>
          <w:rFonts w:ascii="Times New Roman" w:eastAsia="Times New Roman" w:hAnsi="Times New Roman"/>
          <w:noProof/>
          <w:sz w:val="24"/>
        </w:rPr>
        <w:t>Integrated surveillance of non-communicable diseases</w:t>
      </w:r>
    </w:p>
    <w:p w:rsidR="00764095" w:rsidRDefault="00F75A5B">
      <w:pPr>
        <w:numPr>
          <w:ilvl w:val="0"/>
          <w:numId w:val="20"/>
        </w:numPr>
        <w:tabs>
          <w:tab w:val="clear" w:pos="360"/>
          <w:tab w:val="num" w:pos="283"/>
        </w:tabs>
        <w:spacing w:before="120" w:after="120" w:line="240" w:lineRule="auto"/>
        <w:ind w:left="283" w:hanging="283"/>
        <w:jc w:val="both"/>
        <w:rPr>
          <w:rFonts w:ascii="Times New Roman" w:eastAsia="Times New Roman" w:hAnsi="Times New Roman"/>
          <w:noProof/>
          <w:sz w:val="24"/>
        </w:rPr>
      </w:pPr>
      <w:r>
        <w:rPr>
          <w:rFonts w:ascii="Times New Roman" w:eastAsia="Times New Roman" w:hAnsi="Times New Roman"/>
          <w:noProof/>
          <w:sz w:val="24"/>
        </w:rPr>
        <w:t>Organisation for Economic Cooperation and Development (OECD):</w:t>
      </w:r>
    </w:p>
    <w:p w:rsidR="00764095" w:rsidRDefault="00F75A5B">
      <w:pPr>
        <w:numPr>
          <w:ilvl w:val="1"/>
          <w:numId w:val="20"/>
        </w:numPr>
        <w:spacing w:before="120" w:after="120" w:line="240" w:lineRule="auto"/>
        <w:jc w:val="both"/>
        <w:rPr>
          <w:rFonts w:ascii="Times New Roman" w:eastAsia="Times New Roman" w:hAnsi="Times New Roman"/>
          <w:noProof/>
          <w:sz w:val="24"/>
        </w:rPr>
      </w:pPr>
      <w:r>
        <w:rPr>
          <w:rFonts w:ascii="Times New Roman" w:eastAsia="Times New Roman" w:hAnsi="Times New Roman"/>
          <w:noProof/>
          <w:sz w:val="24"/>
        </w:rPr>
        <w:t>Training for health professionals</w:t>
      </w:r>
    </w:p>
    <w:p w:rsidR="00764095" w:rsidRDefault="00F75A5B">
      <w:pPr>
        <w:numPr>
          <w:ilvl w:val="1"/>
          <w:numId w:val="20"/>
        </w:numPr>
        <w:spacing w:before="120" w:after="120" w:line="240" w:lineRule="auto"/>
        <w:jc w:val="both"/>
        <w:rPr>
          <w:rFonts w:ascii="Times New Roman" w:eastAsia="Times New Roman" w:hAnsi="Times New Roman"/>
          <w:noProof/>
          <w:sz w:val="24"/>
        </w:rPr>
      </w:pPr>
      <w:r>
        <w:rPr>
          <w:rFonts w:ascii="Times New Roman" w:eastAsia="Times New Roman" w:hAnsi="Times New Roman"/>
          <w:noProof/>
          <w:sz w:val="24"/>
        </w:rPr>
        <w:t>Health at a glance 2014</w:t>
      </w:r>
    </w:p>
    <w:p w:rsidR="00764095" w:rsidRDefault="00764095">
      <w:pPr>
        <w:spacing w:before="120" w:after="120" w:line="240" w:lineRule="auto"/>
        <w:ind w:left="972"/>
        <w:jc w:val="both"/>
        <w:rPr>
          <w:rFonts w:ascii="Times New Roman" w:eastAsia="Times New Roman" w:hAnsi="Times New Roman"/>
          <w:noProof/>
          <w:sz w:val="24"/>
        </w:rPr>
      </w:pPr>
    </w:p>
    <w:p w:rsidR="00764095" w:rsidRDefault="00F75A5B">
      <w:pPr>
        <w:jc w:val="both"/>
        <w:rPr>
          <w:rFonts w:ascii="Times New Roman" w:hAnsi="Times New Roman"/>
          <w:noProof/>
          <w:sz w:val="24"/>
        </w:rPr>
      </w:pPr>
      <w:r>
        <w:rPr>
          <w:rFonts w:ascii="Times New Roman" w:hAnsi="Times New Roman"/>
          <w:noProof/>
          <w:sz w:val="24"/>
        </w:rPr>
        <w:t>Annex 7 contains a table listing the direct grant agr</w:t>
      </w:r>
      <w:r>
        <w:rPr>
          <w:rFonts w:ascii="Times New Roman" w:hAnsi="Times New Roman"/>
          <w:noProof/>
          <w:sz w:val="24"/>
        </w:rPr>
        <w:t>eements that were funded.</w:t>
      </w:r>
    </w:p>
    <w:p w:rsidR="00764095" w:rsidRDefault="00F75A5B">
      <w:pPr>
        <w:pStyle w:val="ManualHeading2"/>
        <w:rPr>
          <w:noProof/>
        </w:rPr>
      </w:pPr>
      <w:bookmarkStart w:id="48" w:name="_Toc388355518"/>
      <w:bookmarkStart w:id="49" w:name="_Toc389636411"/>
      <w:bookmarkStart w:id="50" w:name="_Toc390420272"/>
      <w:bookmarkStart w:id="51" w:name="_Toc404756138"/>
      <w:bookmarkStart w:id="52" w:name="_Toc408392864"/>
      <w:bookmarkStart w:id="53" w:name="_Toc417032405"/>
      <w:r>
        <w:lastRenderedPageBreak/>
        <w:t>1.6</w:t>
      </w:r>
      <w:r>
        <w:tab/>
      </w:r>
      <w:r>
        <w:rPr>
          <w:noProof/>
        </w:rPr>
        <w:t>Procurements (service contracts)</w:t>
      </w:r>
      <w:bookmarkEnd w:id="48"/>
      <w:bookmarkEnd w:id="49"/>
      <w:bookmarkEnd w:id="50"/>
      <w:bookmarkEnd w:id="51"/>
      <w:bookmarkEnd w:id="52"/>
      <w:bookmarkEnd w:id="53"/>
    </w:p>
    <w:p w:rsidR="00764095" w:rsidRDefault="00F75A5B">
      <w:pPr>
        <w:jc w:val="both"/>
        <w:rPr>
          <w:rFonts w:ascii="Times New Roman" w:hAnsi="Times New Roman"/>
          <w:noProof/>
          <w:sz w:val="24"/>
        </w:rPr>
      </w:pPr>
      <w:r>
        <w:rPr>
          <w:rFonts w:ascii="Times New Roman" w:hAnsi="Times New Roman"/>
          <w:noProof/>
          <w:sz w:val="24"/>
        </w:rPr>
        <w:t>DG SANCO signed service contracts under the health security, health promotion and health information strands of the Health Programme and specific requests for IT services under existing framewo</w:t>
      </w:r>
      <w:r>
        <w:rPr>
          <w:rFonts w:ascii="Times New Roman" w:hAnsi="Times New Roman"/>
          <w:noProof/>
          <w:sz w:val="24"/>
        </w:rPr>
        <w:t>rk contracts</w:t>
      </w:r>
      <w:r>
        <w:rPr>
          <w:noProof/>
        </w:rPr>
        <w:t>.</w:t>
      </w:r>
      <w:r>
        <w:rPr>
          <w:rFonts w:ascii="Times New Roman" w:hAnsi="Times New Roman"/>
          <w:noProof/>
          <w:sz w:val="24"/>
        </w:rPr>
        <w:t xml:space="preserve"> The overall public procurement budget managed by DG SANCO amounted to EUR</w:t>
      </w:r>
      <w:r>
        <w:rPr>
          <w:rFonts w:ascii="Times New Roman" w:hAnsi="Times New Roman"/>
          <w:noProof/>
          <w:w w:val="50"/>
          <w:sz w:val="24"/>
        </w:rPr>
        <w:t xml:space="preserve"> </w:t>
      </w:r>
      <w:r>
        <w:rPr>
          <w:rFonts w:ascii="Times New Roman" w:hAnsi="Times New Roman"/>
          <w:noProof/>
          <w:sz w:val="24"/>
        </w:rPr>
        <w:t>5 378 332.42. EAHC managed 26 service contracts (seven under health security, 12 under health promotion and nine under health information) for a total of EUR 6 107 377.</w:t>
      </w:r>
      <w:r>
        <w:rPr>
          <w:rFonts w:ascii="Times New Roman" w:hAnsi="Times New Roman"/>
          <w:noProof/>
          <w:sz w:val="24"/>
        </w:rPr>
        <w:t>04. The amounts per strand and authorising organisation were as follows:</w:t>
      </w:r>
    </w:p>
    <w:tbl>
      <w:tblPr>
        <w:tblW w:w="8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089"/>
        <w:gridCol w:w="1924"/>
        <w:gridCol w:w="1812"/>
      </w:tblGrid>
      <w:tr w:rsidR="00764095">
        <w:trPr>
          <w:trHeight w:val="275"/>
        </w:trPr>
        <w:tc>
          <w:tcPr>
            <w:tcW w:w="2835" w:type="dxa"/>
            <w:shd w:val="clear" w:color="auto" w:fill="008080"/>
            <w:noWrap/>
            <w:vAlign w:val="center"/>
          </w:tcPr>
          <w:p w:rsidR="00764095" w:rsidRDefault="00F75A5B">
            <w:pPr>
              <w:spacing w:before="40" w:after="40"/>
              <w:rPr>
                <w:rFonts w:ascii="Times New Roman" w:hAnsi="Times New Roman"/>
                <w:noProof/>
                <w:color w:val="FFFFFF"/>
                <w:sz w:val="24"/>
              </w:rPr>
            </w:pPr>
            <w:r>
              <w:rPr>
                <w:rFonts w:ascii="Times New Roman" w:hAnsi="Times New Roman"/>
                <w:noProof/>
                <w:color w:val="FFFFFF"/>
                <w:sz w:val="24"/>
              </w:rPr>
              <w:t>Programme objective</w:t>
            </w:r>
          </w:p>
        </w:tc>
        <w:tc>
          <w:tcPr>
            <w:tcW w:w="2089" w:type="dxa"/>
            <w:shd w:val="clear" w:color="auto" w:fill="008080"/>
            <w:noWrap/>
            <w:vAlign w:val="center"/>
          </w:tcPr>
          <w:p w:rsidR="00764095" w:rsidRDefault="00F75A5B">
            <w:pPr>
              <w:spacing w:before="40" w:after="40"/>
              <w:rPr>
                <w:rFonts w:ascii="Times New Roman" w:hAnsi="Times New Roman"/>
                <w:noProof/>
                <w:color w:val="FFFFFF"/>
                <w:sz w:val="24"/>
              </w:rPr>
            </w:pPr>
            <w:r>
              <w:rPr>
                <w:rFonts w:ascii="Times New Roman" w:hAnsi="Times New Roman"/>
                <w:noProof/>
                <w:color w:val="FFFFFF"/>
                <w:sz w:val="24"/>
              </w:rPr>
              <w:t>Tenders/contracts SANCO</w:t>
            </w:r>
          </w:p>
        </w:tc>
        <w:tc>
          <w:tcPr>
            <w:tcW w:w="1924" w:type="dxa"/>
            <w:shd w:val="clear" w:color="auto" w:fill="008080"/>
            <w:noWrap/>
            <w:vAlign w:val="center"/>
          </w:tcPr>
          <w:p w:rsidR="00764095" w:rsidRDefault="00F75A5B">
            <w:pPr>
              <w:spacing w:before="40" w:after="40"/>
              <w:rPr>
                <w:rFonts w:ascii="Times New Roman" w:hAnsi="Times New Roman"/>
                <w:noProof/>
                <w:color w:val="FFFFFF"/>
                <w:sz w:val="24"/>
              </w:rPr>
            </w:pPr>
            <w:r>
              <w:rPr>
                <w:rFonts w:ascii="Times New Roman" w:hAnsi="Times New Roman"/>
                <w:noProof/>
                <w:color w:val="FFFFFF"/>
                <w:sz w:val="24"/>
              </w:rPr>
              <w:t>Tenders/contracts EAHC</w:t>
            </w:r>
          </w:p>
        </w:tc>
        <w:tc>
          <w:tcPr>
            <w:tcW w:w="1812" w:type="dxa"/>
            <w:shd w:val="clear" w:color="auto" w:fill="008080"/>
            <w:noWrap/>
            <w:vAlign w:val="center"/>
          </w:tcPr>
          <w:p w:rsidR="00764095" w:rsidRDefault="00F75A5B">
            <w:pPr>
              <w:spacing w:before="40" w:after="40"/>
              <w:rPr>
                <w:rFonts w:ascii="Times New Roman" w:hAnsi="Times New Roman"/>
                <w:noProof/>
                <w:color w:val="FFFFFF"/>
                <w:sz w:val="24"/>
              </w:rPr>
            </w:pPr>
            <w:r>
              <w:rPr>
                <w:rFonts w:ascii="Times New Roman" w:hAnsi="Times New Roman"/>
                <w:noProof/>
                <w:color w:val="FFFFFF"/>
                <w:sz w:val="24"/>
              </w:rPr>
              <w:t>Total tenders/ contracts</w:t>
            </w:r>
          </w:p>
        </w:tc>
      </w:tr>
      <w:tr w:rsidR="00764095">
        <w:trPr>
          <w:trHeight w:val="275"/>
        </w:trPr>
        <w:tc>
          <w:tcPr>
            <w:tcW w:w="2835" w:type="dxa"/>
            <w:noWrap/>
            <w:vAlign w:val="center"/>
          </w:tcPr>
          <w:p w:rsidR="00764095" w:rsidRDefault="00F75A5B">
            <w:pPr>
              <w:spacing w:before="40" w:after="40"/>
              <w:jc w:val="both"/>
              <w:rPr>
                <w:rFonts w:ascii="Times New Roman" w:hAnsi="Times New Roman"/>
                <w:noProof/>
                <w:sz w:val="24"/>
              </w:rPr>
            </w:pPr>
            <w:r>
              <w:rPr>
                <w:rFonts w:ascii="Times New Roman" w:hAnsi="Times New Roman"/>
                <w:noProof/>
                <w:sz w:val="24"/>
              </w:rPr>
              <w:t>Health security</w:t>
            </w:r>
          </w:p>
        </w:tc>
        <w:tc>
          <w:tcPr>
            <w:tcW w:w="2089" w:type="dxa"/>
            <w:shd w:val="clear" w:color="auto" w:fill="auto"/>
            <w:noWrap/>
            <w:vAlign w:val="bottom"/>
          </w:tcPr>
          <w:p w:rsidR="00764095" w:rsidRDefault="00F75A5B">
            <w:pPr>
              <w:spacing w:before="40" w:after="40"/>
              <w:jc w:val="right"/>
              <w:rPr>
                <w:rFonts w:ascii="Times New Roman" w:hAnsi="Times New Roman"/>
                <w:noProof/>
                <w:sz w:val="24"/>
              </w:rPr>
            </w:pPr>
            <w:r>
              <w:rPr>
                <w:rFonts w:ascii="Times New Roman" w:hAnsi="Times New Roman"/>
                <w:noProof/>
                <w:sz w:val="24"/>
              </w:rPr>
              <w:t>1 482 661.12</w:t>
            </w:r>
          </w:p>
        </w:tc>
        <w:tc>
          <w:tcPr>
            <w:tcW w:w="1924" w:type="dxa"/>
            <w:shd w:val="clear" w:color="auto" w:fill="auto"/>
            <w:noWrap/>
            <w:vAlign w:val="bottom"/>
          </w:tcPr>
          <w:p w:rsidR="00764095" w:rsidRDefault="00F75A5B">
            <w:pPr>
              <w:spacing w:before="40" w:after="40"/>
              <w:jc w:val="right"/>
              <w:rPr>
                <w:rFonts w:ascii="Times New Roman" w:hAnsi="Times New Roman"/>
                <w:noProof/>
                <w:sz w:val="24"/>
              </w:rPr>
            </w:pPr>
            <w:r>
              <w:rPr>
                <w:rFonts w:ascii="Times New Roman" w:hAnsi="Times New Roman"/>
                <w:noProof/>
                <w:sz w:val="24"/>
              </w:rPr>
              <w:t>1 420 790.80</w:t>
            </w:r>
          </w:p>
        </w:tc>
        <w:tc>
          <w:tcPr>
            <w:tcW w:w="1812" w:type="dxa"/>
            <w:shd w:val="clear" w:color="auto" w:fill="auto"/>
            <w:noWrap/>
            <w:vAlign w:val="bottom"/>
          </w:tcPr>
          <w:p w:rsidR="00764095" w:rsidRDefault="00F75A5B">
            <w:pPr>
              <w:spacing w:before="40" w:after="40"/>
              <w:jc w:val="right"/>
              <w:rPr>
                <w:rFonts w:ascii="Times New Roman" w:hAnsi="Times New Roman"/>
                <w:noProof/>
                <w:sz w:val="24"/>
              </w:rPr>
            </w:pPr>
            <w:r>
              <w:rPr>
                <w:rFonts w:ascii="Times New Roman" w:hAnsi="Times New Roman"/>
                <w:noProof/>
                <w:sz w:val="24"/>
              </w:rPr>
              <w:t>2 903 451.92</w:t>
            </w:r>
          </w:p>
        </w:tc>
      </w:tr>
      <w:tr w:rsidR="00764095">
        <w:trPr>
          <w:trHeight w:val="275"/>
        </w:trPr>
        <w:tc>
          <w:tcPr>
            <w:tcW w:w="2835" w:type="dxa"/>
            <w:noWrap/>
            <w:vAlign w:val="center"/>
          </w:tcPr>
          <w:p w:rsidR="00764095" w:rsidRDefault="00F75A5B">
            <w:pPr>
              <w:spacing w:before="40" w:after="40"/>
              <w:jc w:val="both"/>
              <w:rPr>
                <w:rFonts w:ascii="Times New Roman" w:hAnsi="Times New Roman"/>
                <w:noProof/>
                <w:sz w:val="24"/>
              </w:rPr>
            </w:pPr>
            <w:r>
              <w:rPr>
                <w:rFonts w:ascii="Times New Roman" w:hAnsi="Times New Roman"/>
                <w:noProof/>
                <w:sz w:val="24"/>
              </w:rPr>
              <w:t>Health promotion</w:t>
            </w:r>
          </w:p>
        </w:tc>
        <w:tc>
          <w:tcPr>
            <w:tcW w:w="2089" w:type="dxa"/>
            <w:shd w:val="clear" w:color="auto" w:fill="auto"/>
            <w:noWrap/>
            <w:vAlign w:val="bottom"/>
          </w:tcPr>
          <w:p w:rsidR="00764095" w:rsidRDefault="00F75A5B">
            <w:pPr>
              <w:spacing w:before="40" w:after="40"/>
              <w:jc w:val="right"/>
              <w:rPr>
                <w:rFonts w:ascii="Times New Roman" w:hAnsi="Times New Roman"/>
                <w:noProof/>
                <w:sz w:val="24"/>
              </w:rPr>
            </w:pPr>
            <w:r>
              <w:rPr>
                <w:rFonts w:ascii="Times New Roman" w:hAnsi="Times New Roman"/>
                <w:noProof/>
                <w:sz w:val="24"/>
              </w:rPr>
              <w:t>1 022 113.64</w:t>
            </w:r>
          </w:p>
        </w:tc>
        <w:tc>
          <w:tcPr>
            <w:tcW w:w="1924" w:type="dxa"/>
            <w:shd w:val="clear" w:color="auto" w:fill="auto"/>
            <w:noWrap/>
            <w:vAlign w:val="bottom"/>
          </w:tcPr>
          <w:p w:rsidR="00764095" w:rsidRDefault="00F75A5B">
            <w:pPr>
              <w:spacing w:before="40" w:after="40"/>
              <w:jc w:val="right"/>
              <w:rPr>
                <w:rFonts w:ascii="Times New Roman" w:hAnsi="Times New Roman"/>
                <w:noProof/>
                <w:sz w:val="24"/>
              </w:rPr>
            </w:pPr>
            <w:r>
              <w:rPr>
                <w:rFonts w:ascii="Times New Roman" w:hAnsi="Times New Roman"/>
                <w:noProof/>
                <w:sz w:val="24"/>
              </w:rPr>
              <w:t xml:space="preserve">3 </w:t>
            </w:r>
            <w:r>
              <w:rPr>
                <w:rFonts w:ascii="Times New Roman" w:hAnsi="Times New Roman"/>
                <w:noProof/>
                <w:sz w:val="24"/>
              </w:rPr>
              <w:t>504 417.50</w:t>
            </w:r>
          </w:p>
        </w:tc>
        <w:tc>
          <w:tcPr>
            <w:tcW w:w="1812" w:type="dxa"/>
            <w:shd w:val="clear" w:color="auto" w:fill="auto"/>
            <w:noWrap/>
            <w:vAlign w:val="bottom"/>
          </w:tcPr>
          <w:p w:rsidR="00764095" w:rsidRDefault="00F75A5B">
            <w:pPr>
              <w:spacing w:before="40" w:after="40"/>
              <w:jc w:val="right"/>
              <w:rPr>
                <w:rFonts w:ascii="Times New Roman" w:hAnsi="Times New Roman"/>
                <w:noProof/>
                <w:sz w:val="24"/>
              </w:rPr>
            </w:pPr>
            <w:r>
              <w:rPr>
                <w:rFonts w:ascii="Times New Roman" w:hAnsi="Times New Roman"/>
                <w:noProof/>
                <w:sz w:val="24"/>
              </w:rPr>
              <w:t>4 526 531.14</w:t>
            </w:r>
          </w:p>
        </w:tc>
      </w:tr>
      <w:tr w:rsidR="00764095">
        <w:trPr>
          <w:trHeight w:val="275"/>
        </w:trPr>
        <w:tc>
          <w:tcPr>
            <w:tcW w:w="2835" w:type="dxa"/>
            <w:noWrap/>
            <w:vAlign w:val="center"/>
          </w:tcPr>
          <w:p w:rsidR="00764095" w:rsidRDefault="00F75A5B">
            <w:pPr>
              <w:spacing w:before="40" w:after="40"/>
              <w:jc w:val="both"/>
              <w:rPr>
                <w:rFonts w:ascii="Times New Roman" w:hAnsi="Times New Roman"/>
                <w:noProof/>
                <w:sz w:val="24"/>
              </w:rPr>
            </w:pPr>
            <w:r>
              <w:rPr>
                <w:rFonts w:ascii="Times New Roman" w:hAnsi="Times New Roman"/>
                <w:noProof/>
                <w:sz w:val="24"/>
              </w:rPr>
              <w:t xml:space="preserve">Health information </w:t>
            </w:r>
          </w:p>
        </w:tc>
        <w:tc>
          <w:tcPr>
            <w:tcW w:w="2089" w:type="dxa"/>
            <w:shd w:val="clear" w:color="auto" w:fill="auto"/>
            <w:noWrap/>
            <w:vAlign w:val="bottom"/>
          </w:tcPr>
          <w:p w:rsidR="00764095" w:rsidRDefault="00F75A5B">
            <w:pPr>
              <w:spacing w:before="40" w:after="40"/>
              <w:jc w:val="right"/>
              <w:rPr>
                <w:rFonts w:ascii="Times New Roman" w:hAnsi="Times New Roman"/>
                <w:noProof/>
                <w:sz w:val="24"/>
              </w:rPr>
            </w:pPr>
            <w:r>
              <w:rPr>
                <w:rFonts w:ascii="Times New Roman" w:hAnsi="Times New Roman"/>
                <w:noProof/>
                <w:sz w:val="24"/>
              </w:rPr>
              <w:t>1 191 357.11</w:t>
            </w:r>
          </w:p>
        </w:tc>
        <w:tc>
          <w:tcPr>
            <w:tcW w:w="1924" w:type="dxa"/>
            <w:shd w:val="clear" w:color="auto" w:fill="auto"/>
            <w:noWrap/>
            <w:vAlign w:val="bottom"/>
          </w:tcPr>
          <w:p w:rsidR="00764095" w:rsidRDefault="00F75A5B">
            <w:pPr>
              <w:spacing w:before="40" w:after="40"/>
              <w:jc w:val="right"/>
              <w:rPr>
                <w:rFonts w:ascii="Times New Roman" w:hAnsi="Times New Roman"/>
                <w:noProof/>
                <w:sz w:val="24"/>
              </w:rPr>
            </w:pPr>
            <w:r>
              <w:rPr>
                <w:rFonts w:ascii="Times New Roman" w:hAnsi="Times New Roman"/>
                <w:noProof/>
                <w:sz w:val="24"/>
              </w:rPr>
              <w:t>1 182 168.74</w:t>
            </w:r>
          </w:p>
        </w:tc>
        <w:tc>
          <w:tcPr>
            <w:tcW w:w="1812" w:type="dxa"/>
            <w:shd w:val="clear" w:color="auto" w:fill="auto"/>
            <w:noWrap/>
            <w:vAlign w:val="bottom"/>
          </w:tcPr>
          <w:p w:rsidR="00764095" w:rsidRDefault="00F75A5B">
            <w:pPr>
              <w:spacing w:before="40" w:after="40"/>
              <w:jc w:val="right"/>
              <w:rPr>
                <w:rFonts w:ascii="Times New Roman" w:hAnsi="Times New Roman"/>
                <w:noProof/>
                <w:sz w:val="24"/>
              </w:rPr>
            </w:pPr>
            <w:r>
              <w:rPr>
                <w:rFonts w:ascii="Times New Roman" w:hAnsi="Times New Roman"/>
                <w:noProof/>
                <w:sz w:val="24"/>
              </w:rPr>
              <w:t>2 373 525.85</w:t>
            </w:r>
          </w:p>
        </w:tc>
      </w:tr>
      <w:tr w:rsidR="00764095">
        <w:trPr>
          <w:trHeight w:val="275"/>
        </w:trPr>
        <w:tc>
          <w:tcPr>
            <w:tcW w:w="2835" w:type="dxa"/>
            <w:noWrap/>
            <w:vAlign w:val="bottom"/>
          </w:tcPr>
          <w:p w:rsidR="00764095" w:rsidRDefault="00F75A5B">
            <w:pPr>
              <w:spacing w:before="40" w:after="40"/>
              <w:jc w:val="both"/>
              <w:rPr>
                <w:rFonts w:ascii="Times New Roman" w:hAnsi="Times New Roman"/>
                <w:noProof/>
                <w:sz w:val="24"/>
              </w:rPr>
            </w:pPr>
            <w:r>
              <w:rPr>
                <w:rFonts w:ascii="Times New Roman" w:hAnsi="Times New Roman"/>
                <w:noProof/>
                <w:sz w:val="24"/>
              </w:rPr>
              <w:t>Horizontal (IT services)</w:t>
            </w:r>
          </w:p>
        </w:tc>
        <w:tc>
          <w:tcPr>
            <w:tcW w:w="2089" w:type="dxa"/>
            <w:tcBorders>
              <w:bottom w:val="single" w:sz="4" w:space="0" w:color="auto"/>
            </w:tcBorders>
            <w:shd w:val="clear" w:color="auto" w:fill="auto"/>
            <w:noWrap/>
            <w:vAlign w:val="bottom"/>
          </w:tcPr>
          <w:p w:rsidR="00764095" w:rsidRDefault="00F75A5B">
            <w:pPr>
              <w:spacing w:before="40" w:after="40"/>
              <w:jc w:val="right"/>
              <w:rPr>
                <w:rFonts w:ascii="Times New Roman" w:hAnsi="Times New Roman"/>
                <w:noProof/>
                <w:sz w:val="24"/>
              </w:rPr>
            </w:pPr>
            <w:r>
              <w:rPr>
                <w:rFonts w:ascii="Times New Roman" w:hAnsi="Times New Roman"/>
                <w:noProof/>
                <w:sz w:val="24"/>
              </w:rPr>
              <w:t xml:space="preserve"> 1 682 200.55</w:t>
            </w:r>
          </w:p>
        </w:tc>
        <w:tc>
          <w:tcPr>
            <w:tcW w:w="1924" w:type="dxa"/>
            <w:shd w:val="clear" w:color="auto" w:fill="auto"/>
            <w:noWrap/>
            <w:vAlign w:val="bottom"/>
          </w:tcPr>
          <w:p w:rsidR="00764095" w:rsidRDefault="00F75A5B">
            <w:pPr>
              <w:spacing w:before="40" w:after="40"/>
              <w:jc w:val="right"/>
              <w:rPr>
                <w:rFonts w:ascii="Times New Roman" w:hAnsi="Times New Roman"/>
                <w:noProof/>
                <w:sz w:val="24"/>
              </w:rPr>
            </w:pPr>
            <w:r>
              <w:rPr>
                <w:rFonts w:ascii="Times New Roman" w:hAnsi="Times New Roman"/>
                <w:noProof/>
                <w:sz w:val="24"/>
              </w:rPr>
              <w:t>0</w:t>
            </w:r>
          </w:p>
        </w:tc>
        <w:tc>
          <w:tcPr>
            <w:tcW w:w="1812" w:type="dxa"/>
            <w:shd w:val="clear" w:color="auto" w:fill="auto"/>
            <w:noWrap/>
            <w:vAlign w:val="bottom"/>
          </w:tcPr>
          <w:p w:rsidR="00764095" w:rsidRDefault="00F75A5B">
            <w:pPr>
              <w:spacing w:before="40" w:after="40"/>
              <w:jc w:val="right"/>
              <w:rPr>
                <w:rFonts w:ascii="Times New Roman" w:hAnsi="Times New Roman"/>
                <w:noProof/>
                <w:sz w:val="24"/>
              </w:rPr>
            </w:pPr>
            <w:r>
              <w:rPr>
                <w:rFonts w:ascii="Times New Roman" w:hAnsi="Times New Roman"/>
                <w:noProof/>
                <w:sz w:val="24"/>
              </w:rPr>
              <w:t>1 682 200.55</w:t>
            </w:r>
          </w:p>
        </w:tc>
      </w:tr>
      <w:tr w:rsidR="00764095">
        <w:trPr>
          <w:trHeight w:val="275"/>
        </w:trPr>
        <w:tc>
          <w:tcPr>
            <w:tcW w:w="2835" w:type="dxa"/>
            <w:tcBorders>
              <w:right w:val="single" w:sz="4" w:space="0" w:color="auto"/>
            </w:tcBorders>
            <w:noWrap/>
            <w:vAlign w:val="bottom"/>
          </w:tcPr>
          <w:p w:rsidR="00764095" w:rsidRDefault="00F75A5B">
            <w:pPr>
              <w:spacing w:before="40" w:after="40"/>
              <w:jc w:val="both"/>
              <w:rPr>
                <w:rFonts w:ascii="Times New Roman" w:hAnsi="Times New Roman"/>
                <w:b/>
                <w:noProof/>
                <w:sz w:val="24"/>
              </w:rPr>
            </w:pPr>
            <w:r>
              <w:rPr>
                <w:rFonts w:ascii="Times New Roman" w:hAnsi="Times New Roman"/>
                <w:b/>
                <w:noProof/>
                <w:sz w:val="24"/>
              </w:rPr>
              <w:t>Total</w:t>
            </w:r>
          </w:p>
        </w:tc>
        <w:tc>
          <w:tcPr>
            <w:tcW w:w="20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4095" w:rsidRDefault="00F75A5B">
            <w:pPr>
              <w:spacing w:before="40" w:after="40"/>
              <w:jc w:val="right"/>
              <w:rPr>
                <w:rFonts w:ascii="Times New Roman" w:hAnsi="Times New Roman"/>
                <w:b/>
                <w:noProof/>
                <w:sz w:val="24"/>
              </w:rPr>
            </w:pPr>
            <w:r>
              <w:rPr>
                <w:rFonts w:ascii="Times New Roman" w:hAnsi="Times New Roman"/>
                <w:noProof/>
                <w:sz w:val="24"/>
              </w:rPr>
              <w:t xml:space="preserve">5 378 332.42  </w:t>
            </w:r>
            <w:r>
              <w:rPr>
                <w:rFonts w:ascii="Times New Roman" w:hAnsi="Times New Roman"/>
                <w:b/>
                <w:noProof/>
                <w:sz w:val="24"/>
              </w:rPr>
              <w:t xml:space="preserve"> </w:t>
            </w:r>
          </w:p>
        </w:tc>
        <w:tc>
          <w:tcPr>
            <w:tcW w:w="1924" w:type="dxa"/>
            <w:tcBorders>
              <w:left w:val="single" w:sz="4" w:space="0" w:color="auto"/>
            </w:tcBorders>
            <w:shd w:val="clear" w:color="auto" w:fill="auto"/>
            <w:noWrap/>
            <w:vAlign w:val="bottom"/>
          </w:tcPr>
          <w:p w:rsidR="00764095" w:rsidRDefault="00F75A5B">
            <w:pPr>
              <w:spacing w:before="40" w:after="40"/>
              <w:jc w:val="right"/>
              <w:rPr>
                <w:rFonts w:ascii="Times New Roman" w:hAnsi="Times New Roman"/>
                <w:noProof/>
                <w:sz w:val="24"/>
              </w:rPr>
            </w:pPr>
            <w:r>
              <w:rPr>
                <w:rFonts w:ascii="Times New Roman" w:hAnsi="Times New Roman"/>
                <w:noProof/>
                <w:sz w:val="24"/>
              </w:rPr>
              <w:t>6 107 377.04</w:t>
            </w:r>
          </w:p>
        </w:tc>
        <w:tc>
          <w:tcPr>
            <w:tcW w:w="1812" w:type="dxa"/>
            <w:shd w:val="clear" w:color="auto" w:fill="auto"/>
            <w:noWrap/>
            <w:vAlign w:val="bottom"/>
          </w:tcPr>
          <w:p w:rsidR="00764095" w:rsidRDefault="00F75A5B">
            <w:pPr>
              <w:spacing w:before="40" w:after="40"/>
              <w:jc w:val="right"/>
              <w:rPr>
                <w:rFonts w:ascii="Times New Roman" w:hAnsi="Times New Roman"/>
                <w:b/>
                <w:noProof/>
                <w:sz w:val="24"/>
              </w:rPr>
            </w:pPr>
            <w:r>
              <w:rPr>
                <w:rFonts w:ascii="Times New Roman" w:hAnsi="Times New Roman"/>
                <w:b/>
                <w:noProof/>
                <w:sz w:val="24"/>
              </w:rPr>
              <w:t>11 485 709.46</w:t>
            </w:r>
          </w:p>
        </w:tc>
      </w:tr>
    </w:tbl>
    <w:p w:rsidR="00764095" w:rsidRDefault="00764095">
      <w:pPr>
        <w:jc w:val="both"/>
        <w:rPr>
          <w:rFonts w:ascii="Times New Roman" w:hAnsi="Times New Roman"/>
          <w:noProof/>
          <w:sz w:val="24"/>
        </w:rPr>
      </w:pPr>
    </w:p>
    <w:p w:rsidR="00764095" w:rsidRDefault="00F75A5B">
      <w:pPr>
        <w:jc w:val="both"/>
        <w:rPr>
          <w:rFonts w:ascii="Times New Roman" w:hAnsi="Times New Roman"/>
          <w:noProof/>
          <w:sz w:val="24"/>
        </w:rPr>
      </w:pPr>
      <w:r>
        <w:rPr>
          <w:rFonts w:ascii="Times New Roman" w:hAnsi="Times New Roman"/>
          <w:noProof/>
          <w:sz w:val="24"/>
        </w:rPr>
        <w:t xml:space="preserve">These service contracts covered needs as specified in the work </w:t>
      </w:r>
      <w:r>
        <w:rPr>
          <w:rFonts w:ascii="Times New Roman" w:hAnsi="Times New Roman"/>
          <w:noProof/>
          <w:sz w:val="24"/>
        </w:rPr>
        <w:t>plan for 2013: evaluation and monitoring of actions and policies, studies, advice, data and information on health, scientific and technical assistance, communication, dissemination, awareness-raising activities and IT applications to support policies.</w:t>
      </w:r>
    </w:p>
    <w:p w:rsidR="00764095" w:rsidRDefault="00F75A5B">
      <w:pPr>
        <w:jc w:val="both"/>
        <w:rPr>
          <w:rFonts w:ascii="Times New Roman" w:hAnsi="Times New Roman"/>
          <w:noProof/>
          <w:sz w:val="24"/>
        </w:rPr>
      </w:pPr>
      <w:r>
        <w:rPr>
          <w:rFonts w:ascii="Times New Roman" w:hAnsi="Times New Roman"/>
          <w:noProof/>
          <w:sz w:val="24"/>
        </w:rPr>
        <w:t>Anne</w:t>
      </w:r>
      <w:r>
        <w:rPr>
          <w:rFonts w:ascii="Times New Roman" w:hAnsi="Times New Roman"/>
          <w:noProof/>
          <w:sz w:val="24"/>
        </w:rPr>
        <w:t>xes 8 and 9 provide more detail about the service contracts signed.</w:t>
      </w:r>
    </w:p>
    <w:p w:rsidR="00764095" w:rsidRDefault="00F75A5B">
      <w:pPr>
        <w:pStyle w:val="ManualHeading2"/>
        <w:rPr>
          <w:noProof/>
        </w:rPr>
      </w:pPr>
      <w:bookmarkStart w:id="54" w:name="_Toc388355519"/>
      <w:bookmarkStart w:id="55" w:name="_Toc389636412"/>
      <w:bookmarkStart w:id="56" w:name="_Toc390420273"/>
      <w:bookmarkStart w:id="57" w:name="_Toc404756139"/>
      <w:bookmarkStart w:id="58" w:name="_Toc408392865"/>
      <w:bookmarkStart w:id="59" w:name="_Toc417032406"/>
      <w:r>
        <w:t>1.7</w:t>
      </w:r>
      <w:r>
        <w:tab/>
      </w:r>
      <w:r>
        <w:rPr>
          <w:noProof/>
        </w:rPr>
        <w:t>Other actions</w:t>
      </w:r>
      <w:bookmarkEnd w:id="54"/>
      <w:bookmarkEnd w:id="55"/>
      <w:bookmarkEnd w:id="56"/>
      <w:bookmarkEnd w:id="57"/>
      <w:bookmarkEnd w:id="58"/>
      <w:bookmarkEnd w:id="59"/>
    </w:p>
    <w:p w:rsidR="00764095" w:rsidRDefault="00F75A5B">
      <w:pPr>
        <w:jc w:val="both"/>
        <w:rPr>
          <w:rFonts w:ascii="Times New Roman" w:hAnsi="Times New Roman"/>
          <w:noProof/>
          <w:sz w:val="24"/>
        </w:rPr>
      </w:pPr>
      <w:r>
        <w:rPr>
          <w:rFonts w:ascii="Times New Roman" w:hAnsi="Times New Roman"/>
          <w:noProof/>
          <w:sz w:val="24"/>
        </w:rPr>
        <w:t>EUR 4 830 000 was earmarked for other actions in 2013. This covered the following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764095">
        <w:tc>
          <w:tcPr>
            <w:tcW w:w="9288" w:type="dxa"/>
            <w:shd w:val="clear" w:color="auto" w:fill="008080"/>
          </w:tcPr>
          <w:p w:rsidR="00764095" w:rsidRDefault="00F75A5B">
            <w:pPr>
              <w:jc w:val="both"/>
              <w:rPr>
                <w:rFonts w:ascii="Times New Roman" w:hAnsi="Times New Roman"/>
                <w:noProof/>
                <w:color w:val="FFFFFF"/>
                <w:sz w:val="24"/>
              </w:rPr>
            </w:pPr>
            <w:r>
              <w:rPr>
                <w:rFonts w:ascii="Times New Roman" w:hAnsi="Times New Roman"/>
                <w:noProof/>
                <w:color w:val="FFFFFF"/>
                <w:sz w:val="24"/>
              </w:rPr>
              <w:t>Other actions</w:t>
            </w:r>
          </w:p>
        </w:tc>
      </w:tr>
      <w:tr w:rsidR="00764095">
        <w:tc>
          <w:tcPr>
            <w:tcW w:w="9288" w:type="dxa"/>
            <w:shd w:val="clear" w:color="auto" w:fill="auto"/>
          </w:tcPr>
          <w:p w:rsidR="00764095" w:rsidRDefault="00F75A5B">
            <w:pPr>
              <w:jc w:val="both"/>
              <w:rPr>
                <w:rFonts w:ascii="Times New Roman" w:hAnsi="Times New Roman"/>
                <w:noProof/>
                <w:sz w:val="24"/>
              </w:rPr>
            </w:pPr>
            <w:r>
              <w:rPr>
                <w:rFonts w:ascii="Times New Roman" w:hAnsi="Times New Roman"/>
                <w:noProof/>
                <w:sz w:val="24"/>
              </w:rPr>
              <w:t>Special indemnities to experts for their participation in and</w:t>
            </w:r>
            <w:r>
              <w:rPr>
                <w:rFonts w:ascii="Times New Roman" w:hAnsi="Times New Roman"/>
                <w:noProof/>
                <w:sz w:val="24"/>
              </w:rPr>
              <w:t xml:space="preserve"> work for the EU scientific committees, as provided for in Commission Decision 2008/721/EC</w:t>
            </w:r>
            <w:r>
              <w:rPr>
                <w:rStyle w:val="FootnoteReference"/>
                <w:noProof/>
              </w:rPr>
              <w:footnoteReference w:id="16"/>
            </w:r>
          </w:p>
        </w:tc>
      </w:tr>
      <w:tr w:rsidR="00764095">
        <w:tc>
          <w:tcPr>
            <w:tcW w:w="9288" w:type="dxa"/>
            <w:shd w:val="clear" w:color="auto" w:fill="auto"/>
          </w:tcPr>
          <w:p w:rsidR="00764095" w:rsidRDefault="00F75A5B">
            <w:pPr>
              <w:jc w:val="both"/>
              <w:rPr>
                <w:rFonts w:ascii="Times New Roman" w:hAnsi="Times New Roman"/>
                <w:noProof/>
                <w:sz w:val="24"/>
              </w:rPr>
            </w:pPr>
            <w:r>
              <w:rPr>
                <w:rFonts w:ascii="Times New Roman" w:hAnsi="Times New Roman"/>
                <w:noProof/>
                <w:sz w:val="24"/>
              </w:rPr>
              <w:t>System inspection in countries exporting active substances for medicinal products for human use to the EU</w:t>
            </w:r>
          </w:p>
        </w:tc>
      </w:tr>
      <w:tr w:rsidR="00764095">
        <w:tc>
          <w:tcPr>
            <w:tcW w:w="9288" w:type="dxa"/>
            <w:shd w:val="clear" w:color="auto" w:fill="auto"/>
          </w:tcPr>
          <w:p w:rsidR="00764095" w:rsidRDefault="00F75A5B">
            <w:pPr>
              <w:jc w:val="both"/>
              <w:rPr>
                <w:rFonts w:ascii="Times New Roman" w:hAnsi="Times New Roman"/>
                <w:noProof/>
                <w:sz w:val="24"/>
              </w:rPr>
            </w:pPr>
            <w:r>
              <w:rPr>
                <w:rFonts w:ascii="Times New Roman" w:hAnsi="Times New Roman"/>
                <w:noProof/>
                <w:sz w:val="24"/>
              </w:rPr>
              <w:t>An administrative agreement with the Joint Research Cent</w:t>
            </w:r>
            <w:r>
              <w:rPr>
                <w:rFonts w:ascii="Times New Roman" w:hAnsi="Times New Roman"/>
                <w:noProof/>
                <w:sz w:val="24"/>
              </w:rPr>
              <w:t>re (JRC) for the analysis of incident reporting</w:t>
            </w:r>
          </w:p>
        </w:tc>
      </w:tr>
      <w:tr w:rsidR="00764095">
        <w:tc>
          <w:tcPr>
            <w:tcW w:w="9288" w:type="dxa"/>
            <w:shd w:val="clear" w:color="auto" w:fill="008080"/>
          </w:tcPr>
          <w:p w:rsidR="00764095" w:rsidRDefault="00F75A5B">
            <w:pPr>
              <w:jc w:val="both"/>
              <w:rPr>
                <w:rFonts w:ascii="Times New Roman" w:hAnsi="Times New Roman"/>
                <w:noProof/>
                <w:color w:val="FFFFFF"/>
                <w:sz w:val="24"/>
              </w:rPr>
            </w:pPr>
            <w:r>
              <w:rPr>
                <w:rFonts w:ascii="Times New Roman" w:hAnsi="Times New Roman"/>
                <w:noProof/>
                <w:color w:val="FFFFFF"/>
                <w:sz w:val="24"/>
              </w:rPr>
              <w:t>Other actions — continued</w:t>
            </w:r>
          </w:p>
        </w:tc>
      </w:tr>
      <w:tr w:rsidR="00764095">
        <w:tc>
          <w:tcPr>
            <w:tcW w:w="9288" w:type="dxa"/>
            <w:shd w:val="clear" w:color="auto" w:fill="auto"/>
          </w:tcPr>
          <w:p w:rsidR="00764095" w:rsidRDefault="00F75A5B">
            <w:pPr>
              <w:jc w:val="both"/>
              <w:rPr>
                <w:rFonts w:ascii="Times New Roman" w:hAnsi="Times New Roman"/>
                <w:noProof/>
                <w:sz w:val="24"/>
              </w:rPr>
            </w:pPr>
            <w:r>
              <w:rPr>
                <w:rFonts w:ascii="Times New Roman" w:hAnsi="Times New Roman"/>
                <w:noProof/>
                <w:sz w:val="24"/>
              </w:rPr>
              <w:t xml:space="preserve">Indemnities to members of a multi-sectoral and independent expert panel to provide advice on </w:t>
            </w:r>
            <w:r>
              <w:rPr>
                <w:rFonts w:ascii="Times New Roman" w:hAnsi="Times New Roman"/>
                <w:noProof/>
                <w:sz w:val="24"/>
              </w:rPr>
              <w:lastRenderedPageBreak/>
              <w:t>effective ways of investing in health</w:t>
            </w:r>
          </w:p>
        </w:tc>
      </w:tr>
      <w:tr w:rsidR="00764095">
        <w:tc>
          <w:tcPr>
            <w:tcW w:w="9288" w:type="dxa"/>
            <w:shd w:val="clear" w:color="auto" w:fill="auto"/>
          </w:tcPr>
          <w:p w:rsidR="00764095" w:rsidRDefault="00F75A5B">
            <w:pPr>
              <w:jc w:val="both"/>
              <w:rPr>
                <w:rFonts w:ascii="Times New Roman" w:hAnsi="Times New Roman"/>
                <w:noProof/>
                <w:sz w:val="24"/>
              </w:rPr>
            </w:pPr>
            <w:r>
              <w:rPr>
                <w:rFonts w:ascii="Times New Roman" w:hAnsi="Times New Roman"/>
                <w:noProof/>
                <w:sz w:val="24"/>
              </w:rPr>
              <w:lastRenderedPageBreak/>
              <w:t xml:space="preserve">Administrative agreement with the JRC to set up </w:t>
            </w:r>
            <w:r>
              <w:rPr>
                <w:rFonts w:ascii="Times New Roman" w:hAnsi="Times New Roman"/>
                <w:noProof/>
                <w:sz w:val="24"/>
              </w:rPr>
              <w:t>a sustainable platform to coordinate and maintain registries and networks on rare diseases</w:t>
            </w:r>
          </w:p>
        </w:tc>
      </w:tr>
      <w:tr w:rsidR="00764095">
        <w:tc>
          <w:tcPr>
            <w:tcW w:w="9288" w:type="dxa"/>
            <w:shd w:val="clear" w:color="auto" w:fill="auto"/>
          </w:tcPr>
          <w:p w:rsidR="00764095" w:rsidRDefault="00F75A5B">
            <w:pPr>
              <w:jc w:val="both"/>
              <w:rPr>
                <w:rFonts w:ascii="Times New Roman" w:hAnsi="Times New Roman"/>
                <w:noProof/>
                <w:sz w:val="24"/>
              </w:rPr>
            </w:pPr>
            <w:r>
              <w:rPr>
                <w:rFonts w:ascii="Times New Roman" w:hAnsi="Times New Roman"/>
                <w:noProof/>
                <w:sz w:val="24"/>
              </w:rPr>
              <w:t>Sub-delegation to Eurostat to improve timeliness and comparability of health data</w:t>
            </w:r>
          </w:p>
        </w:tc>
      </w:tr>
      <w:tr w:rsidR="00764095">
        <w:tc>
          <w:tcPr>
            <w:tcW w:w="9288" w:type="dxa"/>
            <w:shd w:val="clear" w:color="auto" w:fill="auto"/>
          </w:tcPr>
          <w:p w:rsidR="00764095" w:rsidRDefault="00F75A5B">
            <w:pPr>
              <w:jc w:val="both"/>
              <w:rPr>
                <w:rFonts w:ascii="Times New Roman" w:hAnsi="Times New Roman"/>
                <w:noProof/>
                <w:sz w:val="24"/>
              </w:rPr>
            </w:pPr>
            <w:r>
              <w:rPr>
                <w:rFonts w:ascii="Times New Roman" w:hAnsi="Times New Roman"/>
                <w:noProof/>
                <w:sz w:val="24"/>
              </w:rPr>
              <w:t xml:space="preserve">Membership fee for the </w:t>
            </w:r>
            <w:r>
              <w:rPr>
                <w:rFonts w:ascii="Times New Roman" w:eastAsia="Times New Roman" w:hAnsi="Times New Roman"/>
                <w:noProof/>
                <w:sz w:val="24"/>
              </w:rPr>
              <w:t>European Observatory on health policies and health systems</w:t>
            </w:r>
          </w:p>
        </w:tc>
      </w:tr>
    </w:tbl>
    <w:p w:rsidR="00764095" w:rsidRDefault="00764095">
      <w:pPr>
        <w:jc w:val="both"/>
        <w:rPr>
          <w:rFonts w:ascii="Times New Roman" w:hAnsi="Times New Roman"/>
          <w:noProof/>
          <w:sz w:val="24"/>
        </w:rPr>
      </w:pPr>
    </w:p>
    <w:p w:rsidR="00764095" w:rsidRDefault="00F75A5B">
      <w:pPr>
        <w:jc w:val="both"/>
        <w:rPr>
          <w:rFonts w:ascii="Times New Roman" w:hAnsi="Times New Roman"/>
          <w:noProof/>
          <w:sz w:val="24"/>
        </w:rPr>
      </w:pPr>
      <w:r>
        <w:rPr>
          <w:rFonts w:ascii="Times New Roman" w:hAnsi="Times New Roman"/>
          <w:noProof/>
          <w:sz w:val="24"/>
        </w:rPr>
        <w:t>Annex 10 provides more detail about the funding made available for the other actions</w:t>
      </w:r>
    </w:p>
    <w:p w:rsidR="00764095" w:rsidRDefault="00F75A5B">
      <w:pPr>
        <w:pStyle w:val="ManualHeading1"/>
        <w:rPr>
          <w:noProof/>
        </w:rPr>
      </w:pPr>
      <w:bookmarkStart w:id="60" w:name="_Toc388355520"/>
      <w:bookmarkStart w:id="61" w:name="_Toc390420274"/>
      <w:bookmarkStart w:id="62" w:name="_Toc404756140"/>
      <w:bookmarkStart w:id="63" w:name="_Toc417032407"/>
      <w:r>
        <w:tab/>
      </w:r>
      <w:r>
        <w:rPr>
          <w:noProof/>
        </w:rPr>
        <w:t>Implementation of the operational budget by programme objectives</w:t>
      </w:r>
      <w:bookmarkEnd w:id="60"/>
      <w:bookmarkEnd w:id="61"/>
      <w:bookmarkEnd w:id="62"/>
      <w:bookmarkEnd w:id="63"/>
    </w:p>
    <w:p w:rsidR="00764095" w:rsidRDefault="00764095">
      <w:pPr>
        <w:rPr>
          <w:noProof/>
        </w:rPr>
      </w:pPr>
    </w:p>
    <w:p w:rsidR="00764095" w:rsidRDefault="00F75A5B">
      <w:pPr>
        <w:pStyle w:val="ManualHeading2"/>
        <w:rPr>
          <w:noProof/>
        </w:rPr>
      </w:pPr>
      <w:bookmarkStart w:id="64" w:name="_Toc388355521"/>
      <w:bookmarkStart w:id="65" w:name="_Toc389636414"/>
      <w:bookmarkStart w:id="66" w:name="_Toc390420275"/>
      <w:bookmarkStart w:id="67" w:name="_Toc404756141"/>
      <w:bookmarkStart w:id="68" w:name="_Toc408392867"/>
      <w:bookmarkStart w:id="69" w:name="_Toc417032408"/>
      <w:r>
        <w:t>1.8</w:t>
      </w:r>
      <w:r>
        <w:tab/>
      </w:r>
      <w:r>
        <w:rPr>
          <w:noProof/>
        </w:rPr>
        <w:t>Global budget consumption in 2013</w:t>
      </w:r>
      <w:bookmarkEnd w:id="64"/>
      <w:bookmarkEnd w:id="65"/>
      <w:bookmarkEnd w:id="66"/>
      <w:bookmarkEnd w:id="67"/>
      <w:bookmarkEnd w:id="68"/>
      <w:bookmarkEnd w:id="69"/>
    </w:p>
    <w:p w:rsidR="00764095" w:rsidRDefault="00F75A5B">
      <w:pPr>
        <w:jc w:val="both"/>
        <w:rPr>
          <w:rFonts w:ascii="Times New Roman" w:hAnsi="Times New Roman"/>
          <w:noProof/>
          <w:sz w:val="24"/>
        </w:rPr>
      </w:pPr>
      <w:r>
        <w:rPr>
          <w:rFonts w:ascii="Times New Roman" w:hAnsi="Times New Roman"/>
          <w:noProof/>
          <w:sz w:val="24"/>
        </w:rPr>
        <w:t>The graph below illustrates how the budget was divided up betwe</w:t>
      </w:r>
      <w:r>
        <w:rPr>
          <w:rFonts w:ascii="Times New Roman" w:hAnsi="Times New Roman"/>
          <w:noProof/>
          <w:sz w:val="24"/>
        </w:rPr>
        <w:t>en the three stands of the programme in 2013. A total of EUR 10</w:t>
      </w:r>
      <w:r>
        <w:rPr>
          <w:rFonts w:ascii="Times New Roman" w:hAnsi="Times New Roman"/>
          <w:noProof/>
          <w:w w:val="50"/>
          <w:sz w:val="24"/>
        </w:rPr>
        <w:t> </w:t>
      </w:r>
      <w:r>
        <w:rPr>
          <w:rFonts w:ascii="Times New Roman" w:hAnsi="Times New Roman"/>
          <w:noProof/>
          <w:sz w:val="24"/>
        </w:rPr>
        <w:t>980</w:t>
      </w:r>
      <w:r>
        <w:rPr>
          <w:rFonts w:ascii="Times New Roman" w:hAnsi="Times New Roman"/>
          <w:noProof/>
          <w:w w:val="50"/>
          <w:sz w:val="24"/>
        </w:rPr>
        <w:t> </w:t>
      </w:r>
      <w:r>
        <w:rPr>
          <w:rFonts w:ascii="Times New Roman" w:hAnsi="Times New Roman"/>
          <w:noProof/>
          <w:sz w:val="24"/>
        </w:rPr>
        <w:t xml:space="preserve">585.92 was spent on health security, </w:t>
      </w:r>
      <w:r>
        <w:rPr>
          <w:rFonts w:ascii="Times New Roman" w:hAnsi="Times New Roman"/>
          <w:noProof/>
          <w:sz w:val="24"/>
        </w:rPr>
        <w:br/>
        <w:t>EUR 28</w:t>
      </w:r>
      <w:r>
        <w:rPr>
          <w:rFonts w:ascii="Times New Roman" w:hAnsi="Times New Roman"/>
          <w:noProof/>
          <w:w w:val="50"/>
          <w:sz w:val="24"/>
        </w:rPr>
        <w:t> </w:t>
      </w:r>
      <w:r>
        <w:rPr>
          <w:rFonts w:ascii="Times New Roman" w:hAnsi="Times New Roman"/>
          <w:noProof/>
          <w:sz w:val="24"/>
        </w:rPr>
        <w:t>739</w:t>
      </w:r>
      <w:r>
        <w:rPr>
          <w:rFonts w:ascii="Times New Roman" w:hAnsi="Times New Roman"/>
          <w:noProof/>
          <w:w w:val="50"/>
          <w:sz w:val="24"/>
        </w:rPr>
        <w:t> </w:t>
      </w:r>
      <w:r>
        <w:rPr>
          <w:rFonts w:ascii="Times New Roman" w:hAnsi="Times New Roman"/>
          <w:noProof/>
          <w:sz w:val="24"/>
        </w:rPr>
        <w:t>819.74 on health promotion and EUR 10</w:t>
      </w:r>
      <w:r>
        <w:rPr>
          <w:rFonts w:ascii="Times New Roman" w:hAnsi="Times New Roman"/>
          <w:noProof/>
          <w:w w:val="50"/>
          <w:sz w:val="24"/>
        </w:rPr>
        <w:t> </w:t>
      </w:r>
      <w:r>
        <w:rPr>
          <w:rFonts w:ascii="Times New Roman" w:hAnsi="Times New Roman"/>
          <w:noProof/>
          <w:sz w:val="24"/>
        </w:rPr>
        <w:t>167</w:t>
      </w:r>
      <w:r>
        <w:rPr>
          <w:rFonts w:ascii="Times New Roman" w:hAnsi="Times New Roman"/>
          <w:noProof/>
          <w:w w:val="50"/>
          <w:sz w:val="24"/>
        </w:rPr>
        <w:t> </w:t>
      </w:r>
      <w:r>
        <w:rPr>
          <w:rFonts w:ascii="Times New Roman" w:hAnsi="Times New Roman"/>
          <w:noProof/>
          <w:sz w:val="24"/>
        </w:rPr>
        <w:t>905.12 on health information. Finally, EUR 1</w:t>
      </w:r>
      <w:r>
        <w:rPr>
          <w:rFonts w:ascii="Times New Roman" w:hAnsi="Times New Roman"/>
          <w:noProof/>
          <w:w w:val="50"/>
          <w:sz w:val="24"/>
        </w:rPr>
        <w:t> </w:t>
      </w:r>
      <w:r>
        <w:rPr>
          <w:rFonts w:ascii="Times New Roman" w:hAnsi="Times New Roman"/>
          <w:noProof/>
          <w:sz w:val="24"/>
        </w:rPr>
        <w:t>682</w:t>
      </w:r>
      <w:r>
        <w:rPr>
          <w:rFonts w:ascii="Times New Roman" w:hAnsi="Times New Roman"/>
          <w:noProof/>
          <w:w w:val="50"/>
          <w:sz w:val="24"/>
        </w:rPr>
        <w:t> </w:t>
      </w:r>
      <w:r>
        <w:rPr>
          <w:rFonts w:ascii="Times New Roman" w:hAnsi="Times New Roman"/>
          <w:noProof/>
          <w:sz w:val="24"/>
        </w:rPr>
        <w:t xml:space="preserve">200.55 was invested in IT services necessary to </w:t>
      </w:r>
      <w:r>
        <w:rPr>
          <w:rFonts w:ascii="Times New Roman" w:hAnsi="Times New Roman"/>
          <w:noProof/>
          <w:sz w:val="24"/>
        </w:rPr>
        <w:t>support the three strands.</w:t>
      </w:r>
    </w:p>
    <w:p w:rsidR="00764095" w:rsidRDefault="00F75A5B">
      <w:pPr>
        <w:pStyle w:val="ManualHeading2"/>
        <w:rPr>
          <w:noProof/>
        </w:rPr>
      </w:pPr>
      <w:bookmarkStart w:id="70" w:name="_Toc417032409"/>
      <w:bookmarkStart w:id="71" w:name="_Toc388355522"/>
      <w:bookmarkStart w:id="72" w:name="_Toc389636415"/>
      <w:bookmarkStart w:id="73" w:name="_Toc390420276"/>
      <w:bookmarkStart w:id="74" w:name="_Toc404756142"/>
      <w:bookmarkStart w:id="75" w:name="_Toc408392868"/>
      <w:r>
        <w:t>1.9</w:t>
      </w:r>
      <w:r>
        <w:tab/>
      </w:r>
      <w:r>
        <w:rPr>
          <w:noProof/>
        </w:rPr>
        <w:t>Health security</w:t>
      </w:r>
      <w:bookmarkEnd w:id="70"/>
    </w:p>
    <w:p w:rsidR="00764095" w:rsidRDefault="00F75A5B">
      <w:pPr>
        <w:rPr>
          <w:rFonts w:ascii="Times New Roman" w:hAnsi="Times New Roman"/>
          <w:noProof/>
          <w:sz w:val="24"/>
        </w:rPr>
      </w:pPr>
      <w:r>
        <w:rPr>
          <w:rFonts w:ascii="Times New Roman" w:hAnsi="Times New Roman"/>
          <w:noProof/>
          <w:sz w:val="24"/>
        </w:rPr>
        <w:t>EUR 10 980 585.92 – 22 % of the operational budget in 2013</w:t>
      </w:r>
      <w:bookmarkEnd w:id="71"/>
      <w:bookmarkEnd w:id="72"/>
      <w:bookmarkEnd w:id="73"/>
      <w:bookmarkEnd w:id="74"/>
      <w:bookmarkEnd w:id="75"/>
    </w:p>
    <w:p w:rsidR="00764095" w:rsidRDefault="00F75A5B">
      <w:pPr>
        <w:spacing w:before="120" w:after="120" w:line="240" w:lineRule="auto"/>
        <w:ind w:left="850"/>
        <w:jc w:val="center"/>
        <w:rPr>
          <w:rFonts w:ascii="Times New Roman" w:hAnsi="Times New Roman"/>
          <w:noProof/>
          <w:highlight w:val="yellow"/>
        </w:rPr>
      </w:pPr>
      <w:r>
        <w:rPr>
          <w:noProof/>
          <w:lang w:eastAsia="en-GB"/>
        </w:rPr>
        <w:drawing>
          <wp:inline distT="0" distB="0" distL="0" distR="0">
            <wp:extent cx="4572000" cy="2743200"/>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Times New Roman" w:hAnsi="Times New Roman"/>
          <w:noProof/>
          <w:highlight w:val="yellow"/>
        </w:rPr>
        <w:t xml:space="preserve"> </w:t>
      </w:r>
    </w:p>
    <w:p w:rsidR="00764095" w:rsidRDefault="00764095">
      <w:pPr>
        <w:spacing w:before="120" w:after="120" w:line="240" w:lineRule="auto"/>
        <w:ind w:left="850"/>
        <w:jc w:val="center"/>
        <w:rPr>
          <w:rFonts w:ascii="Times New Roman" w:hAnsi="Times New Roman"/>
          <w:noProof/>
          <w:highlight w:val="yellow"/>
        </w:rPr>
      </w:pPr>
    </w:p>
    <w:p w:rsidR="00764095" w:rsidRDefault="00764095">
      <w:pPr>
        <w:spacing w:before="120" w:after="120" w:line="240" w:lineRule="auto"/>
        <w:ind w:left="850"/>
        <w:jc w:val="center"/>
        <w:rPr>
          <w:rFonts w:ascii="Times New Roman" w:hAnsi="Times New Roman"/>
          <w:noProof/>
          <w:highlight w:val="yellow"/>
        </w:rPr>
      </w:pPr>
    </w:p>
    <w:p w:rsidR="00764095" w:rsidRDefault="00F75A5B">
      <w:pPr>
        <w:spacing w:before="120" w:after="120" w:line="240" w:lineRule="auto"/>
        <w:ind w:left="850"/>
        <w:jc w:val="center"/>
        <w:rPr>
          <w:rFonts w:ascii="Times New Roman" w:hAnsi="Times New Roman"/>
          <w:noProof/>
        </w:rPr>
      </w:pPr>
      <w:r>
        <w:rPr>
          <w:rFonts w:ascii="Times New Roman" w:eastAsia="Times New Roman" w:hAnsi="Times New Roman"/>
          <w:noProof/>
          <w:sz w:val="24"/>
          <w:szCs w:val="24"/>
        </w:rPr>
        <w:br w:type="page"/>
      </w:r>
    </w:p>
    <w:p w:rsidR="00764095" w:rsidRDefault="00F75A5B">
      <w:pPr>
        <w:pStyle w:val="ManualHeading2"/>
        <w:rPr>
          <w:noProof/>
        </w:rPr>
      </w:pPr>
      <w:bookmarkStart w:id="76" w:name="_Toc417032410"/>
      <w:bookmarkStart w:id="77" w:name="_Toc388355523"/>
      <w:bookmarkStart w:id="78" w:name="_Toc389636416"/>
      <w:bookmarkStart w:id="79" w:name="_Toc390420277"/>
      <w:bookmarkStart w:id="80" w:name="_Toc404756143"/>
      <w:bookmarkStart w:id="81" w:name="_Toc408392869"/>
      <w:r>
        <w:lastRenderedPageBreak/>
        <w:t>1.10</w:t>
      </w:r>
      <w:r>
        <w:tab/>
      </w:r>
      <w:r>
        <w:rPr>
          <w:noProof/>
        </w:rPr>
        <w:t>Health promotion</w:t>
      </w:r>
      <w:bookmarkEnd w:id="76"/>
      <w:r>
        <w:rPr>
          <w:noProof/>
        </w:rPr>
        <w:t xml:space="preserve"> </w:t>
      </w:r>
    </w:p>
    <w:p w:rsidR="00764095" w:rsidRDefault="00F75A5B">
      <w:pPr>
        <w:rPr>
          <w:rFonts w:ascii="Times New Roman" w:hAnsi="Times New Roman"/>
          <w:noProof/>
          <w:sz w:val="24"/>
        </w:rPr>
      </w:pPr>
      <w:r>
        <w:rPr>
          <w:rFonts w:ascii="Times New Roman" w:hAnsi="Times New Roman"/>
          <w:noProof/>
          <w:sz w:val="24"/>
        </w:rPr>
        <w:t>EUR 28 739 819.74 – 58 % of the operational budget in 2013</w:t>
      </w:r>
      <w:bookmarkEnd w:id="77"/>
      <w:bookmarkEnd w:id="78"/>
      <w:bookmarkEnd w:id="79"/>
      <w:bookmarkEnd w:id="80"/>
      <w:bookmarkEnd w:id="81"/>
    </w:p>
    <w:p w:rsidR="00764095" w:rsidRDefault="00764095">
      <w:pPr>
        <w:pStyle w:val="Text1"/>
        <w:rPr>
          <w:noProof/>
        </w:rPr>
      </w:pPr>
    </w:p>
    <w:p w:rsidR="00764095" w:rsidRDefault="00F75A5B">
      <w:pPr>
        <w:spacing w:before="120" w:after="120" w:line="240" w:lineRule="auto"/>
        <w:ind w:left="850"/>
        <w:jc w:val="center"/>
        <w:rPr>
          <w:rFonts w:ascii="Times New Roman" w:eastAsia="Times New Roman" w:hAnsi="Times New Roman"/>
          <w:noProof/>
          <w:sz w:val="24"/>
          <w:szCs w:val="24"/>
        </w:rPr>
      </w:pPr>
      <w:r>
        <w:rPr>
          <w:noProof/>
          <w:lang w:eastAsia="en-GB"/>
        </w:rPr>
        <w:drawing>
          <wp:inline distT="0" distB="0" distL="0" distR="0">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64095" w:rsidRDefault="00764095">
      <w:pPr>
        <w:jc w:val="both"/>
        <w:rPr>
          <w:rFonts w:ascii="Times New Roman" w:hAnsi="Times New Roman"/>
          <w:noProof/>
        </w:rPr>
      </w:pPr>
    </w:p>
    <w:p w:rsidR="00764095" w:rsidRDefault="00764095">
      <w:pPr>
        <w:spacing w:after="0"/>
        <w:jc w:val="both"/>
        <w:rPr>
          <w:rFonts w:ascii="Times New Roman" w:hAnsi="Times New Roman"/>
          <w:noProof/>
        </w:rPr>
      </w:pPr>
    </w:p>
    <w:p w:rsidR="00764095" w:rsidRDefault="00F75A5B">
      <w:pPr>
        <w:pStyle w:val="ManualHeading2"/>
        <w:rPr>
          <w:noProof/>
        </w:rPr>
      </w:pPr>
      <w:bookmarkStart w:id="82" w:name="_Toc417032411"/>
      <w:bookmarkStart w:id="83" w:name="_Toc388355524"/>
      <w:bookmarkStart w:id="84" w:name="_Toc389636417"/>
      <w:bookmarkStart w:id="85" w:name="_Toc390420278"/>
      <w:bookmarkStart w:id="86" w:name="_Toc404756144"/>
      <w:bookmarkStart w:id="87" w:name="_Toc408392870"/>
      <w:r>
        <w:t>1.11</w:t>
      </w:r>
      <w:r>
        <w:tab/>
      </w:r>
      <w:r>
        <w:rPr>
          <w:noProof/>
        </w:rPr>
        <w:t>Health Information</w:t>
      </w:r>
      <w:r>
        <w:rPr>
          <w:rStyle w:val="FootnoteReference"/>
          <w:noProof/>
        </w:rPr>
        <w:footnoteReference w:id="17"/>
      </w:r>
      <w:bookmarkEnd w:id="82"/>
    </w:p>
    <w:p w:rsidR="00764095" w:rsidRDefault="00F75A5B">
      <w:pPr>
        <w:rPr>
          <w:rFonts w:ascii="Times New Roman" w:hAnsi="Times New Roman"/>
          <w:noProof/>
          <w:sz w:val="24"/>
        </w:rPr>
      </w:pPr>
      <w:r>
        <w:rPr>
          <w:rFonts w:ascii="Times New Roman" w:hAnsi="Times New Roman"/>
          <w:noProof/>
          <w:sz w:val="24"/>
        </w:rPr>
        <w:t>EUR 10 176 864.42 – 20 % of the</w:t>
      </w:r>
      <w:r>
        <w:rPr>
          <w:rFonts w:ascii="Times New Roman" w:hAnsi="Times New Roman"/>
          <w:noProof/>
          <w:sz w:val="24"/>
        </w:rPr>
        <w:t xml:space="preserve"> operational budget in 20</w:t>
      </w:r>
      <w:bookmarkEnd w:id="83"/>
      <w:bookmarkEnd w:id="84"/>
      <w:bookmarkEnd w:id="85"/>
      <w:r>
        <w:rPr>
          <w:rFonts w:ascii="Times New Roman" w:hAnsi="Times New Roman"/>
          <w:noProof/>
          <w:sz w:val="24"/>
        </w:rPr>
        <w:t>13</w:t>
      </w:r>
      <w:bookmarkEnd w:id="86"/>
      <w:bookmarkEnd w:id="87"/>
    </w:p>
    <w:p w:rsidR="00764095" w:rsidRDefault="00F75A5B">
      <w:pPr>
        <w:jc w:val="center"/>
        <w:rPr>
          <w:rFonts w:ascii="Times New Roman" w:hAnsi="Times New Roman"/>
          <w:noProof/>
        </w:rPr>
      </w:pPr>
      <w:r>
        <w:rPr>
          <w:noProof/>
          <w:lang w:eastAsia="en-GB"/>
        </w:rPr>
        <w:drawing>
          <wp:inline distT="0" distB="0" distL="0" distR="0">
            <wp:extent cx="4677410" cy="2875915"/>
            <wp:effectExtent l="0" t="0" r="27940" b="1968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64095" w:rsidRDefault="00764095">
      <w:pPr>
        <w:rPr>
          <w:noProof/>
        </w:rPr>
      </w:pPr>
    </w:p>
    <w:sectPr w:rsidR="00764095">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A5B" w:rsidRDefault="00F75A5B">
      <w:pPr>
        <w:spacing w:after="0" w:line="240" w:lineRule="auto"/>
      </w:pPr>
      <w:r>
        <w:separator/>
      </w:r>
    </w:p>
  </w:endnote>
  <w:endnote w:type="continuationSeparator" w:id="0">
    <w:p w:rsidR="00F75A5B" w:rsidRDefault="00F75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095" w:rsidRDefault="007640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095" w:rsidRDefault="00F75A5B">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095" w:rsidRDefault="0076409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095" w:rsidRDefault="0076409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784619"/>
      <w:docPartObj>
        <w:docPartGallery w:val="Page Numbers (Bottom of Page)"/>
        <w:docPartUnique/>
      </w:docPartObj>
    </w:sdtPr>
    <w:sdtEndPr>
      <w:rPr>
        <w:noProof/>
      </w:rPr>
    </w:sdtEndPr>
    <w:sdtContent>
      <w:p w:rsidR="00764095" w:rsidRDefault="00F75A5B">
        <w:pPr>
          <w:pStyle w:val="Footer"/>
          <w:jc w:val="right"/>
        </w:pPr>
        <w:r>
          <w:fldChar w:fldCharType="begin"/>
        </w:r>
        <w:r>
          <w:instrText xml:space="preserve"> PAGE   \* MERGEFORMAT </w:instrText>
        </w:r>
        <w:r>
          <w:fldChar w:fldCharType="separate"/>
        </w:r>
        <w:r w:rsidR="007867A8">
          <w:rPr>
            <w:noProof/>
          </w:rPr>
          <w:t>15</w:t>
        </w:r>
        <w:r>
          <w:rPr>
            <w:noProof/>
          </w:rPr>
          <w:fldChar w:fldCharType="end"/>
        </w:r>
      </w:p>
    </w:sdtContent>
  </w:sdt>
  <w:p w:rsidR="00764095" w:rsidRDefault="0076409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095" w:rsidRDefault="007640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A5B" w:rsidRDefault="00F75A5B">
      <w:pPr>
        <w:spacing w:after="0" w:line="240" w:lineRule="auto"/>
      </w:pPr>
      <w:r>
        <w:separator/>
      </w:r>
    </w:p>
  </w:footnote>
  <w:footnote w:type="continuationSeparator" w:id="0">
    <w:p w:rsidR="00F75A5B" w:rsidRDefault="00F75A5B">
      <w:pPr>
        <w:spacing w:after="0" w:line="240" w:lineRule="auto"/>
      </w:pPr>
      <w:r>
        <w:continuationSeparator/>
      </w:r>
    </w:p>
  </w:footnote>
  <w:footnote w:id="1">
    <w:p w:rsidR="00764095" w:rsidRDefault="00F75A5B">
      <w:pPr>
        <w:pStyle w:val="FootnoteText"/>
      </w:pPr>
      <w:r>
        <w:rPr>
          <w:rStyle w:val="FootnoteReference"/>
          <w:rFonts w:ascii="Times New Roman" w:hAnsi="Times New Roman"/>
        </w:rPr>
        <w:footnoteRef/>
      </w:r>
      <w:r>
        <w:rPr>
          <w:rFonts w:ascii="Times New Roman" w:hAnsi="Times New Roman"/>
        </w:rPr>
        <w:t xml:space="preserve"> </w:t>
      </w:r>
      <w:r>
        <w:tab/>
      </w:r>
      <w:hyperlink r:id="rId1" w:history="1">
        <w:r>
          <w:rPr>
            <w:rStyle w:val="Hyperlink"/>
            <w:rFonts w:ascii="Times New Roman" w:hAnsi="Times New Roman"/>
          </w:rPr>
          <w:t>http://ec.europa.eu/health/strategy/policy/index_en.htm</w:t>
        </w:r>
      </w:hyperlink>
      <w:r>
        <w:rPr>
          <w:rFonts w:ascii="Times New Roman" w:hAnsi="Times New Roman"/>
        </w:rPr>
        <w:t>.</w:t>
      </w:r>
    </w:p>
  </w:footnote>
  <w:footnote w:id="2">
    <w:p w:rsidR="00764095" w:rsidRDefault="00F75A5B">
      <w:pPr>
        <w:pStyle w:val="FootnoteText"/>
        <w:rPr>
          <w:rFonts w:ascii="Times New Roman" w:hAnsi="Times New Roman"/>
        </w:rPr>
      </w:pPr>
      <w:r>
        <w:rPr>
          <w:rStyle w:val="FootnoteReference"/>
          <w:rFonts w:ascii="Times New Roman" w:hAnsi="Times New Roman"/>
        </w:rPr>
        <w:footnoteRef/>
      </w:r>
      <w:r>
        <w:t xml:space="preserve"> </w:t>
      </w:r>
      <w:r>
        <w:tab/>
      </w:r>
      <w:r>
        <w:rPr>
          <w:rFonts w:ascii="Times New Roman" w:hAnsi="Times New Roman"/>
        </w:rPr>
        <w:t>OJ C 378/07, 8.12.2012 p.6.</w:t>
      </w:r>
    </w:p>
  </w:footnote>
  <w:footnote w:id="3">
    <w:p w:rsidR="00764095" w:rsidRDefault="00F75A5B">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Decision 2004/858/E</w:t>
      </w:r>
      <w:r>
        <w:rPr>
          <w:rFonts w:ascii="Times New Roman" w:hAnsi="Times New Roman"/>
        </w:rPr>
        <w:t xml:space="preserve">C of 15 December 2004 (OJ L 369, 16.12.2005, p. 73) amended by Decision </w:t>
      </w:r>
      <w:r>
        <w:rPr>
          <w:rFonts w:ascii="Times New Roman" w:hAnsi="Times New Roman"/>
        </w:rPr>
        <w:tab/>
        <w:t>2008/544/EC of 20 June 2008 (OJ L 173, 3.7.2008, p. 27).</w:t>
      </w:r>
    </w:p>
  </w:footnote>
  <w:footnote w:id="4">
    <w:p w:rsidR="00764095" w:rsidRDefault="00F75A5B">
      <w:pPr>
        <w:pStyle w:val="FootnoteText"/>
      </w:pPr>
      <w:r>
        <w:rPr>
          <w:rStyle w:val="FootnoteReference"/>
          <w:rFonts w:ascii="Times New Roman" w:hAnsi="Times New Roman"/>
        </w:rPr>
        <w:footnoteRef/>
      </w:r>
      <w:r>
        <w:t xml:space="preserve"> </w:t>
      </w:r>
      <w:r>
        <w:tab/>
      </w:r>
      <w:r>
        <w:rPr>
          <w:rFonts w:ascii="Times New Roman" w:hAnsi="Times New Roman"/>
        </w:rPr>
        <w:t>OJ C 378/07, 8.12.2012.</w:t>
      </w:r>
    </w:p>
  </w:footnote>
  <w:footnote w:id="5">
    <w:p w:rsidR="00764095" w:rsidRDefault="00F75A5B">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‘Exceptional utility of projects’ is defined in Annex VII to the Commission Implementing Decisio</w:t>
      </w:r>
      <w:r>
        <w:rPr>
          <w:rFonts w:ascii="Times New Roman" w:hAnsi="Times New Roman"/>
        </w:rPr>
        <w:t xml:space="preserve">n </w:t>
      </w:r>
      <w:r>
        <w:rPr>
          <w:rFonts w:ascii="Times New Roman" w:hAnsi="Times New Roman"/>
        </w:rPr>
        <w:tab/>
        <w:t xml:space="preserve">adopting the 2013 work plan in the framework of the second programme of Community action in the </w:t>
      </w:r>
      <w:r>
        <w:rPr>
          <w:rFonts w:ascii="Times New Roman" w:hAnsi="Times New Roman"/>
        </w:rPr>
        <w:tab/>
        <w:t>field of health (2008-2013),</w:t>
      </w:r>
      <w:r>
        <w:t xml:space="preserve"> </w:t>
      </w:r>
      <w:r>
        <w:rPr>
          <w:rFonts w:ascii="Times New Roman" w:hAnsi="Times New Roman"/>
        </w:rPr>
        <w:t xml:space="preserve">the selection, award and other criteria for financial contributions to the </w:t>
      </w:r>
      <w:r>
        <w:rPr>
          <w:rFonts w:ascii="Times New Roman" w:hAnsi="Times New Roman"/>
        </w:rPr>
        <w:tab/>
        <w:t>actions of this programme and the EU payment to the</w:t>
      </w:r>
      <w:r>
        <w:rPr>
          <w:rFonts w:ascii="Times New Roman" w:hAnsi="Times New Roman"/>
        </w:rPr>
        <w:t xml:space="preserve"> WHO Framework Convention on Tobacco </w:t>
      </w:r>
      <w:r>
        <w:rPr>
          <w:rFonts w:ascii="Times New Roman" w:hAnsi="Times New Roman"/>
        </w:rPr>
        <w:tab/>
        <w:t>Control, serving as a financing decision, OJ 378, 8.12.2012.</w:t>
      </w:r>
    </w:p>
  </w:footnote>
  <w:footnote w:id="6">
    <w:p w:rsidR="00764095" w:rsidRDefault="00F75A5B">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‘Exceptional utility of operating grants’ is defined in the same Annex.</w:t>
      </w:r>
    </w:p>
  </w:footnote>
  <w:footnote w:id="7">
    <w:p w:rsidR="00764095" w:rsidRDefault="00F75A5B">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‘Exceptional utility of joint actions’ is also defined in the same Annex.</w:t>
      </w:r>
    </w:p>
  </w:footnote>
  <w:footnote w:id="8">
    <w:p w:rsidR="00764095" w:rsidRDefault="00F75A5B">
      <w:pPr>
        <w:pStyle w:val="FootnoteText"/>
      </w:pPr>
      <w:r>
        <w:rPr>
          <w:rStyle w:val="FootnoteReference"/>
          <w:rFonts w:ascii="Times New Roman" w:hAnsi="Times New Roman"/>
        </w:rPr>
        <w:footnoteRef/>
      </w:r>
      <w:r>
        <w:t xml:space="preserve"> </w:t>
      </w:r>
      <w:r>
        <w:tab/>
      </w:r>
      <w:r>
        <w:rPr>
          <w:rFonts w:ascii="Times New Roman" w:hAnsi="Times New Roman"/>
        </w:rPr>
        <w:t xml:space="preserve">Pre-accession credits not yet used, differences between amounts in the award decision and amounts </w:t>
      </w:r>
      <w:r>
        <w:rPr>
          <w:rFonts w:ascii="Times New Roman" w:hAnsi="Times New Roman"/>
        </w:rPr>
        <w:tab/>
        <w:t>actually contracted.</w:t>
      </w:r>
    </w:p>
  </w:footnote>
  <w:footnote w:id="9">
    <w:p w:rsidR="00764095" w:rsidRDefault="00F75A5B">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2" w:history="1">
        <w:r>
          <w:rPr>
            <w:rStyle w:val="Hyperlink"/>
            <w:rFonts w:ascii="Times New Roman" w:hAnsi="Times New Roman"/>
          </w:rPr>
          <w:t>http://ec.europa.eu/health/programme/policy/index_en.html</w:t>
        </w:r>
      </w:hyperlink>
      <w:r>
        <w:rPr>
          <w:rFonts w:ascii="Times New Roman" w:hAnsi="Times New Roman"/>
        </w:rPr>
        <w:t>.</w:t>
      </w:r>
    </w:p>
  </w:footnote>
  <w:footnote w:id="10">
    <w:p w:rsidR="00764095" w:rsidRDefault="00F75A5B">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3" w:history="1">
        <w:r>
          <w:rPr>
            <w:rStyle w:val="Hyperlink"/>
            <w:rFonts w:ascii="Times New Roman" w:hAnsi="Times New Roman"/>
          </w:rPr>
          <w:t>http://ec.europa.eu/chafea/health/</w:t>
        </w:r>
      </w:hyperlink>
      <w:r>
        <w:rPr>
          <w:rFonts w:ascii="Times New Roman" w:hAnsi="Times New Roman"/>
        </w:rPr>
        <w:t>.</w:t>
      </w:r>
    </w:p>
  </w:footnote>
  <w:footnote w:id="11">
    <w:p w:rsidR="00764095" w:rsidRDefault="00F75A5B">
      <w:pPr>
        <w:pStyle w:val="FootnoteText"/>
        <w:tabs>
          <w:tab w:val="left" w:pos="720"/>
          <w:tab w:val="left" w:pos="1440"/>
          <w:tab w:val="left" w:pos="2160"/>
          <w:tab w:val="left" w:pos="2880"/>
          <w:tab w:val="left" w:pos="5385"/>
        </w:tabs>
        <w:rPr>
          <w:rFonts w:ascii="Times New Roman" w:hAnsi="Times New Roman"/>
          <w:color w:val="0000FF"/>
          <w:u w:val="single"/>
        </w:rPr>
      </w:pPr>
      <w:r>
        <w:rPr>
          <w:rStyle w:val="FootnoteReference"/>
          <w:rFonts w:ascii="Times New Roman" w:hAnsi="Times New Roman"/>
        </w:rPr>
        <w:footnoteRef/>
      </w:r>
      <w:r>
        <w:rPr>
          <w:rFonts w:ascii="Times New Roman" w:hAnsi="Times New Roman"/>
        </w:rPr>
        <w:tab/>
        <w:t xml:space="preserve">OJ C 394/36, 20.12.2012 </w:t>
      </w:r>
      <w:r>
        <w:rPr>
          <w:rFonts w:ascii="Times New Roman" w:hAnsi="Times New Roman"/>
        </w:rPr>
        <w:tab/>
        <w:t>.</w:t>
      </w:r>
    </w:p>
  </w:footnote>
  <w:footnote w:id="12">
    <w:p w:rsidR="00764095" w:rsidRDefault="00F75A5B">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OJ C 378/07, 8.12.2012.</w:t>
      </w:r>
    </w:p>
  </w:footnote>
  <w:footnote w:id="13">
    <w:p w:rsidR="00764095" w:rsidRDefault="00F75A5B">
      <w:pPr>
        <w:pStyle w:val="FootnoteText"/>
      </w:pPr>
      <w:r>
        <w:rPr>
          <w:rStyle w:val="FootnoteReference"/>
          <w:rFonts w:ascii="Times New Roman" w:hAnsi="Times New Roman"/>
        </w:rPr>
        <w:footnoteRef/>
      </w:r>
      <w:r>
        <w:rPr>
          <w:rFonts w:ascii="Times New Roman" w:hAnsi="Times New Roman"/>
        </w:rPr>
        <w:tab/>
        <w:t xml:space="preserve">OJ S  040-065407, 26.2. 2014 and </w:t>
      </w:r>
      <w:hyperlink r:id="rId4" w:history="1">
        <w:r>
          <w:rPr>
            <w:rStyle w:val="Hyperlink"/>
            <w:rFonts w:ascii="Times New Roman" w:hAnsi="Times New Roman"/>
          </w:rPr>
          <w:t>http://ec.europa.eu/chafea/</w:t>
        </w:r>
        <w:r>
          <w:rPr>
            <w:rStyle w:val="Hyperlink"/>
            <w:rFonts w:ascii="Times New Roman" w:hAnsi="Times New Roman"/>
          </w:rPr>
          <w:t>ami/</w:t>
        </w:r>
      </w:hyperlink>
      <w:r>
        <w:rPr>
          <w:rFonts w:ascii="Times New Roman" w:hAnsi="Times New Roman"/>
        </w:rPr>
        <w:t>.</w:t>
      </w:r>
    </w:p>
  </w:footnote>
  <w:footnote w:id="14">
    <w:p w:rsidR="00764095" w:rsidRDefault="00F75A5B">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5" w:history="1">
        <w:r>
          <w:rPr>
            <w:rStyle w:val="Hyperlink"/>
            <w:rFonts w:ascii="Times New Roman" w:hAnsi="Times New Roman"/>
          </w:rPr>
          <w:t>http://ec.europa.eu/health/programme/docs/award_decision2013_en.pdf</w:t>
        </w:r>
      </w:hyperlink>
      <w:r>
        <w:rPr>
          <w:rFonts w:ascii="Times New Roman" w:hAnsi="Times New Roman"/>
        </w:rPr>
        <w:t>.</w:t>
      </w:r>
    </w:p>
  </w:footnote>
  <w:footnote w:id="15">
    <w:p w:rsidR="00764095" w:rsidRDefault="00F75A5B">
      <w:pPr>
        <w:pStyle w:val="FootnoteText"/>
      </w:pPr>
      <w:r>
        <w:rPr>
          <w:rStyle w:val="FootnoteReference"/>
          <w:rFonts w:ascii="Times New Roman" w:hAnsi="Times New Roman"/>
        </w:rPr>
        <w:footnoteRef/>
      </w:r>
      <w:r>
        <w:rPr>
          <w:rFonts w:ascii="Times New Roman" w:hAnsi="Times New Roman"/>
        </w:rPr>
        <w:tab/>
      </w:r>
      <w:hyperlink r:id="rId6" w:history="1">
        <w:r>
          <w:rPr>
            <w:rStyle w:val="Hyperlink"/>
            <w:rFonts w:ascii="Times New Roman" w:hAnsi="Times New Roman"/>
          </w:rPr>
          <w:t>http://ec.europa.eu/chafea</w:t>
        </w:r>
        <w:r>
          <w:rPr>
            <w:rStyle w:val="Hyperlink"/>
            <w:rFonts w:ascii="Times New Roman" w:hAnsi="Times New Roman"/>
          </w:rPr>
          <w:t>/projects/database.html</w:t>
        </w:r>
      </w:hyperlink>
      <w:r>
        <w:rPr>
          <w:rFonts w:ascii="Times New Roman" w:hAnsi="Times New Roman"/>
        </w:rPr>
        <w:t>.</w:t>
      </w:r>
    </w:p>
  </w:footnote>
  <w:footnote w:id="16">
    <w:p w:rsidR="00764095" w:rsidRDefault="00F75A5B">
      <w:pPr>
        <w:pStyle w:val="FootnoteText"/>
      </w:pPr>
      <w:r>
        <w:rPr>
          <w:rStyle w:val="FootnoteReference"/>
          <w:rFonts w:ascii="Times New Roman" w:hAnsi="Times New Roman"/>
        </w:rPr>
        <w:footnoteRef/>
      </w:r>
      <w:r>
        <w:tab/>
      </w:r>
      <w:r>
        <w:rPr>
          <w:rFonts w:ascii="Times New Roman" w:hAnsi="Times New Roman"/>
        </w:rPr>
        <w:t>OJ L 241, 10.9.2008, p. 21.</w:t>
      </w:r>
    </w:p>
  </w:footnote>
  <w:footnote w:id="17">
    <w:p w:rsidR="00764095" w:rsidRDefault="00F75A5B">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ab/>
        <w:t xml:space="preserve">There were </w:t>
      </w:r>
      <w:r>
        <w:rPr>
          <w:rFonts w:ascii="Times New Roman" w:hAnsi="Times New Roman"/>
        </w:rPr>
        <w:t xml:space="preserve">no projects or joint actions funded under this strand. As a result, those particular funding </w:t>
      </w:r>
      <w:r>
        <w:rPr>
          <w:rFonts w:ascii="Times New Roman" w:hAnsi="Times New Roman"/>
        </w:rPr>
        <w:tab/>
        <w:t>mechanisms are not included in the chart.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095" w:rsidRDefault="007640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095" w:rsidRDefault="0076409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095" w:rsidRDefault="0076409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095" w:rsidRDefault="0076409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095" w:rsidRDefault="0076409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095" w:rsidRDefault="007640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9AA6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FC64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A06A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F36B9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8CFC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F8CFF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1F6387E"/>
    <w:lvl w:ilvl="0">
      <w:start w:val="1"/>
      <w:numFmt w:val="decimal"/>
      <w:pStyle w:val="ListNumber"/>
      <w:lvlText w:val="%1."/>
      <w:lvlJc w:val="left"/>
      <w:pPr>
        <w:tabs>
          <w:tab w:val="num" w:pos="360"/>
        </w:tabs>
        <w:ind w:left="360" w:hanging="360"/>
      </w:pPr>
    </w:lvl>
  </w:abstractNum>
  <w:abstractNum w:abstractNumId="7">
    <w:nsid w:val="FFFFFF89"/>
    <w:multiLevelType w:val="singleLevel"/>
    <w:tmpl w:val="E0329818"/>
    <w:name w:val="0,41315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E746BF7"/>
    <w:multiLevelType w:val="hybridMultilevel"/>
    <w:tmpl w:val="7A94F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2391591"/>
    <w:multiLevelType w:val="multilevel"/>
    <w:tmpl w:val="C8305900"/>
    <w:styleLink w:val="111111"/>
    <w:lvl w:ilvl="0">
      <w:start w:val="1"/>
      <w:numFmt w:val="decimal"/>
      <w:lvlText w:val="%1."/>
      <w:lvlJc w:val="left"/>
      <w:pPr>
        <w:tabs>
          <w:tab w:val="num" w:pos="360"/>
        </w:tabs>
        <w:ind w:left="360" w:hanging="360"/>
      </w:pPr>
    </w:lvl>
    <w:lvl w:ilvl="1">
      <w:start w:val="1"/>
      <w:numFmt w:val="decimal"/>
      <w:lvlText w:val="%1.%2."/>
      <w:lvlJc w:val="left"/>
      <w:pPr>
        <w:tabs>
          <w:tab w:val="num" w:pos="1260"/>
        </w:tabs>
        <w:ind w:left="97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9A378E8"/>
    <w:multiLevelType w:val="hybridMultilevel"/>
    <w:tmpl w:val="4E50E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E9B68C2E"/>
    <w:lvl w:ilvl="0">
      <w:start w:val="1"/>
      <w:numFmt w:val="decimal"/>
      <w:lvlText w:val="%1"/>
      <w:lvlJc w:val="left"/>
      <w:pPr>
        <w:ind w:left="432" w:hanging="432"/>
      </w:pPr>
      <w:rPr>
        <w:b/>
      </w:rPr>
    </w:lvl>
    <w:lvl w:ilvl="1">
      <w:start w:val="1"/>
      <w:numFmt w:val="decimal"/>
      <w:pStyle w:val="Heading2"/>
      <w:lvlText w:val="%1.%2"/>
      <w:lvlJc w:val="left"/>
      <w:pPr>
        <w:ind w:left="860" w:hanging="576"/>
      </w:pPr>
      <w:rPr>
        <w:color w:val="auto"/>
        <w:sz w:val="24"/>
        <w:szCs w:val="24"/>
      </w:r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663977AF"/>
    <w:multiLevelType w:val="hybridMultilevel"/>
    <w:tmpl w:val="789A437E"/>
    <w:name w:val="0,8244091"/>
    <w:lvl w:ilvl="0" w:tplc="1F86C700">
      <w:start w:val="1"/>
      <w:numFmt w:val="bullet"/>
      <w:lvlRestart w:val="0"/>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67E20E7B"/>
    <w:multiLevelType w:val="hybridMultilevel"/>
    <w:tmpl w:val="65B0A66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2"/>
  </w:num>
  <w:num w:numId="5">
    <w:abstractNumId w:val="24"/>
  </w:num>
  <w:num w:numId="6">
    <w:abstractNumId w:val="11"/>
  </w:num>
  <w:num w:numId="7">
    <w:abstractNumId w:val="13"/>
  </w:num>
  <w:num w:numId="8">
    <w:abstractNumId w:val="9"/>
  </w:num>
  <w:num w:numId="9">
    <w:abstractNumId w:val="14"/>
  </w:num>
  <w:num w:numId="10">
    <w:abstractNumId w:val="19"/>
  </w:num>
  <w:num w:numId="11">
    <w:abstractNumId w:val="20"/>
  </w:num>
  <w:num w:numId="12">
    <w:abstractNumId w:val="10"/>
  </w:num>
  <w:num w:numId="13">
    <w:abstractNumId w:val="17"/>
  </w:num>
  <w:num w:numId="14">
    <w:abstractNumId w:val="26"/>
  </w:num>
  <w:num w:numId="15">
    <w:abstractNumId w:val="7"/>
  </w:num>
  <w:num w:numId="16">
    <w:abstractNumId w:val="5"/>
  </w:num>
  <w:num w:numId="17">
    <w:abstractNumId w:val="4"/>
  </w:num>
  <w:num w:numId="18">
    <w:abstractNumId w:val="3"/>
  </w:num>
  <w:num w:numId="19">
    <w:abstractNumId w:val="23"/>
  </w:num>
  <w:num w:numId="20">
    <w:abstractNumId w:val="16"/>
  </w:num>
  <w:num w:numId="21">
    <w:abstractNumId w:val="8"/>
  </w:num>
  <w:num w:numId="22">
    <w:abstractNumId w:val="6"/>
  </w:num>
  <w:num w:numId="23">
    <w:abstractNumId w:val="2"/>
  </w:num>
  <w:num w:numId="24">
    <w:abstractNumId w:val="1"/>
  </w:num>
  <w:num w:numId="25">
    <w:abstractNumId w:val="0"/>
  </w:num>
  <w:num w:numId="26">
    <w:abstractNumId w:val="15"/>
  </w:num>
  <w:num w:numId="27">
    <w:abstractNumId w:val="18"/>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E79DC8E5A334D698E0945F8A638252F"/>
    <w:docVar w:name="LW_CROSSREFERENCE" w:val="{SWD(2015) 122 final}"/>
    <w:docVar w:name="LW_DocType" w:val="NORMAL"/>
    <w:docVar w:name="LW_EMISSION" w:val="22.6.2015"/>
    <w:docVar w:name="LW_EMISSION_ISODATE" w:val="2015-06-22"/>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306"/>
    <w:docVar w:name="LW_REF.INTERNE" w:val="&lt;UNUSED&gt;"/>
    <w:docVar w:name="LW_SOUS.TITRE.OBJ.CP" w:val="&lt;UNUSED&gt;"/>
    <w:docVar w:name="LW_SUPERTITRE" w:val="&lt;UNUSED&gt;"/>
    <w:docVar w:name="LW_TITRE.OBJ.CP" w:val="Implementation of the second Programme of Community action in the field of health in 2013"/>
    <w:docVar w:name="LW_TYPE.DOC.CP" w:val="REPORT FROM THE COMMISSION TO THE EUROPEAN PARLIAMENT AND THE COUNCIL"/>
  </w:docVars>
  <w:rsids>
    <w:rsidRoot w:val="00764095"/>
    <w:rsid w:val="00764095"/>
    <w:rsid w:val="007867A8"/>
    <w:rsid w:val="00F75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360" w:after="120" w:line="240" w:lineRule="auto"/>
      <w:ind w:left="432"/>
      <w:jc w:val="both"/>
      <w:outlineLvl w:val="0"/>
    </w:pPr>
    <w:rPr>
      <w:rFonts w:ascii="Times New Roman" w:eastAsia="Times New Roman" w:hAnsi="Times New Roman" w:cs="Times New Roman"/>
      <w:b/>
      <w:bCs/>
      <w:smallCaps/>
      <w:sz w:val="24"/>
      <w:szCs w:val="24"/>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bCs/>
      <w:iCs/>
      <w:sz w:val="24"/>
      <w:szCs w:val="24"/>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24"/>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4"/>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Pr>
      <w:rFonts w:ascii="Calibri" w:eastAsia="Times New Roman" w:hAnsi="Calibri" w:cs="Times New Roman"/>
      <w:b/>
      <w:bCs/>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rPr>
  </w:style>
  <w:style w:type="paragraph" w:styleId="TOC1">
    <w:name w:val="toc 1"/>
    <w:basedOn w:val="Normal"/>
    <w:next w:val="Normal"/>
    <w:autoRedefine/>
    <w:uiPriority w:val="39"/>
    <w:unhideWhenUsed/>
    <w:pPr>
      <w:tabs>
        <w:tab w:val="left" w:pos="440"/>
        <w:tab w:val="right" w:leader="dot" w:pos="9063"/>
      </w:tabs>
    </w:pPr>
    <w:rPr>
      <w:rFonts w:ascii="Times New Roman" w:eastAsia="Calibri" w:hAnsi="Times New Roman" w:cs="Times New Roman"/>
      <w:noProof/>
      <w:sz w:val="24"/>
      <w:szCs w:val="24"/>
    </w:rPr>
  </w:style>
  <w:style w:type="paragraph" w:styleId="TOC3">
    <w:name w:val="toc 3"/>
    <w:basedOn w:val="Normal"/>
    <w:next w:val="Normal"/>
    <w:autoRedefine/>
    <w:uiPriority w:val="39"/>
    <w:unhideWhenUsed/>
    <w:pPr>
      <w:ind w:left="440"/>
    </w:pPr>
    <w:rPr>
      <w:rFonts w:ascii="Calibri" w:eastAsia="Calibri" w:hAnsi="Calibri" w:cs="Times New Roman"/>
    </w:rPr>
  </w:style>
  <w:style w:type="paragraph" w:styleId="TOC2">
    <w:name w:val="toc 2"/>
    <w:basedOn w:val="Normal"/>
    <w:next w:val="Normal"/>
    <w:autoRedefine/>
    <w:uiPriority w:val="39"/>
    <w:unhideWhenUsed/>
    <w:pPr>
      <w:tabs>
        <w:tab w:val="left" w:pos="880"/>
        <w:tab w:val="right" w:leader="dot" w:pos="9063"/>
      </w:tabs>
      <w:spacing w:after="100"/>
      <w:ind w:left="220"/>
    </w:pPr>
    <w:rPr>
      <w:rFonts w:ascii="Times New Roman" w:eastAsia="Arial Unicode MS" w:hAnsi="Times New Roman" w:cs="Times New Roman"/>
      <w:noProof/>
      <w:sz w:val="24"/>
      <w:szCs w:val="24"/>
      <w:lang w:eastAsia="zh-CN"/>
    </w:rPr>
  </w:style>
  <w:style w:type="paragraph" w:styleId="TOC4">
    <w:name w:val="toc 4"/>
    <w:basedOn w:val="Normal"/>
    <w:next w:val="Normal"/>
    <w:autoRedefine/>
    <w:uiPriority w:val="39"/>
    <w:unhideWhenUsed/>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pPr>
      <w:spacing w:after="100"/>
      <w:ind w:left="1760"/>
    </w:pPr>
    <w:rPr>
      <w:rFonts w:ascii="Calibri" w:eastAsia="Times New Roman" w:hAnsi="Calibri" w:cs="Times New Roman"/>
      <w:lang w:eastAsia="en-GB"/>
    </w:rPr>
  </w:style>
  <w:style w:type="character" w:styleId="Hyperlink">
    <w:name w:val="Hyperlink"/>
    <w:uiPriority w:val="99"/>
    <w:unhideWhenUsed/>
    <w:rPr>
      <w:color w:val="0000FF"/>
      <w:u w:val="single"/>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character" w:styleId="FollowedHyperlink">
    <w:name w:val="FollowedHyperlink"/>
    <w:unhideWhenUsed/>
    <w:rPr>
      <w:color w:val="800080"/>
      <w:u w:val="singl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rFonts w:ascii="Calibri" w:eastAsia="Calibri" w:hAnsi="Calibri"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imes New Roman"/>
      <w:b/>
      <w:bCs/>
      <w:sz w:val="20"/>
      <w:szCs w:val="20"/>
    </w:rPr>
  </w:style>
  <w:style w:type="paragraph" w:styleId="BalloonText">
    <w:name w:val="Balloon Text"/>
    <w:basedOn w:val="Normal"/>
    <w:link w:val="BalloonTextChar"/>
    <w:uiPriority w:val="99"/>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FootnoteText">
    <w:name w:val="footnote text"/>
    <w:basedOn w:val="Normal"/>
    <w:link w:val="FootnoteTextChar"/>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semiHidden/>
    <w:rPr>
      <w:rFonts w:ascii="Calibri" w:eastAsia="Calibri" w:hAnsi="Calibri" w:cs="Times New Roman"/>
      <w:sz w:val="20"/>
      <w:szCs w:val="20"/>
    </w:rPr>
  </w:style>
  <w:style w:type="character" w:styleId="FootnoteReference">
    <w:name w:val="footnote reference"/>
    <w:unhideWhenUsed/>
    <w:rPr>
      <w:vertAlign w:val="superscript"/>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3"/>
      </w:numPr>
    </w:pPr>
  </w:style>
  <w:style w:type="paragraph" w:customStyle="1" w:styleId="Tiret1">
    <w:name w:val="Tiret 1"/>
    <w:basedOn w:val="Point1"/>
    <w:pPr>
      <w:numPr>
        <w:numId w:val="4"/>
      </w:numPr>
    </w:pPr>
  </w:style>
  <w:style w:type="paragraph" w:customStyle="1" w:styleId="Tiret2">
    <w:name w:val="Tiret 2"/>
    <w:basedOn w:val="Point2"/>
    <w:pPr>
      <w:numPr>
        <w:numId w:val="5"/>
      </w:numPr>
    </w:pPr>
  </w:style>
  <w:style w:type="paragraph" w:customStyle="1" w:styleId="Tiret3">
    <w:name w:val="Tiret 3"/>
    <w:basedOn w:val="Point3"/>
    <w:pPr>
      <w:numPr>
        <w:numId w:val="6"/>
      </w:numPr>
    </w:pPr>
  </w:style>
  <w:style w:type="paragraph" w:customStyle="1" w:styleId="Tiret4">
    <w:name w:val="Tiret 4"/>
    <w:basedOn w:val="Point4"/>
    <w:pPr>
      <w:numPr>
        <w:numId w:val="7"/>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21"/>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21"/>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21"/>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21"/>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21"/>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21"/>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21"/>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21"/>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21"/>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15"/>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16"/>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pPr>
      <w:numPr>
        <w:numId w:val="17"/>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18"/>
      </w:numPr>
      <w:spacing w:before="120" w:after="120" w:line="240" w:lineRule="auto"/>
      <w:contextualSpacing/>
      <w:jc w:val="both"/>
    </w:pPr>
    <w:rPr>
      <w:rFonts w:ascii="Times New Roman" w:eastAsia="Times New Roman" w:hAnsi="Times New Roman" w:cs="Times New Roman"/>
      <w:sz w:val="24"/>
      <w:szCs w:val="24"/>
    </w:rPr>
  </w:style>
  <w:style w:type="paragraph" w:customStyle="1" w:styleId="ListDash">
    <w:name w:val="List Dash"/>
    <w:basedOn w:val="Normal"/>
    <w:pPr>
      <w:numPr>
        <w:numId w:val="19"/>
      </w:numPr>
      <w:spacing w:before="120" w:after="120" w:line="240" w:lineRule="auto"/>
      <w:jc w:val="both"/>
    </w:pPr>
    <w:rPr>
      <w:rFonts w:ascii="Times New Roman" w:eastAsia="Times New Roman" w:hAnsi="Times New Roman" w:cs="Times New Roman"/>
      <w:sz w:val="24"/>
      <w:szCs w:val="24"/>
    </w:rPr>
  </w:style>
  <w:style w:type="character" w:styleId="Strong">
    <w:name w:val="Strong"/>
    <w:qFormat/>
    <w:rPr>
      <w:b/>
      <w:bCs/>
    </w:rPr>
  </w:style>
  <w:style w:type="paragraph" w:styleId="ListParagraph">
    <w:name w:val="List Paragraph"/>
    <w:basedOn w:val="Normal"/>
    <w:uiPriority w:val="34"/>
    <w:qFormat/>
    <w:pPr>
      <w:ind w:left="720"/>
      <w:contextualSpacing/>
    </w:pPr>
    <w:rPr>
      <w:rFonts w:ascii="Calibri" w:eastAsia="Times New Roman" w:hAnsi="Calibri" w:cs="Times New Roman"/>
      <w:lang w:val="fr-FR"/>
    </w:rPr>
  </w:style>
  <w:style w:type="numbering" w:styleId="111111">
    <w:name w:val="Outline List 2"/>
    <w:basedOn w:val="NoList"/>
    <w:pPr>
      <w:numPr>
        <w:numId w:val="20"/>
      </w:numPr>
    </w:pPr>
  </w:style>
  <w:style w:type="character" w:styleId="PageNumber">
    <w:name w:val="page numbe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22"/>
      </w:numPr>
      <w:spacing w:before="120" w:after="120" w:line="240" w:lineRule="auto"/>
      <w:contextualSpacing/>
      <w:jc w:val="both"/>
    </w:pPr>
    <w:rPr>
      <w:rFonts w:ascii="Times New Roman" w:eastAsia="Times New Roman" w:hAnsi="Times New Roman" w:cs="Times New Roman"/>
      <w:sz w:val="24"/>
      <w:szCs w:val="24"/>
    </w:rPr>
  </w:style>
  <w:style w:type="paragraph" w:styleId="ListNumber2">
    <w:name w:val="List Number 2"/>
    <w:basedOn w:val="Normal"/>
    <w:pPr>
      <w:numPr>
        <w:numId w:val="23"/>
      </w:numPr>
      <w:spacing w:before="120" w:after="120" w:line="240" w:lineRule="auto"/>
      <w:contextualSpacing/>
      <w:jc w:val="both"/>
    </w:pPr>
    <w:rPr>
      <w:rFonts w:ascii="Times New Roman" w:eastAsia="Times New Roman" w:hAnsi="Times New Roman" w:cs="Times New Roman"/>
      <w:sz w:val="24"/>
      <w:szCs w:val="24"/>
    </w:rPr>
  </w:style>
  <w:style w:type="paragraph" w:styleId="ListNumber3">
    <w:name w:val="List Number 3"/>
    <w:basedOn w:val="Normal"/>
    <w:pPr>
      <w:numPr>
        <w:numId w:val="24"/>
      </w:numPr>
      <w:spacing w:before="120" w:after="120" w:line="240" w:lineRule="auto"/>
      <w:contextualSpacing/>
      <w:jc w:val="both"/>
    </w:pPr>
    <w:rPr>
      <w:rFonts w:ascii="Times New Roman" w:eastAsia="Times New Roman" w:hAnsi="Times New Roman" w:cs="Times New Roman"/>
      <w:sz w:val="24"/>
      <w:szCs w:val="24"/>
    </w:rPr>
  </w:style>
  <w:style w:type="paragraph" w:styleId="ListNumber4">
    <w:name w:val="List Number 4"/>
    <w:basedOn w:val="Normal"/>
    <w:pPr>
      <w:numPr>
        <w:numId w:val="25"/>
      </w:numPr>
      <w:spacing w:before="120" w:after="120" w:line="240" w:lineRule="auto"/>
      <w:contextualSpacing/>
      <w:jc w:val="both"/>
    </w:pPr>
    <w:rPr>
      <w:rFonts w:ascii="Times New Roman" w:eastAsia="Times New Roman" w:hAnsi="Times New Roman" w:cs="Times New Roman"/>
      <w:sz w:val="24"/>
      <w:szCs w:val="24"/>
    </w:rPr>
  </w:style>
  <w:style w:type="character" w:customStyle="1" w:styleId="TypedudocumentChar">
    <w:name w:val="Type du document Char"/>
    <w:link w:val="Typedudocument"/>
    <w:rPr>
      <w:rFonts w:ascii="Times New Roman" w:eastAsia="Times New Roman" w:hAnsi="Times New Roman" w:cs="Times New Roman"/>
      <w:b/>
      <w:sz w:val="24"/>
      <w:szCs w:val="24"/>
    </w:rPr>
  </w:style>
  <w:style w:type="paragraph" w:styleId="DocumentMap">
    <w:name w:val="Document Map"/>
    <w:basedOn w:val="Normal"/>
    <w:link w:val="DocumentMapChar"/>
    <w:semiHidden/>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Pr>
      <w:rFonts w:ascii="Tahoma" w:eastAsia="Calibri" w:hAnsi="Tahoma" w:cs="Tahoma"/>
      <w:shd w:val="clear" w:color="auto" w:fill="000080"/>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ascii="Times New Roman" w:eastAsia="Times New Roman" w:hAnsi="Times New Roman" w:cs="Times New Roman"/>
      <w:sz w:val="24"/>
      <w:szCs w:val="20"/>
      <w:lang w:eastAsia="fr-BE"/>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paragraph" w:styleId="NormalWeb">
    <w:name w:val="Normal (Web)"/>
    <w:basedOn w:val="Normal"/>
    <w:uiPriority w:val="99"/>
    <w:semiHidden/>
    <w:unhideWhenUsed/>
    <w:rPr>
      <w:rFonts w:ascii="Times New Roman" w:eastAsia="Calibri" w:hAnsi="Times New Roman" w:cs="Times New Roman"/>
      <w:sz w:val="24"/>
      <w:szCs w:val="24"/>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style>
  <w:style w:type="numbering" w:customStyle="1" w:styleId="1111111">
    <w:name w:val="1 / 1.1 / 1.1.11"/>
    <w:basedOn w:val="NoList"/>
    <w:next w:val="111111"/>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style>
  <w:style w:type="table" w:styleId="LightList-Accent4">
    <w:name w:val="Light List Accent 4"/>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360" w:after="120" w:line="240" w:lineRule="auto"/>
      <w:ind w:left="432"/>
      <w:jc w:val="both"/>
      <w:outlineLvl w:val="0"/>
    </w:pPr>
    <w:rPr>
      <w:rFonts w:ascii="Times New Roman" w:eastAsia="Times New Roman" w:hAnsi="Times New Roman" w:cs="Times New Roman"/>
      <w:b/>
      <w:bCs/>
      <w:smallCaps/>
      <w:sz w:val="24"/>
      <w:szCs w:val="24"/>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bCs/>
      <w:iCs/>
      <w:sz w:val="24"/>
      <w:szCs w:val="24"/>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24"/>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4"/>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Pr>
      <w:rFonts w:ascii="Calibri" w:eastAsia="Times New Roman" w:hAnsi="Calibri" w:cs="Times New Roman"/>
      <w:b/>
      <w:bCs/>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rPr>
  </w:style>
  <w:style w:type="paragraph" w:styleId="TOC1">
    <w:name w:val="toc 1"/>
    <w:basedOn w:val="Normal"/>
    <w:next w:val="Normal"/>
    <w:autoRedefine/>
    <w:uiPriority w:val="39"/>
    <w:unhideWhenUsed/>
    <w:pPr>
      <w:tabs>
        <w:tab w:val="left" w:pos="440"/>
        <w:tab w:val="right" w:leader="dot" w:pos="9063"/>
      </w:tabs>
    </w:pPr>
    <w:rPr>
      <w:rFonts w:ascii="Times New Roman" w:eastAsia="Calibri" w:hAnsi="Times New Roman" w:cs="Times New Roman"/>
      <w:noProof/>
      <w:sz w:val="24"/>
      <w:szCs w:val="24"/>
    </w:rPr>
  </w:style>
  <w:style w:type="paragraph" w:styleId="TOC3">
    <w:name w:val="toc 3"/>
    <w:basedOn w:val="Normal"/>
    <w:next w:val="Normal"/>
    <w:autoRedefine/>
    <w:uiPriority w:val="39"/>
    <w:unhideWhenUsed/>
    <w:pPr>
      <w:ind w:left="440"/>
    </w:pPr>
    <w:rPr>
      <w:rFonts w:ascii="Calibri" w:eastAsia="Calibri" w:hAnsi="Calibri" w:cs="Times New Roman"/>
    </w:rPr>
  </w:style>
  <w:style w:type="paragraph" w:styleId="TOC2">
    <w:name w:val="toc 2"/>
    <w:basedOn w:val="Normal"/>
    <w:next w:val="Normal"/>
    <w:autoRedefine/>
    <w:uiPriority w:val="39"/>
    <w:unhideWhenUsed/>
    <w:pPr>
      <w:tabs>
        <w:tab w:val="left" w:pos="880"/>
        <w:tab w:val="right" w:leader="dot" w:pos="9063"/>
      </w:tabs>
      <w:spacing w:after="100"/>
      <w:ind w:left="220"/>
    </w:pPr>
    <w:rPr>
      <w:rFonts w:ascii="Times New Roman" w:eastAsia="Arial Unicode MS" w:hAnsi="Times New Roman" w:cs="Times New Roman"/>
      <w:noProof/>
      <w:sz w:val="24"/>
      <w:szCs w:val="24"/>
      <w:lang w:eastAsia="zh-CN"/>
    </w:rPr>
  </w:style>
  <w:style w:type="paragraph" w:styleId="TOC4">
    <w:name w:val="toc 4"/>
    <w:basedOn w:val="Normal"/>
    <w:next w:val="Normal"/>
    <w:autoRedefine/>
    <w:uiPriority w:val="39"/>
    <w:unhideWhenUsed/>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pPr>
      <w:spacing w:after="100"/>
      <w:ind w:left="1760"/>
    </w:pPr>
    <w:rPr>
      <w:rFonts w:ascii="Calibri" w:eastAsia="Times New Roman" w:hAnsi="Calibri" w:cs="Times New Roman"/>
      <w:lang w:eastAsia="en-GB"/>
    </w:rPr>
  </w:style>
  <w:style w:type="character" w:styleId="Hyperlink">
    <w:name w:val="Hyperlink"/>
    <w:uiPriority w:val="99"/>
    <w:unhideWhenUsed/>
    <w:rPr>
      <w:color w:val="0000FF"/>
      <w:u w:val="single"/>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character" w:styleId="FollowedHyperlink">
    <w:name w:val="FollowedHyperlink"/>
    <w:unhideWhenUsed/>
    <w:rPr>
      <w:color w:val="800080"/>
      <w:u w:val="singl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rFonts w:ascii="Calibri" w:eastAsia="Calibri" w:hAnsi="Calibri"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imes New Roman"/>
      <w:b/>
      <w:bCs/>
      <w:sz w:val="20"/>
      <w:szCs w:val="20"/>
    </w:rPr>
  </w:style>
  <w:style w:type="paragraph" w:styleId="BalloonText">
    <w:name w:val="Balloon Text"/>
    <w:basedOn w:val="Normal"/>
    <w:link w:val="BalloonTextChar"/>
    <w:uiPriority w:val="99"/>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FootnoteText">
    <w:name w:val="footnote text"/>
    <w:basedOn w:val="Normal"/>
    <w:link w:val="FootnoteTextChar"/>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semiHidden/>
    <w:rPr>
      <w:rFonts w:ascii="Calibri" w:eastAsia="Calibri" w:hAnsi="Calibri" w:cs="Times New Roman"/>
      <w:sz w:val="20"/>
      <w:szCs w:val="20"/>
    </w:rPr>
  </w:style>
  <w:style w:type="character" w:styleId="FootnoteReference">
    <w:name w:val="footnote reference"/>
    <w:unhideWhenUsed/>
    <w:rPr>
      <w:vertAlign w:val="superscript"/>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3"/>
      </w:numPr>
    </w:pPr>
  </w:style>
  <w:style w:type="paragraph" w:customStyle="1" w:styleId="Tiret1">
    <w:name w:val="Tiret 1"/>
    <w:basedOn w:val="Point1"/>
    <w:pPr>
      <w:numPr>
        <w:numId w:val="4"/>
      </w:numPr>
    </w:pPr>
  </w:style>
  <w:style w:type="paragraph" w:customStyle="1" w:styleId="Tiret2">
    <w:name w:val="Tiret 2"/>
    <w:basedOn w:val="Point2"/>
    <w:pPr>
      <w:numPr>
        <w:numId w:val="5"/>
      </w:numPr>
    </w:pPr>
  </w:style>
  <w:style w:type="paragraph" w:customStyle="1" w:styleId="Tiret3">
    <w:name w:val="Tiret 3"/>
    <w:basedOn w:val="Point3"/>
    <w:pPr>
      <w:numPr>
        <w:numId w:val="6"/>
      </w:numPr>
    </w:pPr>
  </w:style>
  <w:style w:type="paragraph" w:customStyle="1" w:styleId="Tiret4">
    <w:name w:val="Tiret 4"/>
    <w:basedOn w:val="Point4"/>
    <w:pPr>
      <w:numPr>
        <w:numId w:val="7"/>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21"/>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21"/>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21"/>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21"/>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21"/>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21"/>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21"/>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21"/>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21"/>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15"/>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16"/>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pPr>
      <w:numPr>
        <w:numId w:val="17"/>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18"/>
      </w:numPr>
      <w:spacing w:before="120" w:after="120" w:line="240" w:lineRule="auto"/>
      <w:contextualSpacing/>
      <w:jc w:val="both"/>
    </w:pPr>
    <w:rPr>
      <w:rFonts w:ascii="Times New Roman" w:eastAsia="Times New Roman" w:hAnsi="Times New Roman" w:cs="Times New Roman"/>
      <w:sz w:val="24"/>
      <w:szCs w:val="24"/>
    </w:rPr>
  </w:style>
  <w:style w:type="paragraph" w:customStyle="1" w:styleId="ListDash">
    <w:name w:val="List Dash"/>
    <w:basedOn w:val="Normal"/>
    <w:pPr>
      <w:numPr>
        <w:numId w:val="19"/>
      </w:numPr>
      <w:spacing w:before="120" w:after="120" w:line="240" w:lineRule="auto"/>
      <w:jc w:val="both"/>
    </w:pPr>
    <w:rPr>
      <w:rFonts w:ascii="Times New Roman" w:eastAsia="Times New Roman" w:hAnsi="Times New Roman" w:cs="Times New Roman"/>
      <w:sz w:val="24"/>
      <w:szCs w:val="24"/>
    </w:rPr>
  </w:style>
  <w:style w:type="character" w:styleId="Strong">
    <w:name w:val="Strong"/>
    <w:qFormat/>
    <w:rPr>
      <w:b/>
      <w:bCs/>
    </w:rPr>
  </w:style>
  <w:style w:type="paragraph" w:styleId="ListParagraph">
    <w:name w:val="List Paragraph"/>
    <w:basedOn w:val="Normal"/>
    <w:uiPriority w:val="34"/>
    <w:qFormat/>
    <w:pPr>
      <w:ind w:left="720"/>
      <w:contextualSpacing/>
    </w:pPr>
    <w:rPr>
      <w:rFonts w:ascii="Calibri" w:eastAsia="Times New Roman" w:hAnsi="Calibri" w:cs="Times New Roman"/>
      <w:lang w:val="fr-FR"/>
    </w:rPr>
  </w:style>
  <w:style w:type="numbering" w:styleId="111111">
    <w:name w:val="Outline List 2"/>
    <w:basedOn w:val="NoList"/>
    <w:pPr>
      <w:numPr>
        <w:numId w:val="20"/>
      </w:numPr>
    </w:pPr>
  </w:style>
  <w:style w:type="character" w:styleId="PageNumber">
    <w:name w:val="page numbe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22"/>
      </w:numPr>
      <w:spacing w:before="120" w:after="120" w:line="240" w:lineRule="auto"/>
      <w:contextualSpacing/>
      <w:jc w:val="both"/>
    </w:pPr>
    <w:rPr>
      <w:rFonts w:ascii="Times New Roman" w:eastAsia="Times New Roman" w:hAnsi="Times New Roman" w:cs="Times New Roman"/>
      <w:sz w:val="24"/>
      <w:szCs w:val="24"/>
    </w:rPr>
  </w:style>
  <w:style w:type="paragraph" w:styleId="ListNumber2">
    <w:name w:val="List Number 2"/>
    <w:basedOn w:val="Normal"/>
    <w:pPr>
      <w:numPr>
        <w:numId w:val="23"/>
      </w:numPr>
      <w:spacing w:before="120" w:after="120" w:line="240" w:lineRule="auto"/>
      <w:contextualSpacing/>
      <w:jc w:val="both"/>
    </w:pPr>
    <w:rPr>
      <w:rFonts w:ascii="Times New Roman" w:eastAsia="Times New Roman" w:hAnsi="Times New Roman" w:cs="Times New Roman"/>
      <w:sz w:val="24"/>
      <w:szCs w:val="24"/>
    </w:rPr>
  </w:style>
  <w:style w:type="paragraph" w:styleId="ListNumber3">
    <w:name w:val="List Number 3"/>
    <w:basedOn w:val="Normal"/>
    <w:pPr>
      <w:numPr>
        <w:numId w:val="24"/>
      </w:numPr>
      <w:spacing w:before="120" w:after="120" w:line="240" w:lineRule="auto"/>
      <w:contextualSpacing/>
      <w:jc w:val="both"/>
    </w:pPr>
    <w:rPr>
      <w:rFonts w:ascii="Times New Roman" w:eastAsia="Times New Roman" w:hAnsi="Times New Roman" w:cs="Times New Roman"/>
      <w:sz w:val="24"/>
      <w:szCs w:val="24"/>
    </w:rPr>
  </w:style>
  <w:style w:type="paragraph" w:styleId="ListNumber4">
    <w:name w:val="List Number 4"/>
    <w:basedOn w:val="Normal"/>
    <w:pPr>
      <w:numPr>
        <w:numId w:val="25"/>
      </w:numPr>
      <w:spacing w:before="120" w:after="120" w:line="240" w:lineRule="auto"/>
      <w:contextualSpacing/>
      <w:jc w:val="both"/>
    </w:pPr>
    <w:rPr>
      <w:rFonts w:ascii="Times New Roman" w:eastAsia="Times New Roman" w:hAnsi="Times New Roman" w:cs="Times New Roman"/>
      <w:sz w:val="24"/>
      <w:szCs w:val="24"/>
    </w:rPr>
  </w:style>
  <w:style w:type="character" w:customStyle="1" w:styleId="TypedudocumentChar">
    <w:name w:val="Type du document Char"/>
    <w:link w:val="Typedudocument"/>
    <w:rPr>
      <w:rFonts w:ascii="Times New Roman" w:eastAsia="Times New Roman" w:hAnsi="Times New Roman" w:cs="Times New Roman"/>
      <w:b/>
      <w:sz w:val="24"/>
      <w:szCs w:val="24"/>
    </w:rPr>
  </w:style>
  <w:style w:type="paragraph" w:styleId="DocumentMap">
    <w:name w:val="Document Map"/>
    <w:basedOn w:val="Normal"/>
    <w:link w:val="DocumentMapChar"/>
    <w:semiHidden/>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Pr>
      <w:rFonts w:ascii="Tahoma" w:eastAsia="Calibri" w:hAnsi="Tahoma" w:cs="Tahoma"/>
      <w:shd w:val="clear" w:color="auto" w:fill="000080"/>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ascii="Times New Roman" w:eastAsia="Times New Roman" w:hAnsi="Times New Roman" w:cs="Times New Roman"/>
      <w:sz w:val="24"/>
      <w:szCs w:val="20"/>
      <w:lang w:eastAsia="fr-BE"/>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paragraph" w:styleId="NormalWeb">
    <w:name w:val="Normal (Web)"/>
    <w:basedOn w:val="Normal"/>
    <w:uiPriority w:val="99"/>
    <w:semiHidden/>
    <w:unhideWhenUsed/>
    <w:rPr>
      <w:rFonts w:ascii="Times New Roman" w:eastAsia="Calibri" w:hAnsi="Times New Roman" w:cs="Times New Roman"/>
      <w:sz w:val="24"/>
      <w:szCs w:val="24"/>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style>
  <w:style w:type="numbering" w:customStyle="1" w:styleId="1111111">
    <w:name w:val="1 / 1.1 / 1.1.11"/>
    <w:basedOn w:val="NoList"/>
    <w:next w:val="111111"/>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style>
  <w:style w:type="table" w:styleId="LightList-Accent4">
    <w:name w:val="Light List Accent 4"/>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chafea/health/" TargetMode="External"/><Relationship Id="rId2" Type="http://schemas.openxmlformats.org/officeDocument/2006/relationships/hyperlink" Target="http://ec.europa.eu/health/programme/policy/index_en.html" TargetMode="External"/><Relationship Id="rId1" Type="http://schemas.openxmlformats.org/officeDocument/2006/relationships/hyperlink" Target="http://ec.europa.eu/health/strategy/policy/index_en.htm" TargetMode="External"/><Relationship Id="rId6" Type="http://schemas.openxmlformats.org/officeDocument/2006/relationships/hyperlink" Target="http://ec.europa.eu/chafea/projects/database.html" TargetMode="External"/><Relationship Id="rId5" Type="http://schemas.openxmlformats.org/officeDocument/2006/relationships/hyperlink" Target="http://ec.europa.eu/health/programme/docs/award_decision2013_en.pdf" TargetMode="External"/><Relationship Id="rId4" Type="http://schemas.openxmlformats.org/officeDocument/2006/relationships/hyperlink" Target="http://ec.europa.eu/chafea/ami/"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oleObject" Target="file:///\\S-SANCO-GEO-CLU\C1$\C1%20PROGRAMME%20MANAGEMENT%20AND%20DISEASES\HEALTH%20PROGRAMME\III.%20PUBLIC%20HEALTH%20PROGRAMME\Programme%202008-2013\Annual%20Reports\Annual%20Report%202013\figures%20for%20pie%20charts.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800" b="1" i="0" u="none" strike="noStrike" baseline="0">
              <a:solidFill>
                <a:srgbClr val="000000"/>
              </a:solidFill>
              <a:latin typeface="Calibri"/>
              <a:ea typeface="Calibri"/>
              <a:cs typeface="Calibri"/>
            </a:defRPr>
          </a:pPr>
          <a:endParaRPr lang="en-US"/>
        </a:p>
      </c:txPr>
    </c:title>
    <c:autoTitleDeleted val="0"/>
    <c:plotArea>
      <c:layout/>
      <c:pieChart>
        <c:varyColors val="1"/>
        <c:ser>
          <c:idx val="0"/>
          <c:order val="0"/>
          <c:tx>
            <c:strRef>
              <c:f>Sheet1!$B$1</c:f>
              <c:strCache>
                <c:ptCount val="1"/>
                <c:pt idx="0">
                  <c:v>Health Security</c:v>
                </c:pt>
              </c:strCache>
            </c:strRef>
          </c:tx>
          <c:dPt>
            <c:idx val="0"/>
            <c:bubble3D val="0"/>
          </c:dPt>
          <c:dPt>
            <c:idx val="1"/>
            <c:bubble3D val="0"/>
          </c:dPt>
          <c:dPt>
            <c:idx val="2"/>
            <c:bubble3D val="0"/>
          </c:dPt>
          <c:dPt>
            <c:idx val="3"/>
            <c:bubble3D val="0"/>
          </c:dPt>
          <c:dPt>
            <c:idx val="4"/>
            <c:bubble3D val="0"/>
          </c:dPt>
          <c:dPt>
            <c:idx val="5"/>
            <c:bubble3D val="0"/>
          </c:dPt>
          <c:dPt>
            <c:idx val="6"/>
            <c:bubble3D val="0"/>
          </c:dPt>
          <c:dLbls>
            <c:txPr>
              <a:bodyPr/>
              <a:lstStyle/>
              <a:p>
                <a:pPr>
                  <a:defRPr sz="1000" b="0" i="0" u="none" strike="noStrike" baseline="0">
                    <a:solidFill>
                      <a:srgbClr val="000000"/>
                    </a:solidFill>
                    <a:latin typeface="Calibri"/>
                    <a:ea typeface="Calibri"/>
                    <a:cs typeface="Calibri"/>
                  </a:defRPr>
                </a:pPr>
                <a:endParaRPr lang="en-US"/>
              </a:p>
            </c:txPr>
            <c:showLegendKey val="0"/>
            <c:showVal val="0"/>
            <c:showCatName val="1"/>
            <c:showSerName val="0"/>
            <c:showPercent val="0"/>
            <c:showBubbleSize val="0"/>
            <c:showLeaderLines val="1"/>
          </c:dLbls>
          <c:cat>
            <c:strRef>
              <c:f>Sheet1!$A$2:$A$8</c:f>
              <c:strCache>
                <c:ptCount val="7"/>
                <c:pt idx="0">
                  <c:v>PJ</c:v>
                </c:pt>
                <c:pt idx="1">
                  <c:v>JA</c:v>
                </c:pt>
                <c:pt idx="2">
                  <c:v>OG</c:v>
                </c:pt>
                <c:pt idx="3">
                  <c:v>CF</c:v>
                </c:pt>
                <c:pt idx="4">
                  <c:v>DGA</c:v>
                </c:pt>
                <c:pt idx="5">
                  <c:v>Tender</c:v>
                </c:pt>
                <c:pt idx="6">
                  <c:v>other</c:v>
                </c:pt>
              </c:strCache>
            </c:strRef>
          </c:cat>
          <c:val>
            <c:numRef>
              <c:f>Sheet1!$B$2:$B$8</c:f>
              <c:numCache>
                <c:formatCode>#,##0.00</c:formatCode>
                <c:ptCount val="7"/>
                <c:pt idx="0">
                  <c:v>2609911</c:v>
                </c:pt>
                <c:pt idx="1">
                  <c:v>4298700</c:v>
                </c:pt>
                <c:pt idx="2">
                  <c:v>643523</c:v>
                </c:pt>
                <c:pt idx="3">
                  <c:v>0</c:v>
                </c:pt>
                <c:pt idx="4">
                  <c:v>200000</c:v>
                </c:pt>
                <c:pt idx="5">
                  <c:v>2903451.92</c:v>
                </c:pt>
                <c:pt idx="6">
                  <c:v>325000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Sheet1!$B$25</c:f>
              <c:strCache>
                <c:ptCount val="1"/>
                <c:pt idx="0">
                  <c:v>Health Promotion</c:v>
                </c:pt>
              </c:strCache>
            </c:strRef>
          </c:tx>
          <c:dPt>
            <c:idx val="0"/>
            <c:bubble3D val="0"/>
          </c:dPt>
          <c:dPt>
            <c:idx val="1"/>
            <c:bubble3D val="0"/>
          </c:dPt>
          <c:dPt>
            <c:idx val="2"/>
            <c:bubble3D val="0"/>
          </c:dPt>
          <c:dPt>
            <c:idx val="3"/>
            <c:bubble3D val="0"/>
          </c:dPt>
          <c:dPt>
            <c:idx val="4"/>
            <c:bubble3D val="0"/>
          </c:dPt>
          <c:dPt>
            <c:idx val="5"/>
            <c:bubble3D val="0"/>
          </c:dPt>
          <c:dPt>
            <c:idx val="6"/>
            <c:bubble3D val="0"/>
          </c:dPt>
          <c:dLbls>
            <c:showLegendKey val="0"/>
            <c:showVal val="0"/>
            <c:showCatName val="1"/>
            <c:showSerName val="0"/>
            <c:showPercent val="0"/>
            <c:showBubbleSize val="0"/>
            <c:showLeaderLines val="1"/>
          </c:dLbls>
          <c:cat>
            <c:strRef>
              <c:f>Sheet1!$A$26:$A$32</c:f>
              <c:strCache>
                <c:ptCount val="7"/>
                <c:pt idx="0">
                  <c:v>PJ</c:v>
                </c:pt>
                <c:pt idx="1">
                  <c:v>JA</c:v>
                </c:pt>
                <c:pt idx="2">
                  <c:v>OG</c:v>
                </c:pt>
                <c:pt idx="3">
                  <c:v>CF</c:v>
                </c:pt>
                <c:pt idx="4">
                  <c:v>DGA</c:v>
                </c:pt>
                <c:pt idx="5">
                  <c:v>Tender</c:v>
                </c:pt>
                <c:pt idx="6">
                  <c:v>other</c:v>
                </c:pt>
              </c:strCache>
            </c:strRef>
          </c:cat>
          <c:val>
            <c:numRef>
              <c:f>Sheet1!$B$26:$B$32</c:f>
              <c:numCache>
                <c:formatCode>#,##0.00</c:formatCode>
                <c:ptCount val="7"/>
                <c:pt idx="0">
                  <c:v>12023592</c:v>
                </c:pt>
                <c:pt idx="1">
                  <c:v>9139943</c:v>
                </c:pt>
                <c:pt idx="2">
                  <c:v>2070744</c:v>
                </c:pt>
                <c:pt idx="3">
                  <c:v>371603.6</c:v>
                </c:pt>
                <c:pt idx="4">
                  <c:v>600000</c:v>
                </c:pt>
                <c:pt idx="5">
                  <c:v>4526531.1399999997</c:v>
                </c:pt>
                <c:pt idx="6">
                  <c:v>7406</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Sheet1!$B$34</c:f>
              <c:strCache>
                <c:ptCount val="1"/>
                <c:pt idx="0">
                  <c:v>Health Information</c:v>
                </c:pt>
              </c:strCache>
            </c:strRef>
          </c:tx>
          <c:dPt>
            <c:idx val="0"/>
            <c:bubble3D val="0"/>
          </c:dPt>
          <c:dPt>
            <c:idx val="1"/>
            <c:bubble3D val="0"/>
          </c:dPt>
          <c:dPt>
            <c:idx val="2"/>
            <c:bubble3D val="0"/>
          </c:dPt>
          <c:dPt>
            <c:idx val="3"/>
            <c:bubble3D val="0"/>
          </c:dPt>
          <c:dPt>
            <c:idx val="4"/>
            <c:bubble3D val="0"/>
          </c:dPt>
          <c:dLbls>
            <c:showLegendKey val="0"/>
            <c:showVal val="0"/>
            <c:showCatName val="1"/>
            <c:showSerName val="0"/>
            <c:showPercent val="0"/>
            <c:showBubbleSize val="0"/>
            <c:showLeaderLines val="1"/>
          </c:dLbls>
          <c:cat>
            <c:strRef>
              <c:f>Sheet1!$A$35:$A$39</c:f>
              <c:strCache>
                <c:ptCount val="5"/>
                <c:pt idx="0">
                  <c:v>OG</c:v>
                </c:pt>
                <c:pt idx="1">
                  <c:v>CF</c:v>
                </c:pt>
                <c:pt idx="2">
                  <c:v>DGA</c:v>
                </c:pt>
                <c:pt idx="3">
                  <c:v>Tender</c:v>
                </c:pt>
                <c:pt idx="4">
                  <c:v>other</c:v>
                </c:pt>
              </c:strCache>
            </c:strRef>
          </c:cat>
          <c:val>
            <c:numRef>
              <c:f>Sheet1!$B$35:$B$39</c:f>
              <c:numCache>
                <c:formatCode>#,##0.00</c:formatCode>
                <c:ptCount val="5"/>
                <c:pt idx="0">
                  <c:v>2760224</c:v>
                </c:pt>
                <c:pt idx="1">
                  <c:v>753864</c:v>
                </c:pt>
                <c:pt idx="2">
                  <c:v>300000</c:v>
                </c:pt>
                <c:pt idx="3">
                  <c:v>2364566.5499999998</c:v>
                </c:pt>
                <c:pt idx="4">
                  <c:v>3989250.57</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15</Pages>
  <Words>3540</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17</cp:revision>
  <cp:lastPrinted>2015-04-17T11:35:00Z</cp:lastPrinted>
  <dcterms:created xsi:type="dcterms:W3CDTF">2015-06-09T11:50:00Z</dcterms:created>
  <dcterms:modified xsi:type="dcterms:W3CDTF">2015-06-12T10:27:00Z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