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13" w:rsidRDefault="00FE1C1F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05F26F27C1648A6A6D94DFA52A6FA2F" style="width:450.75pt;height:321pt">
            <v:imagedata r:id="rId9" o:title=""/>
          </v:shape>
        </w:pict>
      </w:r>
    </w:p>
    <w:bookmarkEnd w:id="0"/>
    <w:p w:rsidR="00F63213" w:rsidRDefault="00F63213">
      <w:pPr>
        <w:rPr>
          <w:noProof/>
        </w:rPr>
        <w:sectPr w:rsidR="00F632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F63213" w:rsidRDefault="00FE1C1F">
      <w:pPr>
        <w:pStyle w:val="ManualHeading1"/>
        <w:rPr>
          <w:noProof/>
        </w:rPr>
      </w:pPr>
      <w:bookmarkStart w:id="1" w:name="_Toc417571389"/>
      <w:bookmarkStart w:id="2" w:name="_Toc420413887"/>
      <w:r>
        <w:lastRenderedPageBreak/>
        <w:tab/>
      </w:r>
      <w:r>
        <w:rPr>
          <w:noProof/>
        </w:rPr>
        <w:t>Въведение</w:t>
      </w:r>
      <w:bookmarkEnd w:id="1"/>
      <w:bookmarkEnd w:id="2"/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Настоящият доклад разглежда изпълнението на програмата за здравеопазването през 2013 г. Това е последната година за изпълнение на втората Програма за здравеопазването, създадена с Решение 1350/2007/ЕО на Европейския парламент и на Съвета от 23 октомври 200</w:t>
      </w:r>
      <w:r>
        <w:rPr>
          <w:rFonts w:ascii="Times New Roman" w:hAnsi="Times New Roman"/>
          <w:noProof/>
          <w:sz w:val="24"/>
        </w:rPr>
        <w:t xml:space="preserve">7 г. Програмата е започнала на 1 януари 2008 г. и е приключила на 31 декември 2013 г. Съгласно член 13, параграф 1 от Решението за програмата Комисията представя на комитета годишни доклади за всички дейности и проекти, финансирани по линия на програмата, </w:t>
      </w:r>
      <w:r>
        <w:rPr>
          <w:rFonts w:ascii="Times New Roman" w:hAnsi="Times New Roman"/>
          <w:noProof/>
          <w:sz w:val="24"/>
        </w:rPr>
        <w:t>и информира Европейския парламент и Съвета. Настоящият доклад е изготвен в изпълнение на това изискване. Той предоставя подробна информация за бюджета за 2013 г. и неговото изпълнение. Придружаващият документ на службите на Комисията съдържа редица примери</w:t>
      </w:r>
      <w:r>
        <w:rPr>
          <w:rFonts w:ascii="Times New Roman" w:hAnsi="Times New Roman"/>
          <w:noProof/>
          <w:sz w:val="24"/>
        </w:rPr>
        <w:t xml:space="preserve"> за основните действия, които са били финансирани по линия на програмата, предимно в периода 2009—2013 г. и които са постигнали значителни резултати. В приложения 2—10 се намират обзорни таблици с всички финансирани действия и възложени договори. 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 общ бю</w:t>
      </w:r>
      <w:r>
        <w:rPr>
          <w:rFonts w:ascii="Times New Roman" w:hAnsi="Times New Roman"/>
          <w:noProof/>
          <w:sz w:val="24"/>
        </w:rPr>
        <w:t xml:space="preserve">джет в размер на 321 500 000 EUR програмата предостави широка гама от инструменти за финансиране, за да постигне целите си. Сред тях можем да посочим: действия, съфинансирани с органите на държавите членки („съвместни действия“), проекти, съфинансиране на </w:t>
      </w:r>
      <w:r>
        <w:rPr>
          <w:rFonts w:ascii="Times New Roman" w:hAnsi="Times New Roman"/>
          <w:noProof/>
          <w:sz w:val="24"/>
        </w:rPr>
        <w:t>конференции и безвъзмездни средства за оперативни разходи в конкретна подкрепа на неправителствени организации и мрежи, споразумения с международни организации за отпускане на преки безвъзмездни средства, обществени поръчки и други действия.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Втората Програ</w:t>
      </w:r>
      <w:r>
        <w:rPr>
          <w:rFonts w:ascii="Times New Roman" w:hAnsi="Times New Roman"/>
          <w:noProof/>
          <w:sz w:val="24"/>
        </w:rPr>
        <w:t>ма за здравеопазването беше основният инструмент за изпълнение на Здравната стратегия на ЕС</w:t>
      </w:r>
      <w:r>
        <w:rPr>
          <w:rStyle w:val="FootnoteReference"/>
          <w:noProof/>
        </w:rPr>
        <w:footnoteReference w:id="1"/>
      </w:r>
      <w:r>
        <w:rPr>
          <w:rFonts w:ascii="Times New Roman" w:hAnsi="Times New Roman"/>
          <w:noProof/>
          <w:sz w:val="24"/>
        </w:rPr>
        <w:t xml:space="preserve"> и допринесе за постигането на целите на ЕС 2020 за интелигентен и устойчив растеж. Основната обща цел на програмата беше да допълва, подкрепя и внася добавена стой</w:t>
      </w:r>
      <w:r>
        <w:rPr>
          <w:rFonts w:ascii="Times New Roman" w:hAnsi="Times New Roman"/>
          <w:noProof/>
          <w:sz w:val="24"/>
        </w:rPr>
        <w:t>ност към политиките на държавите членки, и да спомага за повишаване солидарността и благополучието в Европейския съюз чрез опазване и насърчаване на човешкото здраве и безопасност, и подобряване на общественото здраве. Тази обща цел беше разделена на три к</w:t>
      </w:r>
      <w:r>
        <w:rPr>
          <w:rFonts w:ascii="Times New Roman" w:hAnsi="Times New Roman"/>
          <w:noProof/>
          <w:sz w:val="24"/>
        </w:rPr>
        <w:t>онкретни цели:</w:t>
      </w:r>
    </w:p>
    <w:p w:rsidR="00F63213" w:rsidRDefault="00FE1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подобряване здравната сигурност на гражданите,</w:t>
      </w:r>
    </w:p>
    <w:p w:rsidR="00F63213" w:rsidRDefault="00FE1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насърчаване на здравето, включително намаляване на неравнопоставеността в здравеопазването,</w:t>
      </w:r>
    </w:p>
    <w:p w:rsidR="00F63213" w:rsidRDefault="00FE1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създаване и разпространяване на здравна информация и знания.</w:t>
      </w:r>
    </w:p>
    <w:p w:rsidR="00F63213" w:rsidRDefault="00F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</w:rPr>
      </w:pPr>
    </w:p>
    <w:p w:rsidR="00F63213" w:rsidRDefault="00FE1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Действия за постигането на трите </w:t>
      </w:r>
      <w:r>
        <w:rPr>
          <w:rFonts w:ascii="Times New Roman" w:hAnsi="Times New Roman"/>
          <w:b/>
          <w:noProof/>
          <w:sz w:val="24"/>
        </w:rPr>
        <w:t>основни цели</w:t>
      </w:r>
    </w:p>
    <w:p w:rsidR="00F63213" w:rsidRDefault="00F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</w:rPr>
      </w:pPr>
    </w:p>
    <w:p w:rsidR="00F63213" w:rsidRDefault="00FE1C1F">
      <w:pPr>
        <w:jc w:val="both"/>
        <w:rPr>
          <w:rFonts w:ascii="Times New Roman" w:eastAsia="Times New Roman" w:hAnsi="Times New Roman"/>
          <w:bCs/>
          <w:noProof/>
          <w:sz w:val="24"/>
        </w:rPr>
      </w:pPr>
      <w:r>
        <w:rPr>
          <w:rFonts w:ascii="Times New Roman" w:hAnsi="Times New Roman"/>
          <w:noProof/>
          <w:sz w:val="24"/>
        </w:rPr>
        <w:t>По всяка цел бяха съфинансирани разнообразни действия.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В областта на здравната сигурност появата на огнища на болести не е обвързана с държавните граници. Поради това е от съществено значение да се гарантира, че държавите и общностите в целия</w:t>
      </w:r>
      <w:r>
        <w:rPr>
          <w:rFonts w:ascii="Times New Roman" w:hAnsi="Times New Roman"/>
          <w:noProof/>
          <w:sz w:val="24"/>
        </w:rPr>
        <w:t xml:space="preserve"> ЕС са добре подготвени да се справят със заразните и </w:t>
      </w:r>
      <w:r>
        <w:rPr>
          <w:rFonts w:ascii="Times New Roman" w:hAnsi="Times New Roman"/>
          <w:noProof/>
          <w:sz w:val="24"/>
        </w:rPr>
        <w:lastRenderedPageBreak/>
        <w:t>незаразните болести. За това е допринесла и програмата. По отношение на втората цел, демографските промени и по-конкретно застаряването са основните предизвикателства на всяко европейско общество. По вр</w:t>
      </w:r>
      <w:r>
        <w:rPr>
          <w:rFonts w:ascii="Times New Roman" w:hAnsi="Times New Roman"/>
          <w:noProof/>
          <w:sz w:val="24"/>
        </w:rPr>
        <w:t>еме на срока на действие на програмата държавите членки и ЕС успяха да спомогнат за насърчаването на здравето и намаляването на неравнопоставеността в здравеопазването, включително подкрепа за увеличаването на продължителността на живота в добро здраве и д</w:t>
      </w:r>
      <w:r>
        <w:rPr>
          <w:rFonts w:ascii="Times New Roman" w:hAnsi="Times New Roman"/>
          <w:noProof/>
          <w:sz w:val="24"/>
        </w:rPr>
        <w:t>а насърчат остаряването в добро здраве. Например програмата е спомогнала:</w:t>
      </w:r>
    </w:p>
    <w:p w:rsidR="00F63213" w:rsidRDefault="00FE1C1F">
      <w:pPr>
        <w:numPr>
          <w:ilvl w:val="0"/>
          <w:numId w:val="28"/>
        </w:num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да се осигури по-добро разбиране на проблема със започването на пушене сред младите хора и по-конкретно жените, </w:t>
      </w:r>
    </w:p>
    <w:p w:rsidR="00F63213" w:rsidRDefault="00FE1C1F">
      <w:pPr>
        <w:numPr>
          <w:ilvl w:val="0"/>
          <w:numId w:val="28"/>
        </w:num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да се повиши осведомеността относно сърдечносъдовите заболявания и диабета, </w:t>
      </w:r>
    </w:p>
    <w:p w:rsidR="00F63213" w:rsidRDefault="00FE1C1F">
      <w:pPr>
        <w:numPr>
          <w:ilvl w:val="0"/>
          <w:numId w:val="28"/>
        </w:num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да се въведе скрининг за рак на маточната шийка и на дебелото черво и ректума,  </w:t>
      </w:r>
    </w:p>
    <w:p w:rsidR="00F63213" w:rsidRDefault="00FE1C1F">
      <w:pPr>
        <w:numPr>
          <w:ilvl w:val="0"/>
          <w:numId w:val="28"/>
        </w:num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да се създаде световен онлайн източник на информация за редките болести.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За постигането на третата</w:t>
      </w:r>
      <w:r>
        <w:rPr>
          <w:rFonts w:ascii="Times New Roman" w:hAnsi="Times New Roman"/>
          <w:noProof/>
          <w:sz w:val="24"/>
        </w:rPr>
        <w:t xml:space="preserve"> цел, програмата е спомогнала да се изградят взаимодействия и да се усъвършенства формулирането на политики въз основа на факти посредством изготвяне и предаване на здравна информация и знания в целия ЕС.  Проектите също така насочено са подпомагали иновац</w:t>
      </w:r>
      <w:r>
        <w:rPr>
          <w:rFonts w:ascii="Times New Roman" w:hAnsi="Times New Roman"/>
          <w:noProof/>
          <w:sz w:val="24"/>
        </w:rPr>
        <w:t>иите в здравеопазването, включително за повишаване на знанията как да се създадат електронни здравни досиета и за въвеждане на персонализирана медицина.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Освен това програмата е допринесла за подготовката, разработването и прилагането на действия по линия н</w:t>
      </w:r>
      <w:r>
        <w:rPr>
          <w:rFonts w:ascii="Times New Roman" w:hAnsi="Times New Roman"/>
          <w:noProof/>
          <w:sz w:val="24"/>
        </w:rPr>
        <w:t>а политиката на ЕС за здравеопазването. Бяха финансирани действия, ориентирани към прилагане на законодателството, например в областта на борбата с тютюнопушенето и субстанциите с човешки произход, неравнопоставеността в здравеопазването, в подкрепа на стр</w:t>
      </w:r>
      <w:r>
        <w:rPr>
          <w:rFonts w:ascii="Times New Roman" w:hAnsi="Times New Roman"/>
          <w:noProof/>
          <w:sz w:val="24"/>
        </w:rPr>
        <w:t>атегията на Комисията за „Солидарност в здравеопазването: намаляване на неравнопоставеността в здравеопазването в ЕС“, както и на трансгранични заплахи за здравето и правата на пациентите в трансграничното здравно обслужване.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Освен това в областта на здрав</w:t>
      </w:r>
      <w:r>
        <w:rPr>
          <w:rFonts w:ascii="Times New Roman" w:hAnsi="Times New Roman"/>
          <w:noProof/>
          <w:sz w:val="24"/>
        </w:rPr>
        <w:t>ните услуги за безопасността на пациентите в ЕС допринасят достъпът до висококачествено и безопасно здравно обслужване, съчетано с надеждни научни консултации и оценка на риска. Програмата подпомогна редица действия по тези теми, както и работата на научни</w:t>
      </w:r>
      <w:r>
        <w:rPr>
          <w:rFonts w:ascii="Times New Roman" w:hAnsi="Times New Roman"/>
          <w:noProof/>
          <w:sz w:val="24"/>
        </w:rPr>
        <w:t>те комитети.</w:t>
      </w:r>
    </w:p>
    <w:p w:rsidR="00F63213" w:rsidRDefault="00F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</w:rPr>
      </w:pPr>
    </w:p>
    <w:p w:rsidR="00F63213" w:rsidRDefault="00FE1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Съдействие и подкрепа на широк кръг участници в общественото здравеопазване</w:t>
      </w:r>
    </w:p>
    <w:p w:rsidR="00F63213" w:rsidRDefault="00F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</w:rPr>
      </w:pP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По време на шестте години дейност, от 2008 до 2013 г., програмата допринесе значително за подпомагането на действия по линия на политиката за здравеопазването на рав</w:t>
      </w:r>
      <w:r>
        <w:rPr>
          <w:rFonts w:ascii="Times New Roman" w:hAnsi="Times New Roman"/>
          <w:noProof/>
          <w:sz w:val="24"/>
        </w:rPr>
        <w:t xml:space="preserve">нището на ЕС и на държавите членки и помогна на държавите членки, заинтересованите лица и ЕС да изготвят ефикасни политики в полза на гражданите на </w:t>
      </w:r>
      <w:r>
        <w:rPr>
          <w:rFonts w:ascii="Times New Roman" w:hAnsi="Times New Roman"/>
          <w:noProof/>
          <w:sz w:val="24"/>
        </w:rPr>
        <w:lastRenderedPageBreak/>
        <w:t>ЕС. Много учени, експерти, научни работници, пациенти и организации на гражданското общество се срещаха по р</w:t>
      </w:r>
      <w:r>
        <w:rPr>
          <w:rFonts w:ascii="Times New Roman" w:hAnsi="Times New Roman"/>
          <w:noProof/>
          <w:sz w:val="24"/>
        </w:rPr>
        <w:t>азлични теми, за да обединят ресурсите и познанията си, за да стимулират иновациите и да създават добавена стойност за гражданите на ЕС.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 прилагане на новата гама от инструменти за финансиране работата по главните здравни приоритети на Комисията и на държ</w:t>
      </w:r>
      <w:r>
        <w:rPr>
          <w:rFonts w:ascii="Times New Roman" w:hAnsi="Times New Roman"/>
          <w:noProof/>
          <w:sz w:val="24"/>
        </w:rPr>
        <w:t>авите членки успя да напредне чрез съвместните действия. Бяха съфинансирани общо 30 съвместни действия на стойност над 60 млн. евро. Те обхващаха разнообразни теми: редки болести, оценка на здравните технологии и работна ръка в областта на здравеопазването</w:t>
      </w:r>
      <w:r>
        <w:rPr>
          <w:rFonts w:ascii="Times New Roman" w:hAnsi="Times New Roman"/>
          <w:noProof/>
          <w:sz w:val="24"/>
        </w:rPr>
        <w:t>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Чрез инструмента „Безвъзмездни средства за оперативни разходи“ бяха подпомогнати важни заинтересовани лица от гражданското общество. Тяхната дейност спомогна за популяризирането на програмата сред гражданите.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Съфинансирането на общоевропейски конференции</w:t>
      </w:r>
      <w:r>
        <w:rPr>
          <w:rFonts w:ascii="Times New Roman" w:hAnsi="Times New Roman"/>
          <w:noProof/>
          <w:sz w:val="24"/>
        </w:rPr>
        <w:t xml:space="preserve"> по линия на програмата даде възможност за обмен на европейско ниво и за допълнителна комуникация и разпространение.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Почти 150 общоевропейски проекта, финансово подпомогнати с над 100 млн. евро, позволиха на заетите в областта на общественото здраве в Евро</w:t>
      </w:r>
      <w:r>
        <w:rPr>
          <w:rFonts w:ascii="Times New Roman" w:hAnsi="Times New Roman"/>
          <w:noProof/>
          <w:sz w:val="24"/>
        </w:rPr>
        <w:t>па да изготвят, изпробват и приложат разнообразни средства, например наръчници, насоки и списъци, с които спомогнаха за постигането на целите на програмата.</w:t>
      </w:r>
    </w:p>
    <w:p w:rsidR="00F63213" w:rsidRDefault="00FE1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Перспективи</w:t>
      </w:r>
    </w:p>
    <w:p w:rsidR="00F63213" w:rsidRDefault="00F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</w:rPr>
      </w:pP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Подробната оценка на втората Програма за здравеопазване ще е готова по-късно през 2015</w:t>
      </w:r>
      <w:r>
        <w:rPr>
          <w:rFonts w:ascii="Times New Roman" w:hAnsi="Times New Roman"/>
          <w:noProof/>
          <w:sz w:val="24"/>
        </w:rPr>
        <w:t xml:space="preserve"> г., но настоящият доклад съдържа обзор на изпълнението ѝ през 2013 г. и се спира на редица действия, които приключиха през посочената година.</w:t>
      </w:r>
    </w:p>
    <w:p w:rsidR="00F63213" w:rsidRDefault="00FE1C1F">
      <w:pPr>
        <w:rPr>
          <w:noProof/>
        </w:rPr>
      </w:pPr>
      <w:r>
        <w:rPr>
          <w:noProof/>
        </w:rPr>
        <w:br w:type="page"/>
      </w:r>
    </w:p>
    <w:p w:rsidR="00F63213" w:rsidRDefault="00F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</w:rPr>
      </w:pPr>
    </w:p>
    <w:p w:rsidR="00F63213" w:rsidRDefault="00FE1C1F">
      <w:pPr>
        <w:pStyle w:val="TOCHeading"/>
        <w:rPr>
          <w:noProof/>
          <w:sz w:val="24"/>
        </w:rPr>
      </w:pPr>
      <w:r>
        <w:rPr>
          <w:noProof/>
          <w:sz w:val="24"/>
        </w:rPr>
        <w:t>Съдържание</w:t>
      </w:r>
      <w:r>
        <w:rPr>
          <w:noProof/>
          <w:sz w:val="24"/>
        </w:rPr>
        <w:br/>
      </w:r>
    </w:p>
    <w:p w:rsidR="00F63213" w:rsidRDefault="00FE1C1F">
      <w:pPr>
        <w:pStyle w:val="TOC1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20413887" w:history="1">
        <w:r>
          <w:rPr>
            <w:rStyle w:val="Hyperlink"/>
          </w:rPr>
          <w:t>Въведение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1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88" w:history="1">
        <w:r>
          <w:rPr>
            <w:rStyle w:val="Hyperlink"/>
          </w:rPr>
          <w:t>Изпълнение на бюджета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89" w:history="1">
        <w:r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sz w:val="22"/>
            <w:szCs w:val="22"/>
            <w:lang w:bidi="ar-SA"/>
          </w:rPr>
          <w:tab/>
        </w:r>
        <w:r>
          <w:rPr>
            <w:rStyle w:val="Hyperlink"/>
          </w:rPr>
          <w:t>Бюджет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90" w:history="1">
        <w:r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sz w:val="22"/>
            <w:szCs w:val="22"/>
            <w:lang w:bidi="ar-SA"/>
          </w:rPr>
          <w:tab/>
        </w:r>
        <w:r>
          <w:rPr>
            <w:rStyle w:val="Hyperlink"/>
          </w:rPr>
          <w:t xml:space="preserve">Приоритети за </w:t>
        </w:r>
        <w:r>
          <w:rPr>
            <w:rStyle w:val="Hyperlink"/>
          </w:rPr>
          <w:t>2013 г. и механизми за финансиране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91" w:history="1">
        <w:r>
          <w:rPr>
            <w:rStyle w:val="Hyperlink"/>
          </w:rPr>
          <w:t>1.3</w:t>
        </w:r>
        <w:r>
          <w:rPr>
            <w:rFonts w:asciiTheme="minorHAnsi" w:eastAsiaTheme="minorEastAsia" w:hAnsiTheme="minorHAnsi" w:cstheme="minorBidi"/>
            <w:sz w:val="22"/>
            <w:szCs w:val="22"/>
            <w:lang w:bidi="ar-SA"/>
          </w:rPr>
          <w:tab/>
        </w:r>
        <w:r>
          <w:rPr>
            <w:rStyle w:val="Hyperlink"/>
          </w:rPr>
          <w:t>Изпълнение на оперативния бюджет по механизми за финансиране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92" w:history="1">
        <w:r>
          <w:rPr>
            <w:rStyle w:val="Hyperlink"/>
          </w:rPr>
          <w:t>1.4</w:t>
        </w:r>
        <w:r>
          <w:rPr>
            <w:rFonts w:asciiTheme="minorHAnsi" w:eastAsiaTheme="minorEastAsia" w:hAnsiTheme="minorHAnsi" w:cstheme="minorBidi"/>
            <w:sz w:val="22"/>
            <w:szCs w:val="22"/>
            <w:lang w:bidi="ar-SA"/>
          </w:rPr>
          <w:tab/>
        </w:r>
        <w:r>
          <w:rPr>
            <w:rStyle w:val="Hyperlink"/>
          </w:rPr>
          <w:t>Покани за представяне на предложения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93" w:history="1">
        <w:r>
          <w:rPr>
            <w:rStyle w:val="Hyperlink"/>
          </w:rPr>
          <w:t>1.5</w:t>
        </w:r>
        <w:r>
          <w:rPr>
            <w:rFonts w:asciiTheme="minorHAnsi" w:eastAsiaTheme="minorEastAsia" w:hAnsiTheme="minorHAnsi" w:cstheme="minorBidi"/>
            <w:sz w:val="22"/>
            <w:szCs w:val="22"/>
            <w:lang w:bidi="ar-SA"/>
          </w:rPr>
          <w:tab/>
        </w:r>
        <w:r>
          <w:rPr>
            <w:rStyle w:val="Hyperlink"/>
          </w:rPr>
          <w:t>Споразумения с международни организации за отпускане на преки безвъзмездни средства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94" w:history="1">
        <w:r>
          <w:rPr>
            <w:rStyle w:val="Hyperlink"/>
          </w:rPr>
          <w:t>1.6</w:t>
        </w:r>
        <w:r>
          <w:rPr>
            <w:rFonts w:asciiTheme="minorHAnsi" w:eastAsiaTheme="minorEastAsia" w:hAnsiTheme="minorHAnsi" w:cstheme="minorBidi"/>
            <w:sz w:val="22"/>
            <w:szCs w:val="22"/>
            <w:lang w:bidi="ar-SA"/>
          </w:rPr>
          <w:tab/>
        </w:r>
        <w:r>
          <w:rPr>
            <w:rStyle w:val="Hyperlink"/>
          </w:rPr>
          <w:t>Обществени поръчки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95" w:history="1">
        <w:r>
          <w:rPr>
            <w:rStyle w:val="Hyperlink"/>
          </w:rPr>
          <w:t>1.7</w:t>
        </w:r>
        <w:r>
          <w:rPr>
            <w:rFonts w:asciiTheme="minorHAnsi" w:eastAsiaTheme="minorEastAsia" w:hAnsiTheme="minorHAnsi" w:cstheme="minorBidi"/>
            <w:sz w:val="22"/>
            <w:szCs w:val="22"/>
            <w:lang w:bidi="ar-SA"/>
          </w:rPr>
          <w:tab/>
        </w:r>
        <w:r>
          <w:rPr>
            <w:rStyle w:val="Hyperlink"/>
          </w:rPr>
          <w:t>Други действия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1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96" w:history="1">
        <w:r>
          <w:rPr>
            <w:rStyle w:val="Hyperlink"/>
          </w:rPr>
          <w:t>Изпълнение на оперативния бюджет по цели на програмата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97" w:history="1">
        <w:r>
          <w:rPr>
            <w:rStyle w:val="Hyperlink"/>
          </w:rPr>
          <w:t>1.8</w:t>
        </w:r>
        <w:r>
          <w:rPr>
            <w:rFonts w:asciiTheme="minorHAnsi" w:eastAsiaTheme="minorEastAsia" w:hAnsiTheme="minorHAnsi" w:cstheme="minorBidi"/>
            <w:sz w:val="22"/>
            <w:szCs w:val="22"/>
            <w:lang w:bidi="ar-SA"/>
          </w:rPr>
          <w:tab/>
        </w:r>
        <w:r>
          <w:rPr>
            <w:rStyle w:val="Hyperlink"/>
          </w:rPr>
          <w:t>Глобално усвояване на бюджета през 2013 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</w:instrText>
        </w:r>
        <w:r>
          <w:rPr>
            <w:webHidden/>
          </w:rPr>
          <w:instrText xml:space="preserve">GEREF _Toc420413897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98" w:history="1">
        <w:r>
          <w:rPr>
            <w:rStyle w:val="Hyperlink"/>
          </w:rPr>
          <w:t>1.9</w:t>
        </w:r>
        <w:r>
          <w:rPr>
            <w:rFonts w:asciiTheme="minorHAnsi" w:eastAsiaTheme="minorEastAsia" w:hAnsiTheme="minorHAnsi" w:cstheme="minorBidi"/>
            <w:sz w:val="22"/>
            <w:szCs w:val="22"/>
            <w:lang w:bidi="ar-SA"/>
          </w:rPr>
          <w:tab/>
        </w:r>
        <w:r>
          <w:rPr>
            <w:rStyle w:val="Hyperlink"/>
          </w:rPr>
          <w:t>Здравна сигурност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hyperlink w:anchor="_Toc420413899" w:history="1">
        <w:r>
          <w:rPr>
            <w:rStyle w:val="Hyperlink"/>
          </w:rPr>
          <w:t>1.10</w:t>
        </w:r>
        <w:r>
          <w:rPr>
            <w:rFonts w:asciiTheme="minorHAnsi" w:eastAsiaTheme="minorEastAsia" w:hAnsiTheme="minorHAnsi" w:cstheme="minorBidi"/>
            <w:sz w:val="22"/>
            <w:szCs w:val="22"/>
            <w:lang w:bidi="ar-SA"/>
          </w:rPr>
          <w:tab/>
        </w:r>
        <w:r>
          <w:rPr>
            <w:rStyle w:val="Hyperlink"/>
          </w:rPr>
          <w:t>Насър</w:t>
        </w:r>
        <w:bookmarkStart w:id="3" w:name="_GoBack"/>
        <w:bookmarkEnd w:id="3"/>
        <w:r>
          <w:rPr>
            <w:rStyle w:val="Hyperlink"/>
          </w:rPr>
          <w:t>чаване на здравето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63213" w:rsidRDefault="00FE1C1F">
      <w:pPr>
        <w:pStyle w:val="TOC2"/>
        <w:rPr>
          <w:rStyle w:val="Hyperlink"/>
          <w:lang w:val="en-GB"/>
        </w:rPr>
      </w:pPr>
      <w:hyperlink w:anchor="_Toc420413900" w:history="1">
        <w:r>
          <w:rPr>
            <w:rStyle w:val="Hyperlink"/>
          </w:rPr>
          <w:t>1.11</w:t>
        </w:r>
        <w:r>
          <w:rPr>
            <w:rFonts w:asciiTheme="minorHAnsi" w:eastAsiaTheme="minorEastAsia" w:hAnsiTheme="minorHAnsi" w:cstheme="minorBidi"/>
            <w:sz w:val="22"/>
            <w:szCs w:val="22"/>
            <w:lang w:bidi="ar-SA"/>
          </w:rPr>
          <w:tab/>
        </w:r>
        <w:r>
          <w:rPr>
            <w:rStyle w:val="Hyperlink"/>
          </w:rPr>
          <w:t>Здравна информация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_Toc420413900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951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F63213" w:rsidRDefault="00FE1C1F">
      <w:pPr>
        <w:rPr>
          <w:noProof/>
          <w:lang w:val="en-GB"/>
        </w:rPr>
      </w:pPr>
      <w:r>
        <w:rPr>
          <w:noProof/>
          <w:lang w:val="en-GB"/>
        </w:rPr>
        <w:br w:type="page"/>
      </w:r>
    </w:p>
    <w:p w:rsidR="00F63213" w:rsidRDefault="00FE1C1F">
      <w:pPr>
        <w:pStyle w:val="ManualHeading1"/>
        <w:rPr>
          <w:noProof/>
        </w:rPr>
      </w:pPr>
      <w:r>
        <w:rPr>
          <w:noProof/>
        </w:rPr>
        <w:lastRenderedPageBreak/>
        <w:tab/>
      </w:r>
      <w:r>
        <w:rPr>
          <w:noProof/>
        </w:rPr>
        <w:fldChar w:fldCharType="end"/>
      </w:r>
      <w:bookmarkStart w:id="4" w:name="_Toc420413888"/>
      <w:r>
        <w:rPr>
          <w:noProof/>
        </w:rPr>
        <w:t>Изпълнение на бюджета</w:t>
      </w:r>
      <w:bookmarkEnd w:id="4"/>
      <w:r>
        <w:rPr>
          <w:noProof/>
        </w:rPr>
        <w:t xml:space="preserve"> </w:t>
      </w:r>
    </w:p>
    <w:p w:rsidR="00F63213" w:rsidRDefault="00FE1C1F">
      <w:pPr>
        <w:pStyle w:val="ManualHeading2"/>
        <w:rPr>
          <w:noProof/>
        </w:rPr>
      </w:pPr>
      <w:bookmarkStart w:id="5" w:name="_Toc388355509"/>
      <w:bookmarkStart w:id="6" w:name="_Toc390420263"/>
      <w:bookmarkStart w:id="7" w:name="_Toc404756129"/>
      <w:bookmarkStart w:id="8" w:name="_Toc420413889"/>
      <w:r>
        <w:t>1.1</w:t>
      </w:r>
      <w:r>
        <w:tab/>
      </w:r>
      <w:r>
        <w:rPr>
          <w:noProof/>
        </w:rPr>
        <w:t>Бюдж</w:t>
      </w:r>
      <w:r>
        <w:rPr>
          <w:noProof/>
        </w:rPr>
        <w:t>ет</w:t>
      </w:r>
      <w:bookmarkEnd w:id="5"/>
      <w:bookmarkEnd w:id="6"/>
      <w:bookmarkEnd w:id="7"/>
      <w:bookmarkEnd w:id="8"/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Бюджетът на втората Програма за здравеопазване 2008—2013 г. възлизаше на 321,5 млн. EUR. Бюджетът, заложен в работния план за 2013 г.</w:t>
      </w:r>
      <w:r>
        <w:rPr>
          <w:rStyle w:val="FootnoteReference"/>
          <w:noProof/>
        </w:rPr>
        <w:footnoteReference w:id="2"/>
      </w:r>
      <w:r>
        <w:rPr>
          <w:rFonts w:ascii="Times New Roman" w:hAnsi="Times New Roman"/>
          <w:noProof/>
          <w:sz w:val="24"/>
        </w:rPr>
        <w:t>, беше  55 509 000 EUR, разпределени, както следва:</w:t>
      </w:r>
    </w:p>
    <w:p w:rsidR="00F63213" w:rsidRDefault="00FE1C1F">
      <w:pPr>
        <w:tabs>
          <w:tab w:val="num" w:pos="850"/>
        </w:tabs>
        <w:spacing w:before="120" w:after="120" w:line="240" w:lineRule="auto"/>
        <w:ind w:left="850" w:hanging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Оперативни разходи: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49 800 000 EUR, съответстващи на бюджетен ред 1</w:t>
      </w:r>
      <w:r>
        <w:rPr>
          <w:rFonts w:ascii="Times New Roman" w:hAnsi="Times New Roman"/>
          <w:noProof/>
          <w:sz w:val="24"/>
        </w:rPr>
        <w:t xml:space="preserve">7 03 06 — </w:t>
      </w:r>
      <w:r>
        <w:rPr>
          <w:rFonts w:ascii="Times New Roman" w:hAnsi="Times New Roman"/>
          <w:i/>
          <w:noProof/>
          <w:sz w:val="24"/>
        </w:rPr>
        <w:t>Действие на ЕС в областта на здравето</w:t>
      </w:r>
      <w:r>
        <w:rPr>
          <w:rFonts w:ascii="Times New Roman" w:hAnsi="Times New Roman"/>
          <w:noProof/>
          <w:sz w:val="24"/>
        </w:rPr>
        <w:t>;</w:t>
      </w:r>
    </w:p>
    <w:p w:rsidR="00F63213" w:rsidRDefault="00FE1C1F">
      <w:pPr>
        <w:tabs>
          <w:tab w:val="num" w:pos="850"/>
        </w:tabs>
        <w:spacing w:after="0" w:line="240" w:lineRule="auto"/>
        <w:ind w:left="850" w:hanging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 Административни разходи: 1 500 000 EUR, съответстващи на бюджетен ред 17 01 04 02 -</w:t>
      </w:r>
    </w:p>
    <w:p w:rsidR="00F63213" w:rsidRDefault="00FE1C1F">
      <w:pPr>
        <w:tabs>
          <w:tab w:val="num" w:pos="850"/>
        </w:tabs>
        <w:spacing w:after="0" w:line="240" w:lineRule="auto"/>
        <w:ind w:left="850" w:hanging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Разходи за административно управление</w:t>
      </w:r>
      <w:r>
        <w:rPr>
          <w:rFonts w:ascii="Times New Roman" w:hAnsi="Times New Roman"/>
          <w:noProof/>
          <w:sz w:val="24"/>
        </w:rPr>
        <w:t>.</w:t>
      </w:r>
    </w:p>
    <w:p w:rsidR="00F63213" w:rsidRDefault="00F63213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Общият оперативен бюджет беше 51 924 359 EUR, а общият административен бюджет — 1 </w:t>
      </w:r>
      <w:r>
        <w:rPr>
          <w:rFonts w:ascii="Times New Roman" w:hAnsi="Times New Roman"/>
          <w:noProof/>
          <w:sz w:val="24"/>
        </w:rPr>
        <w:t>542 363 EUR. Включени са бюджетните кредитите от ЕИП/ЕАСТ и Хърватия, както и кредитите за възстановяване от предходни бюджетни години.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От 2005 г. насам Изпълнителната агенция за здравеопазване и въпроси, свързани с потребителите (EAHC) предоставя на Комис</w:t>
      </w:r>
      <w:r>
        <w:rPr>
          <w:rFonts w:ascii="Times New Roman" w:hAnsi="Times New Roman"/>
          <w:noProof/>
          <w:sz w:val="24"/>
        </w:rPr>
        <w:t>ията техническа, научна и административна помощ при изпълнението на Програмата за здравеопазването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EAHC организира ежегодни покани за представяне на предложения, координира оценяването на кандидатурите и договаря, подписва и управлява свързаните с тях сп</w:t>
      </w:r>
      <w:r>
        <w:rPr>
          <w:rFonts w:ascii="Times New Roman" w:hAnsi="Times New Roman"/>
          <w:noProof/>
          <w:sz w:val="24"/>
        </w:rPr>
        <w:t>оразумения за отпускане на безвъзмездни средства. Тя отговаря и за много обществени поръчки. През 2013 г. ЕАНС е управлявала 42 279 481,64 EUR, а Комисията — останалата сума в размер на 9 299 988,99 EUR, която покриваше обществени поръчки и други действия.</w:t>
      </w:r>
    </w:p>
    <w:p w:rsidR="00F63213" w:rsidRDefault="00FE1C1F">
      <w:pPr>
        <w:pStyle w:val="ManualHeading2"/>
        <w:rPr>
          <w:noProof/>
        </w:rPr>
      </w:pPr>
      <w:bookmarkStart w:id="9" w:name="_Toc388355510"/>
      <w:bookmarkStart w:id="10" w:name="_Toc390420264"/>
      <w:bookmarkStart w:id="11" w:name="_Toc404756130"/>
      <w:bookmarkStart w:id="12" w:name="_Toc420413890"/>
      <w:r>
        <w:t>1.2</w:t>
      </w:r>
      <w:r>
        <w:tab/>
      </w:r>
      <w:r>
        <w:rPr>
          <w:noProof/>
        </w:rPr>
        <w:t>Приоритети за 2013 г. и механизми за финансиране</w:t>
      </w:r>
      <w:bookmarkEnd w:id="9"/>
      <w:bookmarkEnd w:id="10"/>
      <w:bookmarkEnd w:id="11"/>
      <w:bookmarkEnd w:id="12"/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Приоритетите за 2013 г. са установени в Решение за изпълнение 2012/C 378/07 на Комисията от 28 ноември 2012 г. за приемането на плана за работа за 2013 г. и свързаните с него критерии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За изпълнението</w:t>
      </w:r>
      <w:r>
        <w:rPr>
          <w:rFonts w:ascii="Times New Roman" w:hAnsi="Times New Roman"/>
          <w:noProof/>
          <w:sz w:val="24"/>
        </w:rPr>
        <w:t xml:space="preserve"> на работния план за 2013 г. бяха използвани следните механизми за финансиране: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u w:val="single"/>
        </w:rPr>
        <w:t>Безвъзмездни средства по проекти</w:t>
      </w:r>
      <w:r>
        <w:rPr>
          <w:rFonts w:ascii="Times New Roman" w:hAnsi="Times New Roman"/>
          <w:noProof/>
          <w:sz w:val="24"/>
        </w:rPr>
        <w:t xml:space="preserve"> бяха отпуснати на проекти с участието на няколко партньори, обикновено органи на общественото здравеопазване и неправителствени организации (НП</w:t>
      </w:r>
      <w:r>
        <w:rPr>
          <w:rFonts w:ascii="Times New Roman" w:hAnsi="Times New Roman"/>
          <w:noProof/>
          <w:sz w:val="24"/>
        </w:rPr>
        <w:t xml:space="preserve">О). Максималното участие на ЕС е 60 % от допустимите разходи. </w:t>
      </w:r>
      <w:r>
        <w:rPr>
          <w:rFonts w:ascii="Times New Roman" w:hAnsi="Times New Roman"/>
          <w:noProof/>
          <w:sz w:val="24"/>
        </w:rPr>
        <w:lastRenderedPageBreak/>
        <w:t>Участието на ЕС обаче може да достигне 80 %, ако предложението отговаря на критериите за особена полза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noProof/>
        </w:rPr>
        <w:t>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u w:val="single"/>
        </w:rPr>
        <w:t>Безвъзмездните средства за оперативни разходи</w:t>
      </w:r>
      <w:r>
        <w:rPr>
          <w:rFonts w:ascii="Times New Roman" w:hAnsi="Times New Roman"/>
          <w:noProof/>
          <w:sz w:val="24"/>
        </w:rPr>
        <w:t xml:space="preserve"> бяха отпуснати на юридически лица с нестопа</w:t>
      </w:r>
      <w:r>
        <w:rPr>
          <w:rFonts w:ascii="Times New Roman" w:hAnsi="Times New Roman"/>
          <w:noProof/>
          <w:sz w:val="24"/>
        </w:rPr>
        <w:t>нска цел или специализирани мрежи, работещи в области, съответстващи на трите направления на програмата (съответстващи на трите цели): насърчаване на здравето, опасности за здравето и здравна информация. Тези органи трябва да бъдат неправителствени, с нест</w:t>
      </w:r>
      <w:r>
        <w:rPr>
          <w:rFonts w:ascii="Times New Roman" w:hAnsi="Times New Roman"/>
          <w:noProof/>
          <w:sz w:val="24"/>
        </w:rPr>
        <w:t>опанска цел и независими от промишлеността или без други конфликти на интереси, както и да имат за свои основни цели една или повече от целите на програмата. Максималното участие на ЕС е 60 % от годишните им оперативни разходи. Участието на ЕС обаче може д</w:t>
      </w:r>
      <w:r>
        <w:rPr>
          <w:rFonts w:ascii="Times New Roman" w:hAnsi="Times New Roman"/>
          <w:noProof/>
          <w:sz w:val="24"/>
        </w:rPr>
        <w:t>а достигне 80 %, ако предложението отговаря на критериите за особена полза</w:t>
      </w:r>
      <w:r>
        <w:rPr>
          <w:rStyle w:val="FootnoteReference"/>
          <w:rFonts w:ascii="Times New Roman" w:hAnsi="Times New Roman"/>
          <w:noProof/>
          <w:sz w:val="24"/>
        </w:rPr>
        <w:footnoteReference w:id="6"/>
      </w:r>
      <w:r>
        <w:rPr>
          <w:noProof/>
        </w:rPr>
        <w:t>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u w:val="single"/>
        </w:rPr>
        <w:t>Безвъзмездни средства за съвместни действия</w:t>
      </w:r>
      <w:r>
        <w:rPr>
          <w:rFonts w:ascii="Times New Roman" w:hAnsi="Times New Roman"/>
          <w:noProof/>
          <w:sz w:val="24"/>
        </w:rPr>
        <w:t xml:space="preserve"> бяха отпуснати на органи на държавите членки или определени от тях други органи. Максималното участие на ЕС е 50 %.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Участието на ЕС оба</w:t>
      </w:r>
      <w:r>
        <w:rPr>
          <w:rFonts w:ascii="Times New Roman" w:hAnsi="Times New Roman"/>
          <w:noProof/>
          <w:sz w:val="24"/>
        </w:rPr>
        <w:t>че може да достигне 70 %, ако предложението отговаря на критериите за особена полза</w:t>
      </w:r>
      <w:r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Беше отпуснато съфинансиране за особена полза в размер на 70 % на съвместното действие „Подпомагане на сътрудничеството между държавите членки за ефективна работа на сист</w:t>
      </w:r>
      <w:r>
        <w:rPr>
          <w:rFonts w:ascii="Times New Roman" w:hAnsi="Times New Roman"/>
          <w:noProof/>
          <w:sz w:val="24"/>
        </w:rPr>
        <w:t>емата за фармакологична бдителност в ЕС“ поради приноса му за ефективното прилагане на законодателството на ЕС в тази област.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u w:val="single"/>
        </w:rPr>
        <w:t>Безвъзмездни средства за конференции</w:t>
      </w:r>
      <w:r>
        <w:rPr>
          <w:rFonts w:ascii="Times New Roman" w:hAnsi="Times New Roman"/>
          <w:noProof/>
          <w:sz w:val="24"/>
        </w:rPr>
        <w:t xml:space="preserve"> бяха отпуснати за провеждане на конференции по въпроси на общественото здравеопазване, органи</w:t>
      </w:r>
      <w:r>
        <w:rPr>
          <w:rFonts w:ascii="Times New Roman" w:hAnsi="Times New Roman"/>
          <w:noProof/>
          <w:sz w:val="24"/>
        </w:rPr>
        <w:t>зирани от публични органи или организации с нестопанска цел и от председателствата на Съвета на ЕС. Максималното участие на ЕС е 50 % от допустимите разходи, а максималната сума е 100 000 EUR.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u w:val="single"/>
        </w:rPr>
        <w:t>Споразумения с международни организации за отпускане на преки б</w:t>
      </w:r>
      <w:r>
        <w:rPr>
          <w:rFonts w:ascii="Times New Roman" w:hAnsi="Times New Roman"/>
          <w:noProof/>
          <w:sz w:val="24"/>
          <w:u w:val="single"/>
        </w:rPr>
        <w:t>езвъзмездни средства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бяха предоставени на международни организации, действащи в областта на общественото здравеопазване. Максималното участие на ЕС е 60 %.</w:t>
      </w:r>
    </w:p>
    <w:p w:rsidR="00F63213" w:rsidRDefault="00FE1C1F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u w:val="single"/>
        </w:rPr>
        <w:t>Обществени поръчки (договори за услуги)</w:t>
      </w:r>
      <w:r>
        <w:rPr>
          <w:rFonts w:ascii="Times New Roman" w:hAnsi="Times New Roman"/>
          <w:noProof/>
          <w:sz w:val="24"/>
        </w:rPr>
        <w:t xml:space="preserve"> бяха използвани за закупуване на услуги като научни изследва</w:t>
      </w:r>
      <w:r>
        <w:rPr>
          <w:rFonts w:ascii="Times New Roman" w:hAnsi="Times New Roman"/>
          <w:noProof/>
          <w:sz w:val="24"/>
        </w:rPr>
        <w:t>ния, оценки, проучвания, доставка на данни и ИТ приложения. Програмата покрива изцяло разходите за обществените поръчки.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При подбора на действия за финансиране бяха използвани конкурсни процедури за подбор и възлагане. Конкурсни процедури за подбор и възла</w:t>
      </w:r>
      <w:r>
        <w:rPr>
          <w:rFonts w:ascii="Times New Roman" w:hAnsi="Times New Roman"/>
          <w:noProof/>
          <w:sz w:val="24"/>
        </w:rPr>
        <w:t>гане не се използват при споразумения за отпускане на преки безвъзмездни средства, нито при конференции, организирани от председателствата на Съвета, тъй като в тези случаи конкурсните процедури или не са разрешени съгласно конкретните правила, или не се и</w:t>
      </w:r>
      <w:r>
        <w:rPr>
          <w:rFonts w:ascii="Times New Roman" w:hAnsi="Times New Roman"/>
          <w:noProof/>
          <w:sz w:val="24"/>
        </w:rPr>
        <w:t>зползват на практика.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Бюджетните кредити за административни дейности  покриваха разходи като проучвания, заседания на експерти, разходи за информация и публикации, както и техническа и административна помощ за ИТ системите.</w:t>
      </w:r>
    </w:p>
    <w:p w:rsidR="00F63213" w:rsidRDefault="00FE1C1F">
      <w:pPr>
        <w:pStyle w:val="ManualHeading2"/>
        <w:rPr>
          <w:noProof/>
        </w:rPr>
      </w:pPr>
      <w:r>
        <w:rPr>
          <w:noProof/>
        </w:rPr>
        <w:br w:type="page"/>
      </w:r>
      <w:bookmarkStart w:id="13" w:name="_Toc388355511"/>
      <w:bookmarkStart w:id="14" w:name="_Toc390420265"/>
      <w:bookmarkStart w:id="15" w:name="_Toc404756131"/>
      <w:bookmarkStart w:id="16" w:name="_Toc420413891"/>
      <w:r>
        <w:lastRenderedPageBreak/>
        <w:t>1.3</w:t>
      </w:r>
      <w:r>
        <w:tab/>
      </w:r>
      <w:r>
        <w:rPr>
          <w:noProof/>
        </w:rPr>
        <w:t>Изпълнение на оперативния б</w:t>
      </w:r>
      <w:r>
        <w:rPr>
          <w:noProof/>
        </w:rPr>
        <w:t>юджет по механизми за финансиране</w:t>
      </w:r>
      <w:bookmarkEnd w:id="13"/>
      <w:bookmarkEnd w:id="14"/>
      <w:bookmarkEnd w:id="15"/>
      <w:bookmarkEnd w:id="16"/>
    </w:p>
    <w:p w:rsidR="00F63213" w:rsidRDefault="00F63213">
      <w:pPr>
        <w:pStyle w:val="Text1"/>
        <w:ind w:left="0"/>
        <w:rPr>
          <w:i/>
          <w:noProof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2551"/>
        <w:gridCol w:w="1985"/>
      </w:tblGrid>
      <w:tr w:rsidR="00F63213">
        <w:trPr>
          <w:trHeight w:val="1020"/>
        </w:trPr>
        <w:tc>
          <w:tcPr>
            <w:tcW w:w="4361" w:type="dxa"/>
            <w:noWrap/>
          </w:tcPr>
          <w:p w:rsidR="00F63213" w:rsidRDefault="00FE1C1F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Вид механизъм за финансиране</w:t>
            </w:r>
          </w:p>
        </w:tc>
        <w:tc>
          <w:tcPr>
            <w:tcW w:w="2551" w:type="dxa"/>
            <w:noWrap/>
          </w:tcPr>
          <w:p w:rsidR="00F63213" w:rsidRDefault="00FE1C1F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Изпълнение в евро</w:t>
            </w:r>
          </w:p>
        </w:tc>
        <w:tc>
          <w:tcPr>
            <w:tcW w:w="1985" w:type="dxa"/>
            <w:noWrap/>
          </w:tcPr>
          <w:p w:rsidR="00F63213" w:rsidRDefault="00FE1C1F">
            <w:pPr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Дял на механизма в общия изпълнен бюджет </w:t>
            </w:r>
          </w:p>
        </w:tc>
      </w:tr>
      <w:tr w:rsidR="00F63213">
        <w:trPr>
          <w:trHeight w:val="340"/>
        </w:trPr>
        <w:tc>
          <w:tcPr>
            <w:tcW w:w="4361" w:type="dxa"/>
            <w:noWrap/>
          </w:tcPr>
          <w:p w:rsidR="00F63213" w:rsidRDefault="00FE1C1F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Покани за представяне на предложения</w:t>
            </w:r>
          </w:p>
        </w:tc>
        <w:tc>
          <w:tcPr>
            <w:tcW w:w="2551" w:type="dxa"/>
            <w:noWrap/>
          </w:tcPr>
          <w:p w:rsidR="00F63213" w:rsidRDefault="00FE1C1F">
            <w:pPr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34 672 104,60</w:t>
            </w:r>
          </w:p>
        </w:tc>
        <w:tc>
          <w:tcPr>
            <w:tcW w:w="1985" w:type="dxa"/>
            <w:shd w:val="clear" w:color="auto" w:fill="auto"/>
            <w:noWrap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68 %</w:t>
            </w:r>
          </w:p>
        </w:tc>
      </w:tr>
      <w:tr w:rsidR="00F63213">
        <w:trPr>
          <w:trHeight w:val="340"/>
        </w:trPr>
        <w:tc>
          <w:tcPr>
            <w:tcW w:w="4361" w:type="dxa"/>
            <w:noWrap/>
          </w:tcPr>
          <w:p w:rsidR="00F63213" w:rsidRDefault="00FE1C1F">
            <w:pPr>
              <w:jc w:val="both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Безвъзмездни средства за изпълнение на проекти</w:t>
            </w:r>
          </w:p>
        </w:tc>
        <w:tc>
          <w:tcPr>
            <w:tcW w:w="2551" w:type="dxa"/>
            <w:noWrap/>
          </w:tcPr>
          <w:p w:rsidR="00F63213" w:rsidRDefault="00FE1C1F">
            <w:pPr>
              <w:jc w:val="right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14 633 503,00</w:t>
            </w:r>
          </w:p>
        </w:tc>
        <w:tc>
          <w:tcPr>
            <w:tcW w:w="1985" w:type="dxa"/>
            <w:shd w:val="clear" w:color="auto" w:fill="auto"/>
            <w:noWrap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28 %</w:t>
            </w:r>
          </w:p>
        </w:tc>
      </w:tr>
      <w:tr w:rsidR="00F63213">
        <w:trPr>
          <w:trHeight w:val="340"/>
        </w:trPr>
        <w:tc>
          <w:tcPr>
            <w:tcW w:w="4361" w:type="dxa"/>
            <w:noWrap/>
            <w:vAlign w:val="bottom"/>
          </w:tcPr>
          <w:p w:rsidR="00F63213" w:rsidRDefault="00FE1C1F">
            <w:pPr>
              <w:jc w:val="both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Безвъзмездни средства за организиране на конференции</w:t>
            </w:r>
          </w:p>
        </w:tc>
        <w:tc>
          <w:tcPr>
            <w:tcW w:w="2551" w:type="dxa"/>
            <w:noWrap/>
            <w:vAlign w:val="bottom"/>
          </w:tcPr>
          <w:p w:rsidR="00F63213" w:rsidRDefault="00FE1C1F">
            <w:pPr>
              <w:jc w:val="right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1 125 467,60 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2 %</w:t>
            </w:r>
          </w:p>
        </w:tc>
      </w:tr>
      <w:tr w:rsidR="00F63213">
        <w:trPr>
          <w:trHeight w:val="340"/>
        </w:trPr>
        <w:tc>
          <w:tcPr>
            <w:tcW w:w="4361" w:type="dxa"/>
            <w:noWrap/>
            <w:vAlign w:val="bottom"/>
          </w:tcPr>
          <w:p w:rsidR="00F63213" w:rsidRDefault="00FE1C1F">
            <w:pPr>
              <w:jc w:val="right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Управлявани от Изпълнителната агенция за здравеопазване и въпроси, свързани с потребителите (EAHC)</w:t>
            </w:r>
          </w:p>
        </w:tc>
        <w:tc>
          <w:tcPr>
            <w:tcW w:w="2551" w:type="dxa"/>
            <w:noWrap/>
            <w:vAlign w:val="bottom"/>
          </w:tcPr>
          <w:p w:rsidR="00F63213" w:rsidRDefault="00FE1C1F">
            <w:pPr>
              <w:jc w:val="right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1 025 467,60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</w:t>
            </w:r>
          </w:p>
        </w:tc>
      </w:tr>
      <w:tr w:rsidR="00F63213">
        <w:trPr>
          <w:trHeight w:val="340"/>
        </w:trPr>
        <w:tc>
          <w:tcPr>
            <w:tcW w:w="4361" w:type="dxa"/>
            <w:noWrap/>
            <w:vAlign w:val="bottom"/>
          </w:tcPr>
          <w:p w:rsidR="00F63213" w:rsidRDefault="00FE1C1F">
            <w:pPr>
              <w:jc w:val="right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Управлявани от ГД „Здравеопазване и потребители“</w:t>
            </w:r>
          </w:p>
        </w:tc>
        <w:tc>
          <w:tcPr>
            <w:tcW w:w="2551" w:type="dxa"/>
            <w:noWrap/>
            <w:vAlign w:val="bottom"/>
          </w:tcPr>
          <w:p w:rsidR="00F63213" w:rsidRDefault="00FE1C1F">
            <w:pPr>
              <w:jc w:val="right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</w:t>
            </w:r>
          </w:p>
        </w:tc>
      </w:tr>
      <w:tr w:rsidR="00F63213">
        <w:trPr>
          <w:trHeight w:val="340"/>
        </w:trPr>
        <w:tc>
          <w:tcPr>
            <w:tcW w:w="4361" w:type="dxa"/>
            <w:noWrap/>
          </w:tcPr>
          <w:p w:rsidR="00F63213" w:rsidRDefault="00FE1C1F">
            <w:pPr>
              <w:jc w:val="both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Безвъзмездни средства за оперативни разходи</w:t>
            </w:r>
          </w:p>
        </w:tc>
        <w:tc>
          <w:tcPr>
            <w:tcW w:w="2551" w:type="dxa"/>
            <w:noWrap/>
          </w:tcPr>
          <w:p w:rsidR="00F63213" w:rsidRDefault="00FE1C1F">
            <w:pPr>
              <w:jc w:val="right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5 474 491,00</w:t>
            </w:r>
          </w:p>
        </w:tc>
        <w:tc>
          <w:tcPr>
            <w:tcW w:w="1985" w:type="dxa"/>
            <w:shd w:val="clear" w:color="auto" w:fill="auto"/>
            <w:noWrap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11 %</w:t>
            </w:r>
          </w:p>
        </w:tc>
      </w:tr>
      <w:tr w:rsidR="00F63213">
        <w:trPr>
          <w:trHeight w:val="699"/>
        </w:trPr>
        <w:tc>
          <w:tcPr>
            <w:tcW w:w="4361" w:type="dxa"/>
            <w:noWrap/>
          </w:tcPr>
          <w:p w:rsidR="00F63213" w:rsidRDefault="00FE1C1F">
            <w:pPr>
              <w:jc w:val="both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Безвъзмездни средства за съвместни действия</w:t>
            </w:r>
          </w:p>
        </w:tc>
        <w:tc>
          <w:tcPr>
            <w:tcW w:w="2551" w:type="dxa"/>
            <w:noWrap/>
          </w:tcPr>
          <w:p w:rsidR="00F63213" w:rsidRDefault="00FE1C1F">
            <w:pPr>
              <w:jc w:val="right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13 438 643,00</w:t>
            </w:r>
          </w:p>
        </w:tc>
        <w:tc>
          <w:tcPr>
            <w:tcW w:w="1985" w:type="dxa"/>
            <w:shd w:val="clear" w:color="auto" w:fill="auto"/>
            <w:noWrap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26 %</w:t>
            </w:r>
          </w:p>
        </w:tc>
      </w:tr>
      <w:tr w:rsidR="00F63213">
        <w:trPr>
          <w:trHeight w:val="340"/>
        </w:trPr>
        <w:tc>
          <w:tcPr>
            <w:tcW w:w="4361" w:type="dxa"/>
            <w:noWrap/>
          </w:tcPr>
          <w:p w:rsidR="00F63213" w:rsidRDefault="00FE1C1F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Споразумения за отпускане на преки безвъзмездни средства</w:t>
            </w:r>
          </w:p>
        </w:tc>
        <w:tc>
          <w:tcPr>
            <w:tcW w:w="2551" w:type="dxa"/>
            <w:noWrap/>
          </w:tcPr>
          <w:p w:rsidR="00F63213" w:rsidRDefault="00FE1C1F">
            <w:pPr>
              <w:jc w:val="right"/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1 100 000,00</w:t>
            </w:r>
          </w:p>
        </w:tc>
        <w:tc>
          <w:tcPr>
            <w:tcW w:w="1985" w:type="dxa"/>
            <w:shd w:val="clear" w:color="auto" w:fill="auto"/>
            <w:noWrap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2 %</w:t>
            </w:r>
          </w:p>
        </w:tc>
      </w:tr>
      <w:tr w:rsidR="00F63213">
        <w:trPr>
          <w:trHeight w:val="631"/>
        </w:trPr>
        <w:tc>
          <w:tcPr>
            <w:tcW w:w="4361" w:type="dxa"/>
            <w:noWrap/>
            <w:vAlign w:val="bottom"/>
          </w:tcPr>
          <w:p w:rsidR="00F63213" w:rsidRDefault="00FE1C1F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Обществени поръчки (договори за услуги)</w:t>
            </w:r>
          </w:p>
        </w:tc>
        <w:tc>
          <w:tcPr>
            <w:tcW w:w="2551" w:type="dxa"/>
            <w:noWrap/>
            <w:vAlign w:val="bottom"/>
          </w:tcPr>
          <w:p w:rsidR="00F63213" w:rsidRDefault="00FE1C1F">
            <w:pPr>
              <w:jc w:val="right"/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11 485 709,46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22 %</w:t>
            </w:r>
          </w:p>
        </w:tc>
      </w:tr>
      <w:tr w:rsidR="00F63213">
        <w:trPr>
          <w:trHeight w:val="340"/>
        </w:trPr>
        <w:tc>
          <w:tcPr>
            <w:tcW w:w="4361" w:type="dxa"/>
            <w:shd w:val="clear" w:color="auto" w:fill="FFFFFF"/>
            <w:noWrap/>
            <w:vAlign w:val="bottom"/>
          </w:tcPr>
          <w:p w:rsidR="00F63213" w:rsidRDefault="00FE1C1F">
            <w:pPr>
              <w:jc w:val="right"/>
              <w:rPr>
                <w:rFonts w:ascii="Times New Roman" w:hAnsi="Times New Roman"/>
                <w:b/>
                <w:bCs/>
                <w:i/>
                <w:noProof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Управлявани от Изпълнителната агенция за здравеопазване и въпроси, свързани с потребителите (EAHC)</w:t>
            </w:r>
          </w:p>
        </w:tc>
        <w:tc>
          <w:tcPr>
            <w:tcW w:w="2551" w:type="dxa"/>
            <w:shd w:val="clear" w:color="auto" w:fill="FFFFFF"/>
            <w:noWrap/>
            <w:vAlign w:val="bottom"/>
          </w:tcPr>
          <w:p w:rsidR="00F63213" w:rsidRDefault="00FE1C1F">
            <w:pPr>
              <w:jc w:val="right"/>
              <w:rPr>
                <w:rFonts w:ascii="Times New Roman" w:hAnsi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6 107 377,04</w:t>
            </w: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12 %</w:t>
            </w:r>
          </w:p>
        </w:tc>
      </w:tr>
      <w:tr w:rsidR="00F63213">
        <w:trPr>
          <w:trHeight w:val="340"/>
        </w:trPr>
        <w:tc>
          <w:tcPr>
            <w:tcW w:w="4361" w:type="dxa"/>
            <w:shd w:val="clear" w:color="auto" w:fill="FFFFFF"/>
            <w:noWrap/>
            <w:vAlign w:val="bottom"/>
          </w:tcPr>
          <w:p w:rsidR="00F63213" w:rsidRDefault="00FE1C1F">
            <w:pPr>
              <w:jc w:val="right"/>
              <w:rPr>
                <w:rFonts w:ascii="Times New Roman" w:hAnsi="Times New Roman"/>
                <w:b/>
                <w:bCs/>
                <w:i/>
                <w:noProof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Управлявани от ГД „Здравеопазване и потребители“</w:t>
            </w:r>
          </w:p>
        </w:tc>
        <w:tc>
          <w:tcPr>
            <w:tcW w:w="2551" w:type="dxa"/>
            <w:shd w:val="clear" w:color="auto" w:fill="FFFFFF"/>
            <w:noWrap/>
            <w:vAlign w:val="bottom"/>
          </w:tcPr>
          <w:p w:rsidR="00F63213" w:rsidRDefault="00FE1C1F">
            <w:pPr>
              <w:jc w:val="right"/>
              <w:rPr>
                <w:rFonts w:ascii="Times New Roman" w:hAnsi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5 378 332,42</w:t>
            </w: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10 %</w:t>
            </w:r>
          </w:p>
        </w:tc>
      </w:tr>
      <w:tr w:rsidR="00F63213">
        <w:trPr>
          <w:trHeight w:val="516"/>
        </w:trPr>
        <w:tc>
          <w:tcPr>
            <w:tcW w:w="4361" w:type="dxa"/>
            <w:shd w:val="clear" w:color="auto" w:fill="auto"/>
            <w:noWrap/>
          </w:tcPr>
          <w:p w:rsidR="00F63213" w:rsidRDefault="00FE1C1F">
            <w:pPr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Други действия </w:t>
            </w:r>
          </w:p>
        </w:tc>
        <w:tc>
          <w:tcPr>
            <w:tcW w:w="2551" w:type="dxa"/>
            <w:shd w:val="clear" w:color="auto" w:fill="auto"/>
            <w:noWrap/>
          </w:tcPr>
          <w:p w:rsidR="00F63213" w:rsidRDefault="00FE1C1F">
            <w:pPr>
              <w:jc w:val="right"/>
              <w:rPr>
                <w:rFonts w:ascii="Times New Roman" w:hAnsi="Times New Roman"/>
                <w:b/>
                <w:noProof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4 321 656,57</w:t>
            </w:r>
          </w:p>
        </w:tc>
        <w:tc>
          <w:tcPr>
            <w:tcW w:w="1985" w:type="dxa"/>
            <w:shd w:val="clear" w:color="auto" w:fill="auto"/>
            <w:noWrap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8 %</w:t>
            </w:r>
          </w:p>
        </w:tc>
      </w:tr>
      <w:tr w:rsidR="00F63213">
        <w:trPr>
          <w:trHeight w:val="340"/>
        </w:trPr>
        <w:tc>
          <w:tcPr>
            <w:tcW w:w="4361" w:type="dxa"/>
            <w:shd w:val="clear" w:color="auto" w:fill="auto"/>
            <w:noWrap/>
          </w:tcPr>
          <w:p w:rsidR="00F63213" w:rsidRDefault="00FE1C1F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Изпълнен бюджет за 2013 г.</w:t>
            </w:r>
          </w:p>
        </w:tc>
        <w:tc>
          <w:tcPr>
            <w:tcW w:w="2551" w:type="dxa"/>
            <w:shd w:val="clear" w:color="auto" w:fill="auto"/>
            <w:noWrap/>
          </w:tcPr>
          <w:p w:rsidR="00F63213" w:rsidRDefault="00FE1C1F">
            <w:pPr>
              <w:jc w:val="right"/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51 579 470,63 </w:t>
            </w:r>
          </w:p>
        </w:tc>
        <w:tc>
          <w:tcPr>
            <w:tcW w:w="1985" w:type="dxa"/>
            <w:shd w:val="clear" w:color="auto" w:fill="auto"/>
            <w:noWrap/>
          </w:tcPr>
          <w:p w:rsidR="00F63213" w:rsidRDefault="00FE1C1F">
            <w:pPr>
              <w:tabs>
                <w:tab w:val="decimal" w:pos="792"/>
              </w:tabs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100 %</w:t>
            </w:r>
          </w:p>
        </w:tc>
      </w:tr>
      <w:tr w:rsidR="00F63213">
        <w:trPr>
          <w:trHeight w:val="340"/>
        </w:trPr>
        <w:tc>
          <w:tcPr>
            <w:tcW w:w="4361" w:type="dxa"/>
            <w:shd w:val="clear" w:color="auto" w:fill="auto"/>
            <w:noWrap/>
          </w:tcPr>
          <w:p w:rsidR="00F63213" w:rsidRDefault="00FE1C1F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 разполагаем бюджет</w:t>
            </w:r>
          </w:p>
        </w:tc>
        <w:tc>
          <w:tcPr>
            <w:tcW w:w="2551" w:type="dxa"/>
            <w:shd w:val="clear" w:color="auto" w:fill="auto"/>
            <w:noWrap/>
          </w:tcPr>
          <w:p w:rsidR="00F63213" w:rsidRDefault="00FE1C1F">
            <w:pPr>
              <w:jc w:val="right"/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51 924 359,33</w:t>
            </w:r>
          </w:p>
        </w:tc>
        <w:tc>
          <w:tcPr>
            <w:tcW w:w="1985" w:type="dxa"/>
            <w:shd w:val="clear" w:color="auto" w:fill="auto"/>
            <w:noWrap/>
          </w:tcPr>
          <w:p w:rsidR="00F63213" w:rsidRDefault="00F63213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F63213">
        <w:trPr>
          <w:trHeight w:val="255"/>
        </w:trPr>
        <w:tc>
          <w:tcPr>
            <w:tcW w:w="4361" w:type="dxa"/>
            <w:shd w:val="clear" w:color="auto" w:fill="auto"/>
            <w:noWrap/>
          </w:tcPr>
          <w:p w:rsidR="00F63213" w:rsidRDefault="00FE1C1F">
            <w:pPr>
              <w:jc w:val="both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>Неусвоени кредити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8"/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noWrap/>
          </w:tcPr>
          <w:p w:rsidR="00F63213" w:rsidRDefault="00FE1C1F">
            <w:pPr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344 888,70</w:t>
            </w:r>
          </w:p>
        </w:tc>
        <w:tc>
          <w:tcPr>
            <w:tcW w:w="1985" w:type="dxa"/>
            <w:shd w:val="clear" w:color="auto" w:fill="auto"/>
            <w:noWrap/>
          </w:tcPr>
          <w:p w:rsidR="00F63213" w:rsidRDefault="00F63213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F63213">
        <w:trPr>
          <w:trHeight w:val="255"/>
        </w:trPr>
        <w:tc>
          <w:tcPr>
            <w:tcW w:w="4361" w:type="dxa"/>
            <w:shd w:val="clear" w:color="auto" w:fill="auto"/>
            <w:noWrap/>
          </w:tcPr>
          <w:p w:rsidR="00F63213" w:rsidRDefault="00FE1C1F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Процент на изпълнение на бюджета</w:t>
            </w:r>
          </w:p>
        </w:tc>
        <w:tc>
          <w:tcPr>
            <w:tcW w:w="2551" w:type="dxa"/>
            <w:shd w:val="clear" w:color="auto" w:fill="auto"/>
            <w:noWrap/>
          </w:tcPr>
          <w:p w:rsidR="00F63213" w:rsidRDefault="00FE1C1F">
            <w:pPr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99,33 %</w:t>
            </w:r>
          </w:p>
        </w:tc>
        <w:tc>
          <w:tcPr>
            <w:tcW w:w="1985" w:type="dxa"/>
            <w:shd w:val="clear" w:color="auto" w:fill="auto"/>
            <w:noWrap/>
          </w:tcPr>
          <w:p w:rsidR="00F63213" w:rsidRDefault="00F63213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</w:p>
        </w:tc>
      </w:tr>
    </w:tbl>
    <w:p w:rsidR="00F63213" w:rsidRDefault="00F63213">
      <w:pPr>
        <w:keepNext/>
        <w:spacing w:after="240" w:line="240" w:lineRule="auto"/>
        <w:ind w:left="567"/>
        <w:jc w:val="both"/>
        <w:outlineLvl w:val="1"/>
        <w:rPr>
          <w:rFonts w:ascii="Times New Roman" w:eastAsia="Times New Roman" w:hAnsi="Times New Roman"/>
          <w:bCs/>
          <w:iCs/>
          <w:noProof/>
          <w:sz w:val="24"/>
        </w:rPr>
      </w:pPr>
    </w:p>
    <w:p w:rsidR="00F63213" w:rsidRDefault="00FE1C1F">
      <w:pPr>
        <w:jc w:val="both"/>
        <w:rPr>
          <w:rFonts w:ascii="Times New Roman" w:eastAsia="Times New Roman" w:hAnsi="Times New Roman"/>
          <w:bCs/>
          <w:iCs/>
          <w:noProof/>
          <w:sz w:val="24"/>
        </w:rPr>
      </w:pPr>
      <w:r>
        <w:rPr>
          <w:rFonts w:ascii="Times New Roman" w:hAnsi="Times New Roman"/>
          <w:noProof/>
          <w:sz w:val="24"/>
        </w:rPr>
        <w:t>В сравнение с това безвъзмездните средства за изпълнение на проекти през 2012 г. възлизаха на 15,7 млн. евро, а за съвместните действия — на 8,9 млн. евро. Бюджетите на другите механизми за финансиране са подобни на тези през 2012 г.: безвъзмездни средства</w:t>
      </w:r>
      <w:r>
        <w:rPr>
          <w:rFonts w:ascii="Times New Roman" w:hAnsi="Times New Roman"/>
          <w:noProof/>
          <w:sz w:val="24"/>
        </w:rPr>
        <w:t xml:space="preserve"> за организиране на конференции — 0,75 млн. евро, безвъзмездни средства за оперативни разходи —4,3 млн. евро, преки безвъзмездни средства — </w:t>
      </w:r>
      <w:r>
        <w:rPr>
          <w:rFonts w:ascii="Times New Roman" w:hAnsi="Times New Roman"/>
          <w:noProof/>
        </w:rPr>
        <w:t xml:space="preserve">2,6 млн. евро и обществени поръчки — </w:t>
      </w:r>
      <w:r>
        <w:rPr>
          <w:rFonts w:ascii="Times New Roman" w:hAnsi="Times New Roman"/>
          <w:noProof/>
          <w:sz w:val="24"/>
        </w:rPr>
        <w:t>14,2 млн. евро.</w:t>
      </w:r>
    </w:p>
    <w:p w:rsidR="00F63213" w:rsidRDefault="00FE1C1F">
      <w:pPr>
        <w:pStyle w:val="ManualHeading2"/>
        <w:rPr>
          <w:noProof/>
        </w:rPr>
      </w:pPr>
      <w:bookmarkStart w:id="17" w:name="_Toc388355512"/>
      <w:bookmarkStart w:id="18" w:name="_Toc389636405"/>
      <w:bookmarkStart w:id="19" w:name="_Toc390420266"/>
      <w:bookmarkStart w:id="20" w:name="_Toc404756132"/>
      <w:bookmarkStart w:id="21" w:name="_Toc408392858"/>
      <w:bookmarkStart w:id="22" w:name="_Toc420413892"/>
      <w:r>
        <w:t>1.4</w:t>
      </w:r>
      <w:r>
        <w:tab/>
      </w:r>
      <w:r>
        <w:rPr>
          <w:noProof/>
        </w:rPr>
        <w:t>Покани за представяне на предложения</w:t>
      </w:r>
      <w:bookmarkEnd w:id="17"/>
      <w:bookmarkEnd w:id="18"/>
      <w:bookmarkEnd w:id="19"/>
      <w:bookmarkEnd w:id="20"/>
      <w:bookmarkEnd w:id="21"/>
      <w:bookmarkEnd w:id="22"/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На 22 декември 2012 г.</w:t>
      </w:r>
      <w:r>
        <w:rPr>
          <w:rFonts w:ascii="Times New Roman" w:hAnsi="Times New Roman"/>
          <w:noProof/>
          <w:sz w:val="24"/>
        </w:rPr>
        <w:t xml:space="preserve"> на уебсайта за обществено здравеопазване в EUROPA</w:t>
      </w:r>
      <w:r>
        <w:rPr>
          <w:rStyle w:val="FootnoteReference"/>
          <w:noProof/>
        </w:rPr>
        <w:footnoteReference w:id="9"/>
      </w:r>
      <w:r>
        <w:rPr>
          <w:rFonts w:ascii="Times New Roman" w:hAnsi="Times New Roman"/>
          <w:noProof/>
          <w:sz w:val="24"/>
        </w:rPr>
        <w:t xml:space="preserve"> и на уебсайта на EAHC</w:t>
      </w:r>
      <w:r>
        <w:rPr>
          <w:rStyle w:val="FootnoteReference"/>
          <w:noProof/>
        </w:rPr>
        <w:footnoteReference w:id="10"/>
      </w:r>
      <w:r>
        <w:rPr>
          <w:rFonts w:ascii="Times New Roman" w:hAnsi="Times New Roman"/>
          <w:noProof/>
          <w:sz w:val="24"/>
        </w:rPr>
        <w:t xml:space="preserve"> бяха публикувани четири покани за представяне на предложения — за изпълнение на проекти, за организиране на конференции, за оперативни разходи и за съвместни действия. Поканите бяха</w:t>
      </w:r>
      <w:r>
        <w:rPr>
          <w:rFonts w:ascii="Times New Roman" w:hAnsi="Times New Roman"/>
          <w:noProof/>
          <w:sz w:val="24"/>
        </w:rPr>
        <w:t xml:space="preserve"> публикувани и в Официален вестник на Европейския съюз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Крайният срок за отговор на поканите беше 22 март 2013 г. Повечето кандидатури бяха получени от основни партньори в държавите членки от ЕС-15, които съставляваха 82 % от кандидатурите за проекти, 80 % от кандидатурите за конференции, 100 % от кандидатурит</w:t>
      </w:r>
      <w:r>
        <w:rPr>
          <w:rFonts w:ascii="Times New Roman" w:hAnsi="Times New Roman"/>
          <w:noProof/>
          <w:sz w:val="24"/>
        </w:rPr>
        <w:t>е за оперативни разходи и четири пети от тези за съвместни действия.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През декември 2012 г. EAHC организира семинар за съвместните действия, а през февруари 2013 г. — семинар за осигуряване на качеството при съвместните действия. В Брюксел се проведе информ</w:t>
      </w:r>
      <w:r>
        <w:rPr>
          <w:rFonts w:ascii="Times New Roman" w:hAnsi="Times New Roman"/>
          <w:noProof/>
          <w:sz w:val="24"/>
        </w:rPr>
        <w:t>ационен ден, посветен на Европейското партньорство за иновации в областта на активния живот на възрастните хора и остаряването в добро здраве, а в Италия и Гърция се проведоха информационни дни на обща тематика. На уебсайта на ЕАНС бяха публикувани указани</w:t>
      </w:r>
      <w:r>
        <w:rPr>
          <w:rFonts w:ascii="Times New Roman" w:hAnsi="Times New Roman"/>
          <w:noProof/>
          <w:sz w:val="24"/>
        </w:rPr>
        <w:t>я за кандидатите. Бюрото за помощ на ЕАНС също предоставяше съдействие и практическа помощ.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Бяха подадени общо 165 кандидатури на обща стойност 83 650 303 EUR. Седем предложения бяха отхвърлени на етапа на предварителния преглед. От останалите 158 кандидат</w:t>
      </w:r>
      <w:r>
        <w:rPr>
          <w:rFonts w:ascii="Times New Roman" w:hAnsi="Times New Roman"/>
          <w:noProof/>
          <w:sz w:val="24"/>
        </w:rPr>
        <w:t>ури бяха финансирани 53 (32,9 %). Кандидатурите бяха оценявани в съответствие с правилата и критериите, установени в Решение за изпълнение 2012/C 378/07 на Комисията и в поканите за представяне на предложения</w:t>
      </w:r>
      <w:r>
        <w:rPr>
          <w:rStyle w:val="FootnoteReference"/>
          <w:noProof/>
        </w:rPr>
        <w:footnoteReference w:id="12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В процеса на </w:t>
      </w:r>
      <w:r>
        <w:rPr>
          <w:rFonts w:ascii="Times New Roman" w:hAnsi="Times New Roman"/>
          <w:noProof/>
          <w:sz w:val="24"/>
        </w:rPr>
        <w:lastRenderedPageBreak/>
        <w:t>оценяване участваха 32 външни ек</w:t>
      </w:r>
      <w:r>
        <w:rPr>
          <w:rFonts w:ascii="Times New Roman" w:hAnsi="Times New Roman"/>
          <w:noProof/>
          <w:sz w:val="24"/>
        </w:rPr>
        <w:t>сперти от 18 държави. Експертите бяха подбрани от списък, установен след покана за заявяване на интерес със заглавие „Експерти за втората Програма за действие на Общността в областта на здравето в различни дейности за оценяване“</w:t>
      </w:r>
      <w:r>
        <w:rPr>
          <w:rStyle w:val="FootnoteReference"/>
          <w:noProof/>
        </w:rPr>
        <w:footnoteReference w:id="13"/>
      </w:r>
      <w:r>
        <w:rPr>
          <w:noProof/>
        </w:rPr>
        <w:t>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Процесът на оценяване беш</w:t>
      </w:r>
      <w:r>
        <w:rPr>
          <w:rFonts w:ascii="Times New Roman" w:hAnsi="Times New Roman"/>
          <w:noProof/>
          <w:sz w:val="24"/>
        </w:rPr>
        <w:t>е извършен на два етапа.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На първия етап трима външни оценители разгледаха всяко предложение. На организирано от ЕАНС заседание беше изготвен консолидиран доклад за оценката на всяко предложение.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На втория етап комисията за оценка на офертите провери дали </w:t>
      </w:r>
      <w:r>
        <w:rPr>
          <w:rFonts w:ascii="Times New Roman" w:hAnsi="Times New Roman"/>
          <w:noProof/>
          <w:sz w:val="24"/>
        </w:rPr>
        <w:t>оценителите са спазвали съответните правила и критерии. След това тя изготви окончателни списъци с предложения, препоръчани за финансиране, заедно със списъци с резерви. Комисията за оценка на офертите се състоеше от представители на генерална дирекция „Зд</w:t>
      </w:r>
      <w:r>
        <w:rPr>
          <w:rFonts w:ascii="Times New Roman" w:hAnsi="Times New Roman"/>
          <w:noProof/>
          <w:sz w:val="24"/>
        </w:rPr>
        <w:t>равеопазване и политика за потребителите“, генерална дирекция „Научни изследвания и иновации“ и на ЕАНС.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На заседанието си от 29 юни 2013 г. Комитетът по програмата за обществено здравеопазване даде положително становище за действията, предложени за финанс</w:t>
      </w:r>
      <w:r>
        <w:rPr>
          <w:rFonts w:ascii="Times New Roman" w:hAnsi="Times New Roman"/>
          <w:noProof/>
          <w:sz w:val="24"/>
        </w:rPr>
        <w:t>иране. Свързаното с него решение на Комисията за отпускане на средства беше прието на 29 октомври 2013 г.</w:t>
      </w:r>
      <w:r>
        <w:rPr>
          <w:rStyle w:val="FootnoteReference"/>
          <w:rFonts w:ascii="Times New Roman" w:hAnsi="Times New Roman"/>
          <w:noProof/>
          <w:sz w:val="24"/>
        </w:rPr>
        <w:footnoteReference w:id="14"/>
      </w:r>
      <w:r>
        <w:rPr>
          <w:noProof/>
        </w:rPr>
        <w:t>.</w:t>
      </w:r>
    </w:p>
    <w:p w:rsidR="00F63213" w:rsidRDefault="00FE1C1F">
      <w:pPr>
        <w:pStyle w:val="ManualHeading3"/>
        <w:rPr>
          <w:noProof/>
        </w:rPr>
      </w:pPr>
      <w:bookmarkStart w:id="23" w:name="_Toc388355513"/>
      <w:bookmarkStart w:id="24" w:name="_Toc389636406"/>
      <w:bookmarkStart w:id="25" w:name="_Toc390420267"/>
      <w:bookmarkStart w:id="26" w:name="_Toc404756133"/>
      <w:bookmarkStart w:id="27" w:name="_Toc408392859"/>
      <w:r>
        <w:t>1.4.1</w:t>
      </w:r>
      <w:r>
        <w:tab/>
      </w:r>
      <w:r>
        <w:rPr>
          <w:noProof/>
        </w:rPr>
        <w:t>Безвъзмездни средства за изпълнение на проекти</w:t>
      </w:r>
      <w:bookmarkEnd w:id="23"/>
      <w:bookmarkEnd w:id="24"/>
      <w:bookmarkEnd w:id="25"/>
      <w:bookmarkEnd w:id="26"/>
      <w:bookmarkEnd w:id="27"/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отговор на поканата за представяне на проекти бяха представени общо 67 предложения. Девет пре</w:t>
      </w:r>
      <w:r>
        <w:rPr>
          <w:rFonts w:ascii="Times New Roman" w:hAnsi="Times New Roman"/>
          <w:noProof/>
          <w:sz w:val="24"/>
        </w:rPr>
        <w:t>дложения бяха препоръчани за финансиране, а три бяха включени в списък с резерви. В крайна сметка бяха финансирани 11 проекта (16 % от общия брой) на обща стойност 14 633 503,00 EUR. Разпределението им по направления на програмата беше следното:</w:t>
      </w:r>
    </w:p>
    <w:p w:rsidR="00F63213" w:rsidRDefault="00FE1C1F">
      <w:pPr>
        <w:spacing w:before="120" w:after="120" w:line="240" w:lineRule="auto"/>
        <w:ind w:left="36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Здравна си</w:t>
      </w:r>
      <w:r>
        <w:rPr>
          <w:rFonts w:ascii="Times New Roman" w:hAnsi="Times New Roman"/>
          <w:noProof/>
          <w:sz w:val="24"/>
        </w:rPr>
        <w:t>гурност:</w:t>
      </w:r>
      <w:r>
        <w:rPr>
          <w:noProof/>
        </w:rPr>
        <w:tab/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2 609 911,00 EUR   (два проекта)</w:t>
      </w:r>
    </w:p>
    <w:p w:rsidR="00F63213" w:rsidRDefault="00FE1C1F">
      <w:pPr>
        <w:spacing w:before="120" w:after="120" w:line="240" w:lineRule="auto"/>
        <w:ind w:left="36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Насърчаване на здравето: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12 023 592,00 EUR (девет проекта)</w:t>
      </w:r>
    </w:p>
    <w:p w:rsidR="00F63213" w:rsidRDefault="00F63213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приложение 2 се съдържа таблица с финансираните проекти. Базата данни на EAHC</w:t>
      </w:r>
      <w:r>
        <w:rPr>
          <w:rStyle w:val="FootnoteReference"/>
          <w:noProof/>
        </w:rPr>
        <w:footnoteReference w:id="15"/>
      </w:r>
      <w:r>
        <w:rPr>
          <w:rFonts w:ascii="Times New Roman" w:hAnsi="Times New Roman"/>
          <w:noProof/>
          <w:sz w:val="24"/>
        </w:rPr>
        <w:t xml:space="preserve"> предоставя техни резюмета. 91 % от одобрените проекти бяха представени о</w:t>
      </w:r>
      <w:r>
        <w:rPr>
          <w:rFonts w:ascii="Times New Roman" w:hAnsi="Times New Roman"/>
          <w:noProof/>
          <w:sz w:val="24"/>
        </w:rPr>
        <w:t>т основни партньори със седалища в държави от ЕС-15. Участието на държави от ЕС-12 като асоциирани партньори беше само 14 %</w:t>
      </w:r>
    </w:p>
    <w:p w:rsidR="00F63213" w:rsidRDefault="00FE1C1F">
      <w:pPr>
        <w:pStyle w:val="ManualHeading3"/>
        <w:rPr>
          <w:bCs/>
          <w:noProof/>
        </w:rPr>
      </w:pPr>
      <w:bookmarkStart w:id="28" w:name="_Toc388355514"/>
      <w:bookmarkStart w:id="29" w:name="_Toc389636407"/>
      <w:bookmarkStart w:id="30" w:name="_Toc390420268"/>
      <w:bookmarkStart w:id="31" w:name="_Toc404756134"/>
      <w:bookmarkStart w:id="32" w:name="_Toc408392860"/>
      <w:r>
        <w:lastRenderedPageBreak/>
        <w:t>1.4.2</w:t>
      </w:r>
      <w:r>
        <w:tab/>
      </w:r>
      <w:r>
        <w:rPr>
          <w:noProof/>
        </w:rPr>
        <w:t>Безвъзмездни средства за организиране на конференции</w:t>
      </w:r>
      <w:bookmarkEnd w:id="28"/>
      <w:bookmarkEnd w:id="29"/>
      <w:bookmarkEnd w:id="30"/>
      <w:bookmarkEnd w:id="31"/>
      <w:bookmarkEnd w:id="32"/>
    </w:p>
    <w:p w:rsidR="00F63213" w:rsidRDefault="00FE1C1F">
      <w:pPr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отговор на поканата за представяне на предложения за конференции бяха п</w:t>
      </w:r>
      <w:r>
        <w:rPr>
          <w:rFonts w:ascii="Times New Roman" w:hAnsi="Times New Roman"/>
          <w:noProof/>
          <w:sz w:val="24"/>
        </w:rPr>
        <w:t>редставени общо 47 предложения. Единадесет предложения бяха препоръчани за финансиране, а три бяха включени в списък с резерви. В крайна сметка бяха финансирани 14 конференции (30 % от получените предложения), въз основа на конкурсната покана за представян</w:t>
      </w:r>
      <w:r>
        <w:rPr>
          <w:rFonts w:ascii="Times New Roman" w:hAnsi="Times New Roman"/>
          <w:noProof/>
          <w:sz w:val="24"/>
        </w:rPr>
        <w:t>е на предложения, а две конференции бяха организирани от председателства на Европейския съвет. Общият бюджет за безвъзмездни средства за конференции беше 1 125 467,60 EUR.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Разпределението им по направления на програмата беше следното:</w:t>
      </w:r>
    </w:p>
    <w:p w:rsidR="00F63213" w:rsidRDefault="00FE1C1F">
      <w:pPr>
        <w:spacing w:before="120" w:after="120" w:line="240" w:lineRule="auto"/>
        <w:ind w:left="36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Насърчаване на здраве</w:t>
      </w:r>
      <w:r>
        <w:rPr>
          <w:rFonts w:ascii="Times New Roman" w:hAnsi="Times New Roman"/>
          <w:noProof/>
          <w:sz w:val="24"/>
        </w:rPr>
        <w:t>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371 603,60 EUR (четири конференции + две конференции, организирани от гръцкото и литовското председателство на Съвета)</w:t>
      </w:r>
    </w:p>
    <w:p w:rsidR="00F63213" w:rsidRDefault="00FE1C1F">
      <w:pPr>
        <w:spacing w:before="120" w:after="240" w:line="240" w:lineRule="auto"/>
        <w:ind w:left="36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Здравна информация:</w:t>
      </w:r>
      <w:r>
        <w:rPr>
          <w:noProof/>
        </w:rPr>
        <w:tab/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753 864,00 EUR (10 конференции)</w:t>
      </w:r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Конференциите бяха посветени на следните теми: Болест на Алцхаймер, редки </w:t>
      </w:r>
      <w:r>
        <w:rPr>
          <w:rFonts w:ascii="Times New Roman" w:hAnsi="Times New Roman"/>
          <w:noProof/>
          <w:sz w:val="24"/>
        </w:rPr>
        <w:t>болести, трансплантация на органи, алкохол, психично здраве, остаряване, здравеопазване на мигрантите и етническите малцинства, HIV/СПИН, донорство от живи донори на органи и хронични болести. Бяха съфинансирани и редица по-големи конференции за обществено</w:t>
      </w:r>
      <w:r>
        <w:rPr>
          <w:rFonts w:ascii="Times New Roman" w:hAnsi="Times New Roman"/>
          <w:noProof/>
          <w:sz w:val="24"/>
        </w:rPr>
        <w:t xml:space="preserve">то здравеопазване: годишната конференция на Европейската асоциация за обществено здраве (EUPHA), Световната среща на високо равнище по въпросите на здравеопазването, Европейския здравен форум в Гастейн и 6-ия глобален форум на пациентите. Конференцията на </w:t>
      </w:r>
      <w:r>
        <w:rPr>
          <w:rFonts w:ascii="Times New Roman" w:hAnsi="Times New Roman"/>
          <w:noProof/>
          <w:sz w:val="24"/>
        </w:rPr>
        <w:t>литовското председателство на Съвета беше посветена на психичното здраве, а конференцията на гръцкото председателство на Съвета — на храненето и физическата активност.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приложение 3 и приложение 4 се съдържат таблици с финансираните конференции. Базата да</w:t>
      </w:r>
      <w:r>
        <w:rPr>
          <w:rFonts w:ascii="Times New Roman" w:hAnsi="Times New Roman"/>
          <w:noProof/>
          <w:sz w:val="24"/>
        </w:rPr>
        <w:t>нни на ЕАНС съдържа резюмета на конференциите и протоколите от тях.</w:t>
      </w:r>
    </w:p>
    <w:p w:rsidR="00F63213" w:rsidRDefault="00FE1C1F">
      <w:pPr>
        <w:pStyle w:val="ManualHeading3"/>
        <w:rPr>
          <w:bCs/>
          <w:noProof/>
        </w:rPr>
      </w:pPr>
      <w:bookmarkStart w:id="33" w:name="_Toc388355515"/>
      <w:bookmarkStart w:id="34" w:name="_Toc389636408"/>
      <w:bookmarkStart w:id="35" w:name="_Toc390420269"/>
      <w:bookmarkStart w:id="36" w:name="_Toc404756135"/>
      <w:bookmarkStart w:id="37" w:name="_Toc408392861"/>
      <w:r>
        <w:t>1.4.3</w:t>
      </w:r>
      <w:r>
        <w:tab/>
      </w:r>
      <w:r>
        <w:rPr>
          <w:noProof/>
        </w:rPr>
        <w:t>Безвъзмездни средства за оперативни разходи</w:t>
      </w:r>
      <w:bookmarkEnd w:id="33"/>
      <w:bookmarkEnd w:id="34"/>
      <w:bookmarkEnd w:id="35"/>
      <w:bookmarkEnd w:id="36"/>
      <w:bookmarkEnd w:id="37"/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отговор на поканата за представяне на предложения за безвъзмездни средства за оперативни разходи бяха представени общо 45 предложения. О</w:t>
      </w:r>
      <w:r>
        <w:rPr>
          <w:rFonts w:ascii="Times New Roman" w:hAnsi="Times New Roman"/>
          <w:noProof/>
          <w:sz w:val="24"/>
        </w:rPr>
        <w:t xml:space="preserve">т тях 20 бяха предложени за финансиране, а четири бяха включени в списък с резерви. В крайна сметка бяха финансирани 22 предложения (осем нови и 14 подновявания), което представлява 49 % от получените предложения, на обща стойност 5 474 491,00 EUR.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63213">
        <w:tc>
          <w:tcPr>
            <w:tcW w:w="9289" w:type="dxa"/>
            <w:shd w:val="clear" w:color="auto" w:fill="008080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FFFF"/>
                <w:sz w:val="24"/>
              </w:rPr>
              <w:t xml:space="preserve">Нови </w:t>
            </w:r>
            <w:r>
              <w:rPr>
                <w:rFonts w:ascii="Times New Roman" w:hAnsi="Times New Roman"/>
                <w:noProof/>
                <w:color w:val="FFFFFF"/>
                <w:sz w:val="24"/>
              </w:rPr>
              <w:t>безвъзмездни средства за оперативни разходи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Netherlands Organisation for Applied Scientific Research (TNO) за домакинство на Европейската мрежа за действия във връзка с остаряването и физическата активност (EUNAAPA)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Association of Schools of Public </w:t>
            </w:r>
            <w:r>
              <w:rPr>
                <w:rFonts w:ascii="Times New Roman" w:hAnsi="Times New Roman"/>
                <w:noProof/>
                <w:sz w:val="24"/>
              </w:rPr>
              <w:t>Health in the European Region (ASPHER)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Special Olympics Europe Euroasia Foundation (SOEEF)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European Federation of Allergy and Airways Diseases Patients’ Associations (EFA)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Institut National de la Santé et la Recherche Médicale (INSERM), за домакинство н</w:t>
            </w:r>
            <w:r>
              <w:rPr>
                <w:rFonts w:ascii="Times New Roman" w:hAnsi="Times New Roman"/>
                <w:noProof/>
                <w:sz w:val="24"/>
              </w:rPr>
              <w:t>а мрежата ORPHANET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University Court of the University of St Andrews, за домакинство на анкетната мрежа за здравно поведение на деца в училищна възраст (HBSC)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University of Ulster, в подкрепа на мрежата EUROCAT за вродени аномалии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Fundación para la Investigación Biomédica Hospital Universitario 12 de Octubre, домакин на мрежата за наблюдение на церебралната парализа в Европа (SCPE) </w:t>
            </w:r>
          </w:p>
        </w:tc>
      </w:tr>
    </w:tbl>
    <w:p w:rsidR="00F63213" w:rsidRDefault="00F6321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63213">
        <w:tc>
          <w:tcPr>
            <w:tcW w:w="9289" w:type="dxa"/>
            <w:shd w:val="clear" w:color="auto" w:fill="008080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FFFF"/>
                <w:sz w:val="24"/>
              </w:rPr>
              <w:t>Подновяване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Алцхаймер Европа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EUROPA DONNA (Европейска коалиция за борба с рака на гърдата)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</w:t>
            </w:r>
            <w:r>
              <w:rPr>
                <w:rFonts w:ascii="Times New Roman" w:hAnsi="Times New Roman"/>
                <w:noProof/>
                <w:sz w:val="24"/>
              </w:rPr>
              <w:t>ейски алианс за политики в областта на алкохола (EURO-Care)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Европейска мрежа за предотвратяване на тютюнопушенето (ENSP)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Европейска организация за редки заболявания (EURORDIS)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Европейско сдружение за обществено здраве (EPHA)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Европейски форум на </w:t>
            </w:r>
            <w:r>
              <w:rPr>
                <w:rFonts w:ascii="Times New Roman" w:hAnsi="Times New Roman"/>
                <w:noProof/>
                <w:sz w:val="24"/>
              </w:rPr>
              <w:t>пациентите (EPF)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PREVENT (за Европейската мрежа за насърчаване на здравословен начин на живот на работното място)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Stichting AIDS Fonds Soa AIDS Нидерландия (за мрежата AIDS Action Europe)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Stichting Health Action International (HAI)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Fundación Vasca de </w:t>
            </w:r>
            <w:r>
              <w:rPr>
                <w:rFonts w:ascii="Times New Roman" w:hAnsi="Times New Roman"/>
                <w:noProof/>
                <w:sz w:val="24"/>
              </w:rPr>
              <w:t>Innovación e Investigación Sanitarias (за мрежата на звената за неонатологична интензивна грижа)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Международна асоциация за амбулаторна хирургия (IAAS)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Statens Serum institute (за мрежата EURO-MoMo: наблюдение на смъртността в цяла Европа в реално време)</w:t>
            </w:r>
          </w:p>
        </w:tc>
      </w:tr>
      <w:tr w:rsidR="00F63213">
        <w:tc>
          <w:tcPr>
            <w:tcW w:w="9289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CBO BV (за мрежата „Училища за здраве в Европа“(SHE))</w:t>
            </w:r>
          </w:p>
        </w:tc>
      </w:tr>
    </w:tbl>
    <w:p w:rsidR="00F63213" w:rsidRDefault="00F63213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F63213" w:rsidRDefault="00FE1C1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В приложение 5 се съдържа таблица с финансираните безвъзмездни средства за оперативни разходи. Базата данни на EAHC предоставя техни резюмета.</w:t>
      </w:r>
    </w:p>
    <w:p w:rsidR="00F63213" w:rsidRDefault="00FE1C1F">
      <w:pPr>
        <w:pStyle w:val="ManualHeading3"/>
        <w:rPr>
          <w:bCs/>
          <w:noProof/>
        </w:rPr>
      </w:pPr>
      <w:bookmarkStart w:id="38" w:name="_Toc388355516"/>
      <w:bookmarkStart w:id="39" w:name="_Toc389636409"/>
      <w:bookmarkStart w:id="40" w:name="_Toc390420270"/>
      <w:bookmarkStart w:id="41" w:name="_Toc404756136"/>
      <w:bookmarkStart w:id="42" w:name="_Toc408392862"/>
      <w:r>
        <w:t>1.4.4</w:t>
      </w:r>
      <w:r>
        <w:tab/>
      </w:r>
      <w:r>
        <w:rPr>
          <w:noProof/>
        </w:rPr>
        <w:t>Съвместни действия</w:t>
      </w:r>
      <w:bookmarkEnd w:id="38"/>
      <w:bookmarkEnd w:id="39"/>
      <w:bookmarkEnd w:id="40"/>
      <w:bookmarkEnd w:id="41"/>
      <w:bookmarkEnd w:id="42"/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Бяха подадени пет предложения </w:t>
      </w:r>
      <w:r>
        <w:rPr>
          <w:rFonts w:ascii="Times New Roman" w:hAnsi="Times New Roman"/>
          <w:noProof/>
          <w:sz w:val="24"/>
        </w:rPr>
        <w:t>за съвместни действия, които бяха финансирани в размер на 13 438 643,00 EUR. Те бяха разпределени между програмните направления, както следва:</w:t>
      </w:r>
    </w:p>
    <w:p w:rsidR="00F63213" w:rsidRDefault="00FE1C1F">
      <w:pPr>
        <w:spacing w:before="120" w:after="120" w:line="24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Здравна сигурност:</w:t>
      </w:r>
      <w:r>
        <w:rPr>
          <w:noProof/>
        </w:rPr>
        <w:tab/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4 298 700,00 EUR (две съвместни действия)</w:t>
      </w:r>
    </w:p>
    <w:p w:rsidR="00F63213" w:rsidRDefault="00FE1C1F">
      <w:pPr>
        <w:spacing w:before="120" w:after="120" w:line="24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Насърчаване на здравето: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9 139 943,00 EUR (три съвм</w:t>
      </w:r>
      <w:r>
        <w:rPr>
          <w:rFonts w:ascii="Times New Roman" w:hAnsi="Times New Roman"/>
          <w:noProof/>
          <w:sz w:val="24"/>
        </w:rPr>
        <w:t>естни действия)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Тези съвместни действия, в които участваха голям брой държави членки и други страни — участници в програмата, бяха на следните теми: фармакологична бдителност, борба с рака, намаляване на вредата от алкохола, хронични болести, технологии за</w:t>
      </w:r>
      <w:r>
        <w:rPr>
          <w:rFonts w:ascii="Times New Roman" w:hAnsi="Times New Roman"/>
          <w:noProof/>
          <w:sz w:val="24"/>
        </w:rPr>
        <w:t xml:space="preserve"> асистирана репродукция и хематопоетични стволови клетки за трансплантация.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В приложение 6 се съдържа таблица с финансираните съвместни действия. Базата данни на EAHC предоставя техни резюмета.</w:t>
      </w:r>
    </w:p>
    <w:p w:rsidR="00F63213" w:rsidRDefault="00FE1C1F">
      <w:pPr>
        <w:pStyle w:val="ManualHeading2"/>
        <w:rPr>
          <w:noProof/>
        </w:rPr>
      </w:pPr>
      <w:bookmarkStart w:id="43" w:name="_Toc388355517"/>
      <w:bookmarkStart w:id="44" w:name="_Toc389636410"/>
      <w:bookmarkStart w:id="45" w:name="_Toc390420271"/>
      <w:bookmarkStart w:id="46" w:name="_Toc404756137"/>
      <w:bookmarkStart w:id="47" w:name="_Toc408392863"/>
      <w:bookmarkStart w:id="48" w:name="_Toc420413893"/>
      <w:r>
        <w:t>1.5</w:t>
      </w:r>
      <w:r>
        <w:tab/>
      </w:r>
      <w:r>
        <w:rPr>
          <w:noProof/>
        </w:rPr>
        <w:t>Споразумения с международни организации за отпускане на пр</w:t>
      </w:r>
      <w:r>
        <w:rPr>
          <w:noProof/>
        </w:rPr>
        <w:t>еки безвъзмездни средства</w:t>
      </w:r>
      <w:bookmarkEnd w:id="43"/>
      <w:bookmarkEnd w:id="44"/>
      <w:bookmarkEnd w:id="45"/>
      <w:bookmarkEnd w:id="46"/>
      <w:bookmarkEnd w:id="47"/>
      <w:bookmarkEnd w:id="48"/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Бяха подписани общо пет споразумения за отпускане на преки безвъзмездни средства в общ размер 1 100 000 EUR, както следва.</w:t>
      </w:r>
    </w:p>
    <w:p w:rsidR="00F63213" w:rsidRDefault="00FE1C1F">
      <w:pPr>
        <w:numPr>
          <w:ilvl w:val="0"/>
          <w:numId w:val="20"/>
        </w:numPr>
        <w:tabs>
          <w:tab w:val="clear" w:pos="360"/>
          <w:tab w:val="num" w:pos="283"/>
        </w:tabs>
        <w:spacing w:before="120" w:after="120" w:line="240" w:lineRule="auto"/>
        <w:ind w:left="283" w:hanging="283"/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Световна здравна организация (СЗО):</w:t>
      </w:r>
    </w:p>
    <w:p w:rsidR="00F63213" w:rsidRDefault="00FE1C1F">
      <w:pPr>
        <w:numPr>
          <w:ilvl w:val="1"/>
          <w:numId w:val="20"/>
        </w:num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Европейска инициатива за наблюдение на затлъстяването</w:t>
      </w:r>
    </w:p>
    <w:p w:rsidR="00F63213" w:rsidRDefault="00FE1C1F">
      <w:pPr>
        <w:numPr>
          <w:ilvl w:val="1"/>
          <w:numId w:val="20"/>
        </w:num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Европейско валидиране на минималния информационен модел за сигнализиране и узнаване на инциденти, свързани с безопасността на пациентите  </w:t>
      </w:r>
    </w:p>
    <w:p w:rsidR="00F63213" w:rsidRDefault="00FE1C1F">
      <w:pPr>
        <w:numPr>
          <w:ilvl w:val="1"/>
          <w:numId w:val="20"/>
        </w:num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Интегрирано наблюдение на незаразните болести</w:t>
      </w:r>
    </w:p>
    <w:p w:rsidR="00F63213" w:rsidRDefault="00FE1C1F">
      <w:pPr>
        <w:numPr>
          <w:ilvl w:val="0"/>
          <w:numId w:val="20"/>
        </w:numPr>
        <w:tabs>
          <w:tab w:val="clear" w:pos="360"/>
          <w:tab w:val="num" w:pos="283"/>
        </w:tabs>
        <w:spacing w:before="120" w:after="120" w:line="240" w:lineRule="auto"/>
        <w:ind w:left="283" w:hanging="283"/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Организация за икономическо сътрудничество и развитие (ОИСР):</w:t>
      </w:r>
    </w:p>
    <w:p w:rsidR="00F63213" w:rsidRDefault="00FE1C1F">
      <w:pPr>
        <w:numPr>
          <w:ilvl w:val="1"/>
          <w:numId w:val="20"/>
        </w:num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Обучение </w:t>
      </w:r>
      <w:r>
        <w:rPr>
          <w:rFonts w:ascii="Times New Roman" w:hAnsi="Times New Roman"/>
          <w:noProof/>
          <w:sz w:val="24"/>
        </w:rPr>
        <w:t>за здравни специалисти</w:t>
      </w:r>
    </w:p>
    <w:p w:rsidR="00F63213" w:rsidRDefault="00FE1C1F">
      <w:pPr>
        <w:numPr>
          <w:ilvl w:val="1"/>
          <w:numId w:val="20"/>
        </w:num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Здравето накратко — 2014 г.</w:t>
      </w:r>
    </w:p>
    <w:p w:rsidR="00F63213" w:rsidRDefault="00F63213">
      <w:pPr>
        <w:spacing w:before="120" w:after="120" w:line="240" w:lineRule="auto"/>
        <w:ind w:left="972"/>
        <w:jc w:val="both"/>
        <w:rPr>
          <w:rFonts w:ascii="Times New Roman" w:eastAsia="Times New Roman" w:hAnsi="Times New Roman"/>
          <w:noProof/>
          <w:sz w:val="24"/>
        </w:rPr>
      </w:pP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В приложение 7 се съдържа таблица с финансираните споразумения за отпускане на преки безвъзмездни средства.</w:t>
      </w:r>
    </w:p>
    <w:p w:rsidR="00F63213" w:rsidRDefault="00FE1C1F">
      <w:pPr>
        <w:pStyle w:val="ManualHeading2"/>
        <w:rPr>
          <w:noProof/>
        </w:rPr>
      </w:pPr>
      <w:bookmarkStart w:id="49" w:name="_Toc388355518"/>
      <w:bookmarkStart w:id="50" w:name="_Toc389636411"/>
      <w:bookmarkStart w:id="51" w:name="_Toc390420272"/>
      <w:bookmarkStart w:id="52" w:name="_Toc404756138"/>
      <w:bookmarkStart w:id="53" w:name="_Toc408392864"/>
      <w:bookmarkStart w:id="54" w:name="_Toc420413894"/>
      <w:r>
        <w:t>1.6</w:t>
      </w:r>
      <w:r>
        <w:tab/>
      </w:r>
      <w:r>
        <w:rPr>
          <w:noProof/>
        </w:rPr>
        <w:t>Обществени поръчки</w:t>
      </w:r>
      <w:bookmarkEnd w:id="49"/>
      <w:bookmarkEnd w:id="50"/>
      <w:bookmarkEnd w:id="51"/>
      <w:bookmarkEnd w:id="52"/>
      <w:bookmarkEnd w:id="53"/>
      <w:bookmarkEnd w:id="54"/>
      <w:r>
        <w:rPr>
          <w:noProof/>
        </w:rPr>
        <w:t xml:space="preserve"> (договори за услуги)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ГД „Здравеопазване и политика за потребителите“ подп</w:t>
      </w:r>
      <w:r>
        <w:rPr>
          <w:rFonts w:ascii="Times New Roman" w:hAnsi="Times New Roman"/>
          <w:noProof/>
          <w:sz w:val="24"/>
        </w:rPr>
        <w:t>иса договори за услуги по направленията за здравна сигурност, насърчаване на здравето и здравна информация, в рамките на програмата за здравеопазване, както и конкретни искания за услуги в областта на информационните технологии по съществуващите рамкови до</w:t>
      </w:r>
      <w:r>
        <w:rPr>
          <w:rFonts w:ascii="Times New Roman" w:hAnsi="Times New Roman"/>
          <w:noProof/>
          <w:sz w:val="24"/>
        </w:rPr>
        <w:t>говори</w:t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Общият размер на бюджета на обществените поръчки, управлявани от ГД „Здравеопазване и политика за потребителите“, възлиза на 5 378 332,42 EUR. EAHC </w:t>
      </w:r>
      <w:r>
        <w:rPr>
          <w:rFonts w:ascii="Times New Roman" w:hAnsi="Times New Roman"/>
          <w:noProof/>
          <w:sz w:val="24"/>
        </w:rPr>
        <w:lastRenderedPageBreak/>
        <w:t>управлява 26 договора за услуги (седем по здравна сигурност, 12 по насърчаване на здравето и девет п</w:t>
      </w:r>
      <w:r>
        <w:rPr>
          <w:rFonts w:ascii="Times New Roman" w:hAnsi="Times New Roman"/>
          <w:noProof/>
          <w:sz w:val="24"/>
        </w:rPr>
        <w:t>о здравна информация) на обща стойност 6 107 377,04 EUR. Сумите по направления и възлагащи организации са следните:</w:t>
      </w:r>
    </w:p>
    <w:tbl>
      <w:tblPr>
        <w:tblW w:w="8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226"/>
        <w:gridCol w:w="2226"/>
        <w:gridCol w:w="1812"/>
      </w:tblGrid>
      <w:tr w:rsidR="00F63213">
        <w:trPr>
          <w:trHeight w:val="275"/>
        </w:trPr>
        <w:tc>
          <w:tcPr>
            <w:tcW w:w="2835" w:type="dxa"/>
            <w:shd w:val="clear" w:color="auto" w:fill="008080"/>
            <w:noWrap/>
            <w:vAlign w:val="center"/>
          </w:tcPr>
          <w:p w:rsidR="00F63213" w:rsidRDefault="00FE1C1F">
            <w:pPr>
              <w:spacing w:before="40" w:after="40"/>
              <w:rPr>
                <w:rFonts w:ascii="Times New Roman" w:hAnsi="Times New Roman"/>
                <w:noProof/>
                <w:color w:val="FFFFFF"/>
                <w:sz w:val="24"/>
              </w:rPr>
            </w:pPr>
            <w:r>
              <w:rPr>
                <w:rFonts w:ascii="Times New Roman" w:hAnsi="Times New Roman"/>
                <w:noProof/>
                <w:color w:val="FFFFFF"/>
                <w:sz w:val="24"/>
              </w:rPr>
              <w:t>Цел на програмата</w:t>
            </w:r>
          </w:p>
        </w:tc>
        <w:tc>
          <w:tcPr>
            <w:tcW w:w="2089" w:type="dxa"/>
            <w:shd w:val="clear" w:color="auto" w:fill="008080"/>
            <w:noWrap/>
            <w:vAlign w:val="center"/>
          </w:tcPr>
          <w:p w:rsidR="00F63213" w:rsidRDefault="00FE1C1F">
            <w:pPr>
              <w:spacing w:before="40" w:after="40"/>
              <w:rPr>
                <w:rFonts w:ascii="Times New Roman" w:hAnsi="Times New Roman"/>
                <w:noProof/>
                <w:color w:val="FFFFFF"/>
                <w:sz w:val="24"/>
              </w:rPr>
            </w:pPr>
            <w:r>
              <w:rPr>
                <w:rFonts w:ascii="Times New Roman" w:hAnsi="Times New Roman"/>
                <w:noProof/>
                <w:color w:val="FFFFFF"/>
                <w:sz w:val="24"/>
              </w:rPr>
              <w:t>Конкурси/договори на ГД „Здравеопазване и политика за потребителите“</w:t>
            </w:r>
          </w:p>
        </w:tc>
        <w:tc>
          <w:tcPr>
            <w:tcW w:w="1924" w:type="dxa"/>
            <w:shd w:val="clear" w:color="auto" w:fill="008080"/>
            <w:noWrap/>
            <w:vAlign w:val="center"/>
          </w:tcPr>
          <w:p w:rsidR="00F63213" w:rsidRDefault="00FE1C1F">
            <w:pPr>
              <w:spacing w:before="40" w:after="40"/>
              <w:rPr>
                <w:rFonts w:ascii="Times New Roman" w:hAnsi="Times New Roman"/>
                <w:noProof/>
                <w:color w:val="FFFFFF"/>
                <w:sz w:val="24"/>
              </w:rPr>
            </w:pPr>
            <w:r>
              <w:rPr>
                <w:rFonts w:ascii="Times New Roman" w:hAnsi="Times New Roman"/>
                <w:noProof/>
                <w:color w:val="FFFFFF"/>
                <w:sz w:val="24"/>
              </w:rPr>
              <w:t xml:space="preserve">Конкурси/договори на Изпълнителната агенция за </w:t>
            </w:r>
            <w:r>
              <w:rPr>
                <w:rFonts w:ascii="Times New Roman" w:hAnsi="Times New Roman"/>
                <w:noProof/>
                <w:color w:val="FFFFFF"/>
                <w:sz w:val="24"/>
              </w:rPr>
              <w:t>здравеопазване и въпроси, свързани с потребителите (EAHC)</w:t>
            </w:r>
          </w:p>
        </w:tc>
        <w:tc>
          <w:tcPr>
            <w:tcW w:w="1812" w:type="dxa"/>
            <w:shd w:val="clear" w:color="auto" w:fill="008080"/>
            <w:noWrap/>
            <w:vAlign w:val="center"/>
          </w:tcPr>
          <w:p w:rsidR="00F63213" w:rsidRDefault="00FE1C1F">
            <w:pPr>
              <w:spacing w:before="40" w:after="40"/>
              <w:rPr>
                <w:rFonts w:ascii="Times New Roman" w:hAnsi="Times New Roman"/>
                <w:noProof/>
                <w:color w:val="FFFFFF"/>
                <w:sz w:val="24"/>
              </w:rPr>
            </w:pPr>
            <w:r>
              <w:rPr>
                <w:rFonts w:ascii="Times New Roman" w:hAnsi="Times New Roman"/>
                <w:noProof/>
                <w:color w:val="FFFFFF"/>
                <w:sz w:val="24"/>
              </w:rPr>
              <w:t>Общо конкурси / договори</w:t>
            </w:r>
          </w:p>
        </w:tc>
      </w:tr>
      <w:tr w:rsidR="00F63213">
        <w:trPr>
          <w:trHeight w:val="275"/>
        </w:trPr>
        <w:tc>
          <w:tcPr>
            <w:tcW w:w="2835" w:type="dxa"/>
            <w:noWrap/>
            <w:vAlign w:val="center"/>
          </w:tcPr>
          <w:p w:rsidR="00F63213" w:rsidRDefault="00FE1C1F">
            <w:pPr>
              <w:spacing w:before="40" w:after="4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Здравна сигурност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1 482 661,12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1 420 790,80</w:t>
            </w:r>
          </w:p>
        </w:tc>
        <w:tc>
          <w:tcPr>
            <w:tcW w:w="1812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2 903 451,92</w:t>
            </w:r>
          </w:p>
        </w:tc>
      </w:tr>
      <w:tr w:rsidR="00F63213">
        <w:trPr>
          <w:trHeight w:val="275"/>
        </w:trPr>
        <w:tc>
          <w:tcPr>
            <w:tcW w:w="2835" w:type="dxa"/>
            <w:noWrap/>
            <w:vAlign w:val="center"/>
          </w:tcPr>
          <w:p w:rsidR="00F63213" w:rsidRDefault="00FE1C1F">
            <w:pPr>
              <w:spacing w:before="40" w:after="4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Насърчаване на здравето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1 022 113,64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3 504 417,50</w:t>
            </w:r>
          </w:p>
        </w:tc>
        <w:tc>
          <w:tcPr>
            <w:tcW w:w="1812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4 526 531,14</w:t>
            </w:r>
          </w:p>
        </w:tc>
      </w:tr>
      <w:tr w:rsidR="00F63213">
        <w:trPr>
          <w:trHeight w:val="275"/>
        </w:trPr>
        <w:tc>
          <w:tcPr>
            <w:tcW w:w="2835" w:type="dxa"/>
            <w:noWrap/>
            <w:vAlign w:val="center"/>
          </w:tcPr>
          <w:p w:rsidR="00F63213" w:rsidRDefault="00FE1C1F">
            <w:pPr>
              <w:spacing w:before="40" w:after="4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Здравна информация 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1 191 357,11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1 182 168,74</w:t>
            </w:r>
          </w:p>
        </w:tc>
        <w:tc>
          <w:tcPr>
            <w:tcW w:w="1812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</w:rPr>
              <w:t>373 525,85</w:t>
            </w:r>
          </w:p>
        </w:tc>
      </w:tr>
      <w:tr w:rsidR="00F63213">
        <w:trPr>
          <w:trHeight w:val="275"/>
        </w:trPr>
        <w:tc>
          <w:tcPr>
            <w:tcW w:w="2835" w:type="dxa"/>
            <w:noWrap/>
            <w:vAlign w:val="bottom"/>
          </w:tcPr>
          <w:p w:rsidR="00F63213" w:rsidRDefault="00FE1C1F">
            <w:pPr>
              <w:spacing w:before="40" w:after="4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Хоризонтални (услуги в областта на информационните технологии)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1 682 200,55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812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1 682 200,55</w:t>
            </w:r>
          </w:p>
        </w:tc>
      </w:tr>
      <w:tr w:rsidR="00F63213">
        <w:trPr>
          <w:trHeight w:val="275"/>
        </w:trPr>
        <w:tc>
          <w:tcPr>
            <w:tcW w:w="2835" w:type="dxa"/>
            <w:tcBorders>
              <w:right w:val="single" w:sz="4" w:space="0" w:color="auto"/>
            </w:tcBorders>
            <w:noWrap/>
            <w:vAlign w:val="bottom"/>
          </w:tcPr>
          <w:p w:rsidR="00F63213" w:rsidRDefault="00FE1C1F">
            <w:pPr>
              <w:spacing w:before="40" w:after="40"/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5 378 332,42 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6 107 377,04</w:t>
            </w:r>
          </w:p>
        </w:tc>
        <w:tc>
          <w:tcPr>
            <w:tcW w:w="1812" w:type="dxa"/>
            <w:shd w:val="clear" w:color="auto" w:fill="auto"/>
            <w:noWrap/>
            <w:vAlign w:val="bottom"/>
          </w:tcPr>
          <w:p w:rsidR="00F63213" w:rsidRDefault="00FE1C1F">
            <w:pPr>
              <w:spacing w:before="40" w:after="40"/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11 485 709,46</w:t>
            </w:r>
          </w:p>
        </w:tc>
      </w:tr>
    </w:tbl>
    <w:p w:rsidR="00F63213" w:rsidRDefault="00F63213">
      <w:pPr>
        <w:jc w:val="both"/>
        <w:rPr>
          <w:rFonts w:ascii="Times New Roman" w:hAnsi="Times New Roman"/>
          <w:noProof/>
          <w:sz w:val="24"/>
        </w:rPr>
      </w:pP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Тези договори за услуги отговарят на потребности, посочени в работния план за 2013 г.: оценка и </w:t>
      </w:r>
      <w:r>
        <w:rPr>
          <w:rFonts w:ascii="Times New Roman" w:hAnsi="Times New Roman"/>
          <w:noProof/>
          <w:sz w:val="24"/>
        </w:rPr>
        <w:t>наблюдение на действия и политики, проучвания, консултации, данни и информация за здравето, научна и техническа помощ, комуникации, разпространение, дейности за повишаване на осведомеността и ИТ приложения в подкрепа на политиките.</w:t>
      </w: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В приложения 8 и 9 се съ</w:t>
      </w:r>
      <w:r>
        <w:rPr>
          <w:rFonts w:ascii="Times New Roman" w:hAnsi="Times New Roman"/>
          <w:noProof/>
          <w:sz w:val="24"/>
        </w:rPr>
        <w:t>държат повече подробности за подписаните договори за услуги.</w:t>
      </w:r>
    </w:p>
    <w:p w:rsidR="00F63213" w:rsidRDefault="00FE1C1F">
      <w:pPr>
        <w:pStyle w:val="ManualHeading2"/>
        <w:rPr>
          <w:noProof/>
        </w:rPr>
      </w:pPr>
      <w:bookmarkStart w:id="55" w:name="_Toc388355519"/>
      <w:bookmarkStart w:id="56" w:name="_Toc389636412"/>
      <w:bookmarkStart w:id="57" w:name="_Toc390420273"/>
      <w:bookmarkStart w:id="58" w:name="_Toc404756139"/>
      <w:bookmarkStart w:id="59" w:name="_Toc408392865"/>
      <w:bookmarkStart w:id="60" w:name="_Toc420413895"/>
      <w:r>
        <w:t>1.7</w:t>
      </w:r>
      <w:r>
        <w:tab/>
      </w:r>
      <w:r>
        <w:rPr>
          <w:noProof/>
        </w:rPr>
        <w:t>Други действия</w:t>
      </w:r>
      <w:bookmarkEnd w:id="55"/>
      <w:bookmarkEnd w:id="56"/>
      <w:bookmarkEnd w:id="57"/>
      <w:bookmarkEnd w:id="58"/>
      <w:bookmarkEnd w:id="59"/>
      <w:bookmarkEnd w:id="60"/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За други действия през 2013 г. са заделени 4 830 000 EUR. Тук се включват следните дейности: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63213">
        <w:tc>
          <w:tcPr>
            <w:tcW w:w="9288" w:type="dxa"/>
            <w:shd w:val="clear" w:color="auto" w:fill="008080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color w:val="FFFFFF"/>
                <w:sz w:val="24"/>
              </w:rPr>
            </w:pPr>
            <w:r>
              <w:rPr>
                <w:rFonts w:ascii="Times New Roman" w:hAnsi="Times New Roman"/>
                <w:noProof/>
                <w:color w:val="FFFFFF"/>
                <w:sz w:val="24"/>
              </w:rPr>
              <w:t>Други действия</w:t>
            </w:r>
          </w:p>
        </w:tc>
      </w:tr>
      <w:tr w:rsidR="00F63213">
        <w:tc>
          <w:tcPr>
            <w:tcW w:w="9288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Специални обезщетения, плащани на експертите за участието и </w:t>
            </w:r>
            <w:r>
              <w:rPr>
                <w:rFonts w:ascii="Times New Roman" w:hAnsi="Times New Roman"/>
                <w:noProof/>
                <w:sz w:val="24"/>
              </w:rPr>
              <w:t>работата им в научните комитети на ЕС, както е предвидено в Решение 2008/721/EО на Комисията</w:t>
            </w:r>
            <w:r>
              <w:rPr>
                <w:rStyle w:val="FootnoteReference"/>
                <w:noProof/>
              </w:rPr>
              <w:footnoteReference w:id="16"/>
            </w:r>
          </w:p>
        </w:tc>
      </w:tr>
      <w:tr w:rsidR="00F63213">
        <w:tc>
          <w:tcPr>
            <w:tcW w:w="9288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Системни проверки в държави, които изнасят активни вещества за лекарствени продукти за хуманна употреба в ЕС</w:t>
            </w:r>
          </w:p>
        </w:tc>
      </w:tr>
      <w:tr w:rsidR="00F63213">
        <w:tc>
          <w:tcPr>
            <w:tcW w:w="9288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Административно споразумение със Съвместния изследо</w:t>
            </w:r>
            <w:r>
              <w:rPr>
                <w:rFonts w:ascii="Times New Roman" w:hAnsi="Times New Roman"/>
                <w:noProof/>
                <w:sz w:val="24"/>
              </w:rPr>
              <w:t>вателски център (JRC) за анализа на сигнализирането на инциденти</w:t>
            </w:r>
          </w:p>
        </w:tc>
      </w:tr>
      <w:tr w:rsidR="00F63213">
        <w:tc>
          <w:tcPr>
            <w:tcW w:w="9288" w:type="dxa"/>
            <w:shd w:val="clear" w:color="auto" w:fill="008080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color w:val="FFFFFF"/>
                <w:sz w:val="24"/>
              </w:rPr>
            </w:pPr>
            <w:r>
              <w:rPr>
                <w:rFonts w:ascii="Times New Roman" w:hAnsi="Times New Roman"/>
                <w:noProof/>
                <w:color w:val="FFFFFF"/>
                <w:sz w:val="24"/>
              </w:rPr>
              <w:t>Други действия — продължение</w:t>
            </w:r>
          </w:p>
        </w:tc>
      </w:tr>
      <w:tr w:rsidR="00F63213">
        <w:tc>
          <w:tcPr>
            <w:tcW w:w="9288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Обезщетения за членове на многосекторна и независима експертна група, която дава консултации относно ефективните начини за инвестиране в здравеопазване</w:t>
            </w:r>
          </w:p>
        </w:tc>
      </w:tr>
      <w:tr w:rsidR="00F63213">
        <w:tc>
          <w:tcPr>
            <w:tcW w:w="9288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Админис</w:t>
            </w:r>
            <w:r>
              <w:rPr>
                <w:rFonts w:ascii="Times New Roman" w:hAnsi="Times New Roman"/>
                <w:noProof/>
                <w:sz w:val="24"/>
              </w:rPr>
              <w:t>тративно споразумение с JRC за създаването на устойчива платформа за координация и поддръжка на регистри и мрежи за редки болести</w:t>
            </w:r>
          </w:p>
        </w:tc>
      </w:tr>
      <w:tr w:rsidR="00F63213">
        <w:tc>
          <w:tcPr>
            <w:tcW w:w="9288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Делегиране на Евростат с оглед подобряване на навременното предаване и съпоставимостта на здравните данни</w:t>
            </w:r>
          </w:p>
        </w:tc>
      </w:tr>
      <w:tr w:rsidR="00F63213">
        <w:tc>
          <w:tcPr>
            <w:tcW w:w="9288" w:type="dxa"/>
            <w:shd w:val="clear" w:color="auto" w:fill="auto"/>
          </w:tcPr>
          <w:p w:rsidR="00F63213" w:rsidRDefault="00FE1C1F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Членски внос в </w:t>
            </w:r>
            <w:r>
              <w:rPr>
                <w:rFonts w:ascii="Times New Roman" w:hAnsi="Times New Roman"/>
                <w:noProof/>
                <w:sz w:val="24"/>
              </w:rPr>
              <w:t>Европейския орган за наблюдение на здравните системи и политики</w:t>
            </w:r>
          </w:p>
        </w:tc>
      </w:tr>
    </w:tbl>
    <w:p w:rsidR="00F63213" w:rsidRDefault="00F63213">
      <w:pPr>
        <w:jc w:val="both"/>
        <w:rPr>
          <w:rFonts w:ascii="Times New Roman" w:hAnsi="Times New Roman"/>
          <w:noProof/>
          <w:sz w:val="24"/>
        </w:rPr>
      </w:pPr>
    </w:p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В приложение 10 се намират допълнителни подробности за финансирането, отпуснато за други действия</w:t>
      </w:r>
    </w:p>
    <w:p w:rsidR="00F63213" w:rsidRDefault="00FE1C1F">
      <w:pPr>
        <w:pStyle w:val="ManualHeading1"/>
        <w:rPr>
          <w:noProof/>
        </w:rPr>
      </w:pPr>
      <w:bookmarkStart w:id="61" w:name="_Toc420413896"/>
      <w:bookmarkStart w:id="62" w:name="_Toc388355520"/>
      <w:bookmarkStart w:id="63" w:name="_Toc390420274"/>
      <w:bookmarkStart w:id="64" w:name="_Toc404756140"/>
      <w:bookmarkStart w:id="65" w:name="_Toc388355521"/>
      <w:bookmarkStart w:id="66" w:name="_Toc389636414"/>
      <w:bookmarkStart w:id="67" w:name="_Toc390420275"/>
      <w:bookmarkStart w:id="68" w:name="_Toc404756141"/>
      <w:bookmarkStart w:id="69" w:name="_Toc408392867"/>
      <w:r>
        <w:tab/>
      </w:r>
      <w:r>
        <w:rPr>
          <w:noProof/>
        </w:rPr>
        <w:t>Изпълнение на оперативния бюджет по цели на програмата</w:t>
      </w:r>
      <w:bookmarkEnd w:id="61"/>
      <w:r>
        <w:rPr>
          <w:noProof/>
        </w:rPr>
        <w:t xml:space="preserve"> </w:t>
      </w:r>
      <w:bookmarkEnd w:id="62"/>
      <w:bookmarkEnd w:id="63"/>
      <w:bookmarkEnd w:id="64"/>
    </w:p>
    <w:p w:rsidR="00F63213" w:rsidRDefault="00FE1C1F">
      <w:pPr>
        <w:pStyle w:val="ManualHeading2"/>
        <w:rPr>
          <w:noProof/>
        </w:rPr>
      </w:pPr>
      <w:bookmarkStart w:id="70" w:name="_Toc420413897"/>
      <w:r>
        <w:t>1.8</w:t>
      </w:r>
      <w:r>
        <w:tab/>
      </w:r>
      <w:r>
        <w:rPr>
          <w:noProof/>
        </w:rPr>
        <w:t>Глобално усвояване на бюджета п</w:t>
      </w:r>
      <w:r>
        <w:rPr>
          <w:noProof/>
        </w:rPr>
        <w:t>рез 2013 г.</w:t>
      </w:r>
      <w:bookmarkEnd w:id="70"/>
    </w:p>
    <w:bookmarkEnd w:id="65"/>
    <w:bookmarkEnd w:id="66"/>
    <w:bookmarkEnd w:id="67"/>
    <w:bookmarkEnd w:id="68"/>
    <w:bookmarkEnd w:id="69"/>
    <w:p w:rsidR="00F63213" w:rsidRDefault="00FE1C1F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Графиката по-долу показва как е разпределен бюджетът между трите направления на програмата през 2013 г. Общо 10 980 585,92 EUR са усвоени за здравна сигурност, </w:t>
      </w:r>
      <w:r>
        <w:rPr>
          <w:rFonts w:ascii="Times New Roman" w:hAnsi="Times New Roman"/>
          <w:noProof/>
          <w:sz w:val="24"/>
        </w:rPr>
        <w:br/>
        <w:t>28 739 819,74 EUR — за насърчаване на здравето и 10 167 905,12 EUR — за здравна инф</w:t>
      </w:r>
      <w:r>
        <w:rPr>
          <w:rFonts w:ascii="Times New Roman" w:hAnsi="Times New Roman"/>
          <w:noProof/>
          <w:sz w:val="24"/>
        </w:rPr>
        <w:t>ормация. Последно, 1 682 200,55 EUR са инвестирани в ИТ услуги, необходими за поддръжката на тези три направления.</w:t>
      </w:r>
    </w:p>
    <w:p w:rsidR="00F63213" w:rsidRDefault="00FE1C1F">
      <w:pPr>
        <w:pStyle w:val="ManualHeading2"/>
        <w:rPr>
          <w:noProof/>
        </w:rPr>
      </w:pPr>
      <w:bookmarkStart w:id="71" w:name="_Toc420413898"/>
      <w:bookmarkStart w:id="72" w:name="_Toc388355522"/>
      <w:bookmarkStart w:id="73" w:name="_Toc389636415"/>
      <w:bookmarkStart w:id="74" w:name="_Toc390420276"/>
      <w:bookmarkStart w:id="75" w:name="_Toc404756142"/>
      <w:bookmarkStart w:id="76" w:name="_Toc408392868"/>
      <w:r>
        <w:lastRenderedPageBreak/>
        <w:t>1.9</w:t>
      </w:r>
      <w:r>
        <w:tab/>
      </w:r>
      <w:r>
        <w:rPr>
          <w:noProof/>
        </w:rPr>
        <w:t>Здравна сигурност</w:t>
      </w:r>
      <w:bookmarkEnd w:id="71"/>
    </w:p>
    <w:p w:rsidR="00F63213" w:rsidRDefault="00FE1C1F">
      <w:pPr>
        <w:keepNext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10 980 585,92 EUR – 22 % от оперативния бюджет за 2013 г.</w:t>
      </w:r>
      <w:bookmarkEnd w:id="72"/>
      <w:bookmarkEnd w:id="73"/>
      <w:bookmarkEnd w:id="74"/>
      <w:bookmarkEnd w:id="75"/>
      <w:bookmarkEnd w:id="76"/>
    </w:p>
    <w:p w:rsidR="00F63213" w:rsidRDefault="00FE1C1F">
      <w:pPr>
        <w:keepNext/>
        <w:spacing w:before="120" w:after="120" w:line="240" w:lineRule="auto"/>
        <w:ind w:left="850"/>
        <w:jc w:val="center"/>
        <w:rPr>
          <w:rFonts w:ascii="Times New Roman" w:hAnsi="Times New Roman"/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4547870" cy="29019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13" w:rsidRDefault="00FE1C1F">
      <w:pPr>
        <w:pStyle w:val="ManualHeading2"/>
        <w:rPr>
          <w:noProof/>
        </w:rPr>
      </w:pPr>
      <w:bookmarkStart w:id="77" w:name="_Toc420413899"/>
      <w:bookmarkStart w:id="78" w:name="_Toc388355523"/>
      <w:bookmarkStart w:id="79" w:name="_Toc389636416"/>
      <w:bookmarkStart w:id="80" w:name="_Toc390420277"/>
      <w:bookmarkStart w:id="81" w:name="_Toc404756143"/>
      <w:bookmarkStart w:id="82" w:name="_Toc408392869"/>
      <w:r>
        <w:t>1.10</w:t>
      </w:r>
      <w:r>
        <w:tab/>
      </w:r>
      <w:r>
        <w:rPr>
          <w:noProof/>
        </w:rPr>
        <w:t>Насърчаване на здравето</w:t>
      </w:r>
      <w:bookmarkEnd w:id="77"/>
      <w:r>
        <w:rPr>
          <w:noProof/>
        </w:rPr>
        <w:t xml:space="preserve"> </w:t>
      </w:r>
    </w:p>
    <w:p w:rsidR="00F63213" w:rsidRDefault="00FE1C1F">
      <w:pPr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28 739 819,74 EUR– 58 % от оп</w:t>
      </w:r>
      <w:r>
        <w:rPr>
          <w:rFonts w:ascii="Times New Roman" w:hAnsi="Times New Roman"/>
          <w:noProof/>
          <w:sz w:val="24"/>
        </w:rPr>
        <w:t>еративния бюджет за 2013 г.</w:t>
      </w:r>
      <w:bookmarkEnd w:id="78"/>
      <w:bookmarkEnd w:id="79"/>
      <w:bookmarkEnd w:id="80"/>
      <w:bookmarkEnd w:id="81"/>
      <w:bookmarkEnd w:id="82"/>
    </w:p>
    <w:p w:rsidR="00F63213" w:rsidRDefault="00F63213">
      <w:pPr>
        <w:pStyle w:val="Text1"/>
        <w:rPr>
          <w:noProof/>
        </w:rPr>
      </w:pPr>
    </w:p>
    <w:p w:rsidR="00F63213" w:rsidRDefault="00FE1C1F">
      <w:pPr>
        <w:spacing w:before="120" w:after="120" w:line="240" w:lineRule="auto"/>
        <w:ind w:left="850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4547870" cy="276733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13" w:rsidRDefault="00F63213">
      <w:pPr>
        <w:jc w:val="both"/>
        <w:rPr>
          <w:rFonts w:ascii="Times New Roman" w:hAnsi="Times New Roman"/>
          <w:noProof/>
        </w:rPr>
      </w:pPr>
    </w:p>
    <w:p w:rsidR="00F63213" w:rsidRDefault="00F63213">
      <w:pPr>
        <w:spacing w:after="0"/>
        <w:jc w:val="both"/>
        <w:rPr>
          <w:rFonts w:ascii="Times New Roman" w:hAnsi="Times New Roman"/>
          <w:noProof/>
        </w:rPr>
      </w:pPr>
    </w:p>
    <w:p w:rsidR="00BE2951" w:rsidRDefault="00BE2951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3" w:name="_Toc420413900"/>
      <w:bookmarkStart w:id="84" w:name="_Toc388355524"/>
      <w:bookmarkStart w:id="85" w:name="_Toc389636417"/>
      <w:bookmarkStart w:id="86" w:name="_Toc390420278"/>
      <w:bookmarkStart w:id="87" w:name="_Toc404756144"/>
      <w:bookmarkStart w:id="88" w:name="_Toc408392870"/>
      <w:r>
        <w:br w:type="page"/>
      </w:r>
    </w:p>
    <w:p w:rsidR="00F63213" w:rsidRDefault="00FE1C1F">
      <w:pPr>
        <w:pStyle w:val="ManualHeading2"/>
        <w:rPr>
          <w:noProof/>
        </w:rPr>
      </w:pPr>
      <w:r>
        <w:lastRenderedPageBreak/>
        <w:t>1.11</w:t>
      </w:r>
      <w:r>
        <w:tab/>
      </w:r>
      <w:r>
        <w:rPr>
          <w:noProof/>
        </w:rPr>
        <w:t>Здравна информация</w:t>
      </w:r>
      <w:r>
        <w:rPr>
          <w:rStyle w:val="FootnoteReference"/>
          <w:noProof/>
        </w:rPr>
        <w:footnoteReference w:id="17"/>
      </w:r>
      <w:bookmarkEnd w:id="83"/>
    </w:p>
    <w:p w:rsidR="00F63213" w:rsidRDefault="00FE1C1F">
      <w:pPr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10 176 864,42 EUR – 20 % оперативния бюджет за 20</w:t>
      </w:r>
      <w:bookmarkEnd w:id="84"/>
      <w:bookmarkEnd w:id="85"/>
      <w:bookmarkEnd w:id="86"/>
      <w:r>
        <w:rPr>
          <w:rFonts w:ascii="Times New Roman" w:hAnsi="Times New Roman"/>
          <w:noProof/>
          <w:sz w:val="24"/>
        </w:rPr>
        <w:t>13 г.</w:t>
      </w:r>
      <w:bookmarkEnd w:id="87"/>
      <w:bookmarkEnd w:id="88"/>
    </w:p>
    <w:p w:rsidR="00F63213" w:rsidRDefault="00FE1C1F">
      <w:pPr>
        <w:jc w:val="center"/>
        <w:rPr>
          <w:rFonts w:ascii="Times New Roman" w:hAnsi="Times New Roman"/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4686300" cy="2876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13" w:rsidRDefault="00F63213">
      <w:pPr>
        <w:rPr>
          <w:noProof/>
        </w:rPr>
      </w:pPr>
    </w:p>
    <w:sectPr w:rsidR="00F6321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1F" w:rsidRDefault="00FE1C1F">
      <w:pPr>
        <w:spacing w:after="0" w:line="240" w:lineRule="auto"/>
      </w:pPr>
      <w:r>
        <w:separator/>
      </w:r>
    </w:p>
  </w:endnote>
  <w:endnote w:type="continuationSeparator" w:id="0">
    <w:p w:rsidR="00FE1C1F" w:rsidRDefault="00FE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13" w:rsidRDefault="00F63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13" w:rsidRDefault="00FE1C1F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13" w:rsidRDefault="00F6321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13" w:rsidRDefault="00F6321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784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213" w:rsidRDefault="00FE1C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9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3213" w:rsidRDefault="00F6321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13" w:rsidRDefault="00F63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1F" w:rsidRDefault="00FE1C1F">
      <w:pPr>
        <w:spacing w:after="0" w:line="240" w:lineRule="auto"/>
      </w:pPr>
      <w:r>
        <w:separator/>
      </w:r>
    </w:p>
  </w:footnote>
  <w:footnote w:type="continuationSeparator" w:id="0">
    <w:p w:rsidR="00FE1C1F" w:rsidRDefault="00FE1C1F">
      <w:pPr>
        <w:spacing w:after="0" w:line="240" w:lineRule="auto"/>
      </w:pPr>
      <w:r>
        <w:continuationSeparator/>
      </w:r>
    </w:p>
  </w:footnote>
  <w:footnote w:id="1">
    <w:p w:rsidR="00F63213" w:rsidRDefault="00FE1C1F"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1">
        <w:r>
          <w:rPr>
            <w:rStyle w:val="Hyperlink"/>
            <w:rFonts w:ascii="Times New Roman" w:hAnsi="Times New Roman"/>
          </w:rPr>
          <w:t>http://ec.europa.eu/health/strategy/policy/index_bg.htm</w:t>
        </w:r>
      </w:hyperlink>
      <w:r>
        <w:rPr>
          <w:rFonts w:ascii="Times New Roman" w:hAnsi="Times New Roman"/>
        </w:rPr>
        <w:t>.</w:t>
      </w:r>
    </w:p>
  </w:footnote>
  <w:footnote w:id="2">
    <w:p w:rsidR="00F63213" w:rsidRDefault="00FE1C1F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ОВ C 378/07, 8.12.2012 г. стр. 6</w:t>
      </w:r>
    </w:p>
  </w:footnote>
  <w:footnote w:id="3">
    <w:p w:rsidR="00F63213" w:rsidRDefault="00FE1C1F"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Решение 2004/858/ЕО от 15 декември 2004 г. (OВ L 369, 16.12.2005 г., стр. 73), изменено с Решение 2008/544/ЕО от 20 юни 2008 г. (OВ L 173, 3.7.2008 г., стр. </w:t>
      </w:r>
      <w:r>
        <w:rPr>
          <w:rFonts w:ascii="Times New Roman" w:hAnsi="Times New Roman"/>
        </w:rPr>
        <w:t>27).</w:t>
      </w:r>
    </w:p>
  </w:footnote>
  <w:footnote w:id="4">
    <w:p w:rsidR="00F63213" w:rsidRDefault="00FE1C1F"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ОВ C 378/07, 8.12.2012 г.</w:t>
      </w:r>
    </w:p>
  </w:footnote>
  <w:footnote w:id="5">
    <w:p w:rsidR="00F63213" w:rsidRDefault="00FE1C1F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Определението за „особена полза на проекти“ е посочено в приложение VІІ към Решение за изпълнение на Комисията </w:t>
      </w:r>
      <w:r>
        <w:tab/>
      </w:r>
      <w:r>
        <w:rPr>
          <w:rFonts w:ascii="Times New Roman" w:hAnsi="Times New Roman"/>
        </w:rPr>
        <w:t>за приемане на плана за работа в рамките на втората Програма за действие на Общността в областта на здравет</w:t>
      </w:r>
      <w:r>
        <w:rPr>
          <w:rFonts w:ascii="Times New Roman" w:hAnsi="Times New Roman"/>
        </w:rPr>
        <w:t xml:space="preserve">о (2008—2013 г.), на критериите за подбор и предоставяне и на другите критерии за финансово участие в дейностите по тази програма, както и относно плащанията на ЕС по Рамковата конвенция за контрол на тютюна на СЗО, имащо силата на решение за финансиране, </w:t>
      </w:r>
      <w:r>
        <w:rPr>
          <w:rFonts w:ascii="Times New Roman" w:hAnsi="Times New Roman"/>
        </w:rPr>
        <w:t>OВ 378, 8.12.2012 г.</w:t>
      </w:r>
    </w:p>
  </w:footnote>
  <w:footnote w:id="6">
    <w:p w:rsidR="00F63213" w:rsidRDefault="00FE1C1F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Определението за „особена полза на проекти“ е посочено в същото приложение.</w:t>
      </w:r>
    </w:p>
  </w:footnote>
  <w:footnote w:id="7">
    <w:p w:rsidR="00F63213" w:rsidRDefault="00FE1C1F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Определението за „особена полза на съвместните действия“ също е посочено в същото приложение.</w:t>
      </w:r>
    </w:p>
  </w:footnote>
  <w:footnote w:id="8">
    <w:p w:rsidR="00F63213" w:rsidRDefault="00FE1C1F"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 xml:space="preserve">Все още неусвоени предприсъединителни кредити, разлики </w:t>
      </w:r>
      <w:r>
        <w:rPr>
          <w:rFonts w:ascii="Times New Roman" w:hAnsi="Times New Roman"/>
        </w:rPr>
        <w:t>между сумите в решението за възлагане на поръчката и действително договорените суми</w:t>
      </w:r>
    </w:p>
  </w:footnote>
  <w:footnote w:id="9">
    <w:p w:rsidR="00F63213" w:rsidRDefault="00FE1C1F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2">
        <w:r>
          <w:rPr>
            <w:rStyle w:val="Hyperlink"/>
            <w:rFonts w:ascii="Times New Roman" w:hAnsi="Times New Roman"/>
          </w:rPr>
          <w:t>http://ec.europa.eu/health/programme/policy/index_bg.html</w:t>
        </w:r>
      </w:hyperlink>
      <w:r>
        <w:rPr>
          <w:rFonts w:ascii="Times New Roman" w:hAnsi="Times New Roman"/>
        </w:rPr>
        <w:t>.</w:t>
      </w:r>
    </w:p>
  </w:footnote>
  <w:footnote w:id="10">
    <w:p w:rsidR="00F63213" w:rsidRDefault="00FE1C1F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3">
        <w:r>
          <w:rPr>
            <w:rStyle w:val="Hyperlink"/>
            <w:rFonts w:ascii="Times New Roman" w:hAnsi="Times New Roman"/>
          </w:rPr>
          <w:t>http://ec.europa.eu/chafea/health/</w:t>
        </w:r>
      </w:hyperlink>
      <w:r>
        <w:rPr>
          <w:rFonts w:ascii="Times New Roman" w:hAnsi="Times New Roman"/>
        </w:rPr>
        <w:t>.</w:t>
      </w:r>
    </w:p>
  </w:footnote>
  <w:footnote w:id="11">
    <w:p w:rsidR="00F63213" w:rsidRDefault="00FE1C1F">
      <w:pPr>
        <w:pStyle w:val="FootnoteText"/>
        <w:tabs>
          <w:tab w:val="left" w:pos="720"/>
          <w:tab w:val="left" w:pos="1440"/>
          <w:tab w:val="left" w:pos="2160"/>
          <w:tab w:val="left" w:pos="2880"/>
          <w:tab w:val="left" w:pos="5385"/>
        </w:tabs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 xml:space="preserve">ОВ C 394/36, 20.12.2012 г. </w:t>
      </w:r>
    </w:p>
  </w:footnote>
  <w:footnote w:id="12">
    <w:p w:rsidR="00F63213" w:rsidRDefault="00FE1C1F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ОВ C 378/07, 8.12.2012 г.</w:t>
      </w:r>
    </w:p>
  </w:footnote>
  <w:footnote w:id="13">
    <w:p w:rsidR="00F63213" w:rsidRDefault="00FE1C1F"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tab/>
        <w:t xml:space="preserve">ОВ </w:t>
      </w:r>
      <w:r>
        <w:rPr>
          <w:rFonts w:ascii="Times New Roman" w:hAnsi="Times New Roman"/>
        </w:rPr>
        <w:t>S 040-065407, 26.2. 2014 г.</w:t>
      </w:r>
      <w:r>
        <w:t xml:space="preserve">. </w:t>
      </w:r>
      <w:r>
        <w:rPr>
          <w:rFonts w:ascii="Times New Roman" w:hAnsi="Times New Roman"/>
        </w:rPr>
        <w:t xml:space="preserve">и </w:t>
      </w:r>
      <w:hyperlink r:id="rId4" w:history="1">
        <w:r>
          <w:rPr>
            <w:rStyle w:val="Hyperlink"/>
            <w:rFonts w:ascii="Times New Roman" w:hAnsi="Times New Roman"/>
          </w:rPr>
          <w:t>http://ec.europa.eu/chafea/ami/</w:t>
        </w:r>
      </w:hyperlink>
      <w:r>
        <w:rPr>
          <w:rFonts w:ascii="Times New Roman" w:hAnsi="Times New Roman"/>
        </w:rPr>
        <w:t>..</w:t>
      </w:r>
    </w:p>
  </w:footnote>
  <w:footnote w:id="14">
    <w:p w:rsidR="00F63213" w:rsidRDefault="00FE1C1F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5">
        <w:r>
          <w:rPr>
            <w:rStyle w:val="Hyperlink"/>
            <w:rFonts w:ascii="Times New Roman" w:hAnsi="Times New Roman"/>
          </w:rPr>
          <w:t>http://ec.europa.eu/health/programme/docs/award_decision2013_en.pdf</w:t>
        </w:r>
      </w:hyperlink>
      <w:r>
        <w:rPr>
          <w:rFonts w:ascii="Times New Roman" w:hAnsi="Times New Roman"/>
        </w:rPr>
        <w:t>.</w:t>
      </w:r>
    </w:p>
  </w:footnote>
  <w:footnote w:id="15">
    <w:p w:rsidR="00F63213" w:rsidRDefault="00FE1C1F"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6">
        <w:r>
          <w:rPr>
            <w:rStyle w:val="Hyperlink"/>
            <w:rFonts w:ascii="Times New Roman" w:hAnsi="Times New Roman"/>
          </w:rPr>
          <w:t>http://ec.europa.eu/chafea/projects/database.</w:t>
        </w:r>
        <w:r>
          <w:rPr>
            <w:rStyle w:val="Hyperlink"/>
            <w:rFonts w:ascii="Times New Roman" w:hAnsi="Times New Roman"/>
          </w:rPr>
          <w:t>html</w:t>
        </w:r>
      </w:hyperlink>
      <w:r>
        <w:rPr>
          <w:rFonts w:ascii="Times New Roman" w:hAnsi="Times New Roman"/>
        </w:rPr>
        <w:t>.</w:t>
      </w:r>
    </w:p>
  </w:footnote>
  <w:footnote w:id="16">
    <w:p w:rsidR="00F63213" w:rsidRDefault="00FE1C1F"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ОВ L 241, 10.9.2008 г., стр. 21.</w:t>
      </w:r>
    </w:p>
  </w:footnote>
  <w:footnote w:id="17">
    <w:p w:rsidR="00F63213" w:rsidRDefault="00FE1C1F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По това направление нямаше финансирани проекти или съвместни действия. Поради това тези конкретни механизми за финансиране не са включени в таблицата.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13" w:rsidRDefault="00F63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13" w:rsidRDefault="00F6321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13" w:rsidRDefault="00F6321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13" w:rsidRDefault="00F6321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13" w:rsidRDefault="00F6321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13" w:rsidRDefault="00F63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9AA6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6FC64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2A06A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F36B9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88CFC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F8CFF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1F63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0329818"/>
    <w:name w:val="0,4131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E6D125E"/>
    <w:multiLevelType w:val="multilevel"/>
    <w:tmpl w:val="191A69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B3C78B8"/>
    <w:multiLevelType w:val="multilevel"/>
    <w:tmpl w:val="2ED4F4D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4E746BF7"/>
    <w:multiLevelType w:val="hybridMultilevel"/>
    <w:tmpl w:val="7A94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91591"/>
    <w:multiLevelType w:val="multilevel"/>
    <w:tmpl w:val="C830590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9A378E8"/>
    <w:multiLevelType w:val="hybridMultilevel"/>
    <w:tmpl w:val="4E50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1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4A12FA4"/>
    <w:multiLevelType w:val="multilevel"/>
    <w:tmpl w:val="B0C631D4"/>
    <w:name w:val="Heading 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663977AF"/>
    <w:multiLevelType w:val="hybridMultilevel"/>
    <w:tmpl w:val="789A437E"/>
    <w:name w:val="0,8244091"/>
    <w:lvl w:ilvl="0" w:tplc="1F86C70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>
    <w:nsid w:val="67E20E7B"/>
    <w:multiLevelType w:val="hybridMultilevel"/>
    <w:tmpl w:val="65B0A66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3"/>
  </w:num>
  <w:num w:numId="5">
    <w:abstractNumId w:val="25"/>
  </w:num>
  <w:num w:numId="6">
    <w:abstractNumId w:val="12"/>
  </w:num>
  <w:num w:numId="7">
    <w:abstractNumId w:val="14"/>
  </w:num>
  <w:num w:numId="8">
    <w:abstractNumId w:val="10"/>
  </w:num>
  <w:num w:numId="9">
    <w:abstractNumId w:val="15"/>
  </w:num>
  <w:num w:numId="10">
    <w:abstractNumId w:val="20"/>
  </w:num>
  <w:num w:numId="11">
    <w:abstractNumId w:val="21"/>
  </w:num>
  <w:num w:numId="12">
    <w:abstractNumId w:val="11"/>
  </w:num>
  <w:num w:numId="13">
    <w:abstractNumId w:val="18"/>
  </w:num>
  <w:num w:numId="14">
    <w:abstractNumId w:val="27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24"/>
  </w:num>
  <w:num w:numId="20">
    <w:abstractNumId w:val="17"/>
  </w:num>
  <w:num w:numId="21">
    <w:abstractNumId w:val="9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9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405F26F27C1648A6A6D94DFA52A6FA2F"/>
    <w:docVar w:name="LW_CROSSREFERENCE" w:val="{SWD(2015) 122 final}"/>
    <w:docVar w:name="LW_DocType" w:val="NORMAL"/>
    <w:docVar w:name="LW_EMISSION" w:val="22.6.2015"/>
    <w:docVar w:name="LW_EMISSION_ISODATE" w:val="2015-06-22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306"/>
    <w:docVar w:name="LW_REF.INTERNE" w:val="&lt;UNUSED&gt;"/>
    <w:docVar w:name="LW_SOUS.TITRE.OBJ.CP" w:val="&lt;UNUSED&gt;"/>
    <w:docVar w:name="LW_SUPERTITRE" w:val="&lt;UNUSED&gt;"/>
    <w:docVar w:name="LW_TITRE.OBJ.CP" w:val="\u1048?\u1079?\u1087?\u1098?\u1083?\u1085?\u1077?\u1085?\u1080?\u1077? \u1085?\u1072? \u1074?\u1090?\u1086?\u1088?\u1072?\u1090?\u1072? \u1055?\u1088?\u1086?\u1075?\u1088?\u1072?\u1084?\u1072? \u1079?\u1072? \u1076?\u1077?\u1081?\u1089?\u1090?\u1074?\u1080?\u1077? \u1085?\u1072? \u1054?\u1073?\u1097?\u1085?\u1086?\u1089?\u1090?\u1090?\u1072? \u1074? \u1086?\u1073?\u1083?\u1072?\u1089?\u1090?\u1090?\u1072? \u1085?\u1072? \u1079?\u1076?\u1088?\u1072?\u1074?\u1077?\u1090?\u1086? \u1087?\u1088?\u1077?\u1079? 2013 \u1075?.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w:rsids>
    <w:rsidRoot w:val="00F63213"/>
    <w:rsid w:val="00BE2951"/>
    <w:rsid w:val="00F63213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40"/>
        <w:tab w:val="right" w:leader="dot" w:pos="9063"/>
      </w:tabs>
    </w:pPr>
    <w:rPr>
      <w:rFonts w:ascii="Times New Roman" w:eastAsia="Calibri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ind w:left="440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880"/>
        <w:tab w:val="right" w:leader="dot" w:pos="9063"/>
      </w:tabs>
      <w:spacing w:after="100"/>
      <w:ind w:left="220"/>
    </w:pPr>
    <w:rPr>
      <w:rFonts w:ascii="Times New Roman" w:eastAsia="Arial Unicode MS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PlainText">
    <w:name w:val="Plain Text"/>
    <w:basedOn w:val="Normal"/>
    <w:link w:val="PlainTextChar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unhideWhenUsed/>
    <w:rPr>
      <w:color w:val="800080"/>
      <w:u w:val="single"/>
    </w:r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Pr>
      <w:vertAlign w:val="superscript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3"/>
      </w:numPr>
    </w:pPr>
  </w:style>
  <w:style w:type="paragraph" w:customStyle="1" w:styleId="Tiret1">
    <w:name w:val="Tiret 1"/>
    <w:basedOn w:val="Point1"/>
    <w:pPr>
      <w:numPr>
        <w:numId w:val="4"/>
      </w:numPr>
    </w:pPr>
  </w:style>
  <w:style w:type="paragraph" w:customStyle="1" w:styleId="Tiret2">
    <w:name w:val="Tiret 2"/>
    <w:basedOn w:val="Point2"/>
    <w:pPr>
      <w:numPr>
        <w:numId w:val="5"/>
      </w:numPr>
    </w:pPr>
  </w:style>
  <w:style w:type="paragraph" w:customStyle="1" w:styleId="Tiret3">
    <w:name w:val="Tiret 3"/>
    <w:basedOn w:val="Point3"/>
    <w:pPr>
      <w:numPr>
        <w:numId w:val="6"/>
      </w:numPr>
    </w:pPr>
  </w:style>
  <w:style w:type="paragraph" w:customStyle="1" w:styleId="Tiret4">
    <w:name w:val="Tiret 4"/>
    <w:basedOn w:val="Point4"/>
    <w:pPr>
      <w:numPr>
        <w:numId w:val="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uiPriority w:val="39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pPr>
      <w:numPr>
        <w:numId w:val="17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pPr>
      <w:numPr>
        <w:numId w:val="1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">
    <w:name w:val="List Dash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numbering" w:styleId="111111">
    <w:name w:val="Outline List 2"/>
    <w:basedOn w:val="NoList"/>
    <w:pPr>
      <w:numPr>
        <w:numId w:val="20"/>
      </w:numPr>
    </w:pPr>
  </w:style>
  <w:style w:type="character" w:styleId="PageNumber">
    <w:name w:val="page number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pPr>
      <w:numPr>
        <w:numId w:val="2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pPr>
      <w:numPr>
        <w:numId w:val="23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pPr>
      <w:numPr>
        <w:numId w:val="24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pPr>
      <w:numPr>
        <w:numId w:val="2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edudocumentChar">
    <w:name w:val="Type du document Char"/>
    <w:link w:val="Typedudocument"/>
    <w:rPr>
      <w:rFonts w:ascii="Times New Roman" w:eastAsia="Times New Roman" w:hAnsi="Times New Roman" w:cs="Times New Roman"/>
      <w:b/>
      <w:sz w:val="24"/>
      <w:szCs w:val="24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Calibri" w:hAnsi="Tahoma" w:cs="Tahoma"/>
      <w:shd w:val="clear" w:color="auto" w:fill="000080"/>
    </w:rPr>
  </w:style>
  <w:style w:type="paragraph" w:customStyle="1" w:styleId="EntInstit">
    <w:name w:val="EntInstit"/>
    <w:basedOn w:val="NormalConseil"/>
    <w:pPr>
      <w:jc w:val="right"/>
    </w:pPr>
    <w:rPr>
      <w:b/>
    </w:rPr>
  </w:style>
  <w:style w:type="paragraph" w:customStyle="1" w:styleId="NormalConseil">
    <w:name w:val="NormalConseil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tRefer">
    <w:name w:val="EntRefer"/>
    <w:basedOn w:val="NormalConseil"/>
    <w:rPr>
      <w:b/>
    </w:rPr>
  </w:style>
  <w:style w:type="paragraph" w:customStyle="1" w:styleId="EntEmet">
    <w:name w:val="EntEmet"/>
    <w:basedOn w:val="NormalConsei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</w:style>
  <w:style w:type="paragraph" w:customStyle="1" w:styleId="EntLogo">
    <w:name w:val="EntLogo"/>
    <w:basedOn w:val="NormalConseil"/>
    <w:next w:val="EntInstit"/>
    <w:pPr>
      <w:spacing w:line="360" w:lineRule="auto"/>
    </w:pPr>
    <w:rPr>
      <w:b/>
    </w:rPr>
  </w:style>
  <w:style w:type="paragraph" w:customStyle="1" w:styleId="FooterConseil">
    <w:name w:val="FooterConseil"/>
    <w:basedOn w:val="NormalConseil"/>
    <w:pPr>
      <w:tabs>
        <w:tab w:val="center" w:pos="4820"/>
        <w:tab w:val="center" w:pos="7371"/>
        <w:tab w:val="right" w:pos="9639"/>
      </w:tabs>
    </w:pPr>
  </w:style>
  <w:style w:type="paragraph" w:styleId="NormalWeb">
    <w:name w:val="Normal (Web)"/>
    <w:basedOn w:val="Normal"/>
    <w:uiPriority w:val="99"/>
    <w:semiHidden/>
    <w:unhideWhenUsed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1111111">
    <w:name w:val="1 / 1.1 / 1.1.11"/>
    <w:basedOn w:val="NoList"/>
    <w:next w:val="111111"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</w:style>
  <w:style w:type="table" w:styleId="LightList-Accent4">
    <w:name w:val="Light List Accent 4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40"/>
        <w:tab w:val="right" w:leader="dot" w:pos="9063"/>
      </w:tabs>
    </w:pPr>
    <w:rPr>
      <w:rFonts w:ascii="Times New Roman" w:eastAsia="Calibri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ind w:left="440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880"/>
        <w:tab w:val="right" w:leader="dot" w:pos="9063"/>
      </w:tabs>
      <w:spacing w:after="100"/>
      <w:ind w:left="220"/>
    </w:pPr>
    <w:rPr>
      <w:rFonts w:ascii="Times New Roman" w:eastAsia="Arial Unicode MS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PlainText">
    <w:name w:val="Plain Text"/>
    <w:basedOn w:val="Normal"/>
    <w:link w:val="PlainTextChar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unhideWhenUsed/>
    <w:rPr>
      <w:color w:val="800080"/>
      <w:u w:val="single"/>
    </w:r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Pr>
      <w:vertAlign w:val="superscript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3"/>
      </w:numPr>
    </w:pPr>
  </w:style>
  <w:style w:type="paragraph" w:customStyle="1" w:styleId="Tiret1">
    <w:name w:val="Tiret 1"/>
    <w:basedOn w:val="Point1"/>
    <w:pPr>
      <w:numPr>
        <w:numId w:val="4"/>
      </w:numPr>
    </w:pPr>
  </w:style>
  <w:style w:type="paragraph" w:customStyle="1" w:styleId="Tiret2">
    <w:name w:val="Tiret 2"/>
    <w:basedOn w:val="Point2"/>
    <w:pPr>
      <w:numPr>
        <w:numId w:val="5"/>
      </w:numPr>
    </w:pPr>
  </w:style>
  <w:style w:type="paragraph" w:customStyle="1" w:styleId="Tiret3">
    <w:name w:val="Tiret 3"/>
    <w:basedOn w:val="Point3"/>
    <w:pPr>
      <w:numPr>
        <w:numId w:val="6"/>
      </w:numPr>
    </w:pPr>
  </w:style>
  <w:style w:type="paragraph" w:customStyle="1" w:styleId="Tiret4">
    <w:name w:val="Tiret 4"/>
    <w:basedOn w:val="Point4"/>
    <w:pPr>
      <w:numPr>
        <w:numId w:val="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uiPriority w:val="39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pPr>
      <w:numPr>
        <w:numId w:val="17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pPr>
      <w:numPr>
        <w:numId w:val="1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">
    <w:name w:val="List Dash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numbering" w:styleId="111111">
    <w:name w:val="Outline List 2"/>
    <w:basedOn w:val="NoList"/>
    <w:pPr>
      <w:numPr>
        <w:numId w:val="20"/>
      </w:numPr>
    </w:pPr>
  </w:style>
  <w:style w:type="character" w:styleId="PageNumber">
    <w:name w:val="page number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pPr>
      <w:numPr>
        <w:numId w:val="2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pPr>
      <w:numPr>
        <w:numId w:val="23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pPr>
      <w:numPr>
        <w:numId w:val="24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pPr>
      <w:numPr>
        <w:numId w:val="2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edudocumentChar">
    <w:name w:val="Type du document Char"/>
    <w:link w:val="Typedudocument"/>
    <w:rPr>
      <w:rFonts w:ascii="Times New Roman" w:eastAsia="Times New Roman" w:hAnsi="Times New Roman" w:cs="Times New Roman"/>
      <w:b/>
      <w:sz w:val="24"/>
      <w:szCs w:val="24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Calibri" w:hAnsi="Tahoma" w:cs="Tahoma"/>
      <w:shd w:val="clear" w:color="auto" w:fill="000080"/>
    </w:rPr>
  </w:style>
  <w:style w:type="paragraph" w:customStyle="1" w:styleId="EntInstit">
    <w:name w:val="EntInstit"/>
    <w:basedOn w:val="NormalConseil"/>
    <w:pPr>
      <w:jc w:val="right"/>
    </w:pPr>
    <w:rPr>
      <w:b/>
    </w:rPr>
  </w:style>
  <w:style w:type="paragraph" w:customStyle="1" w:styleId="NormalConseil">
    <w:name w:val="NormalConseil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tRefer">
    <w:name w:val="EntRefer"/>
    <w:basedOn w:val="NormalConseil"/>
    <w:rPr>
      <w:b/>
    </w:rPr>
  </w:style>
  <w:style w:type="paragraph" w:customStyle="1" w:styleId="EntEmet">
    <w:name w:val="EntEmet"/>
    <w:basedOn w:val="NormalConsei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</w:style>
  <w:style w:type="paragraph" w:customStyle="1" w:styleId="EntLogo">
    <w:name w:val="EntLogo"/>
    <w:basedOn w:val="NormalConseil"/>
    <w:next w:val="EntInstit"/>
    <w:pPr>
      <w:spacing w:line="360" w:lineRule="auto"/>
    </w:pPr>
    <w:rPr>
      <w:b/>
    </w:rPr>
  </w:style>
  <w:style w:type="paragraph" w:customStyle="1" w:styleId="FooterConseil">
    <w:name w:val="FooterConseil"/>
    <w:basedOn w:val="NormalConseil"/>
    <w:pPr>
      <w:tabs>
        <w:tab w:val="center" w:pos="4820"/>
        <w:tab w:val="center" w:pos="7371"/>
        <w:tab w:val="right" w:pos="9639"/>
      </w:tabs>
    </w:pPr>
  </w:style>
  <w:style w:type="paragraph" w:styleId="NormalWeb">
    <w:name w:val="Normal (Web)"/>
    <w:basedOn w:val="Normal"/>
    <w:uiPriority w:val="99"/>
    <w:semiHidden/>
    <w:unhideWhenUsed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1111111">
    <w:name w:val="1 / 1.1 / 1.1.11"/>
    <w:basedOn w:val="NoList"/>
    <w:next w:val="111111"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</w:style>
  <w:style w:type="table" w:styleId="LightList-Accent4">
    <w:name w:val="Light List Accent 4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chafea/health/" TargetMode="External"/><Relationship Id="rId2" Type="http://schemas.openxmlformats.org/officeDocument/2006/relationships/hyperlink" Target="http://ec.europa.eu/health/programme/policy/index_bg.html" TargetMode="External"/><Relationship Id="rId1" Type="http://schemas.openxmlformats.org/officeDocument/2006/relationships/hyperlink" Target="http://ec.europa.eu/health/strategy/policy/index_bg.htm" TargetMode="External"/><Relationship Id="rId6" Type="http://schemas.openxmlformats.org/officeDocument/2006/relationships/hyperlink" Target="http://ec.europa.eu/chafea/projects/database.html" TargetMode="External"/><Relationship Id="rId5" Type="http://schemas.openxmlformats.org/officeDocument/2006/relationships/hyperlink" Target="http://ec.europa.eu/health/programme/docs/award_decision2013_en.pdf" TargetMode="External"/><Relationship Id="rId4" Type="http://schemas.openxmlformats.org/officeDocument/2006/relationships/hyperlink" Target="http://ec.europa.eu/chafea/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2BD5-0045-4506-AB3C-F41FC47D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18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38</cp:revision>
  <cp:lastPrinted>2015-04-17T11:35:00Z</cp:lastPrinted>
  <dcterms:created xsi:type="dcterms:W3CDTF">2015-04-28T10:28:00Z</dcterms:created>
  <dcterms:modified xsi:type="dcterms:W3CDTF">2015-06-12T09:36:00Z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