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AE" w:rsidRPr="00000560" w:rsidRDefault="00000560" w:rsidP="00000560">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73a8e331-f451-4b1d-8817-5094f0176347_0" style="width:568.5pt;height:388.15pt">
            <v:imagedata r:id="rId9" o:title=""/>
          </v:shape>
        </w:pict>
      </w:r>
      <w:bookmarkEnd w:id="0"/>
    </w:p>
    <w:p w:rsidR="008B69E4" w:rsidRPr="00D86D51" w:rsidRDefault="008B69E4" w:rsidP="008B69E4">
      <w:pPr>
        <w:pStyle w:val="TechnicalBlock"/>
        <w:ind w:left="-1134" w:right="-1134"/>
        <w:sectPr w:rsidR="008B69E4" w:rsidRPr="00D86D51" w:rsidSect="00000560">
          <w:footerReference w:type="default" r:id="rId10"/>
          <w:footerReference w:type="first" r:id="rId11"/>
          <w:pgSz w:w="11907" w:h="16840" w:code="9"/>
          <w:pgMar w:top="624" w:right="1134" w:bottom="1134" w:left="1134" w:header="567" w:footer="567" w:gutter="0"/>
          <w:pgNumType w:start="1"/>
          <w:cols w:space="708"/>
          <w:titlePg/>
          <w:docGrid w:linePitch="360"/>
        </w:sectPr>
      </w:pPr>
    </w:p>
    <w:p w:rsidR="00231C53" w:rsidRPr="00D86D51" w:rsidRDefault="00231C53" w:rsidP="00231C53">
      <w:pPr>
        <w:spacing w:before="0" w:after="0"/>
        <w:outlineLvl w:val="0"/>
        <w:rPr>
          <w:rFonts w:asciiTheme="majorBidi" w:hAnsiTheme="majorBidi" w:cstheme="majorBidi"/>
          <w:b/>
          <w:u w:val="single"/>
        </w:rPr>
      </w:pPr>
      <w:r w:rsidRPr="00D86D51">
        <w:rPr>
          <w:rFonts w:asciiTheme="majorBidi" w:hAnsiTheme="majorBidi" w:cstheme="majorBidi"/>
          <w:b/>
        </w:rPr>
        <w:lastRenderedPageBreak/>
        <w:t>I.</w:t>
      </w:r>
      <w:r w:rsidRPr="00D86D51">
        <w:tab/>
      </w:r>
      <w:r w:rsidRPr="00D86D51">
        <w:rPr>
          <w:rFonts w:asciiTheme="majorBidi" w:hAnsiTheme="majorBidi" w:cstheme="majorBidi"/>
          <w:b/>
          <w:u w:val="single"/>
        </w:rPr>
        <w:t>INTRODUCTION</w:t>
      </w:r>
    </w:p>
    <w:p w:rsidR="00231C53" w:rsidRPr="00D86D51" w:rsidRDefault="00231C53" w:rsidP="00231C53">
      <w:pPr>
        <w:spacing w:before="0" w:after="0"/>
        <w:outlineLvl w:val="0"/>
        <w:rPr>
          <w:rFonts w:asciiTheme="majorBidi" w:hAnsiTheme="majorBidi" w:cstheme="majorBidi"/>
        </w:rPr>
      </w:pPr>
    </w:p>
    <w:p w:rsidR="00231C53" w:rsidRPr="00D86D51" w:rsidRDefault="00231C53" w:rsidP="00231C53">
      <w:pPr>
        <w:spacing w:before="0" w:after="0"/>
        <w:ind w:left="567" w:hanging="567"/>
        <w:rPr>
          <w:rFonts w:asciiTheme="majorBidi" w:hAnsiTheme="majorBidi" w:cstheme="majorBidi"/>
        </w:rPr>
      </w:pPr>
      <w:r w:rsidRPr="00D86D51">
        <w:rPr>
          <w:rFonts w:asciiTheme="majorBidi" w:hAnsiTheme="majorBidi" w:cstheme="majorBidi"/>
        </w:rPr>
        <w:t>1.</w:t>
      </w:r>
      <w:r w:rsidRPr="00D86D51">
        <w:tab/>
      </w:r>
      <w:r w:rsidRPr="00D86D51">
        <w:rPr>
          <w:rFonts w:asciiTheme="majorBidi" w:hAnsiTheme="majorBidi" w:cstheme="majorBidi"/>
        </w:rPr>
        <w:t xml:space="preserve">Le 26 novembre 2013, </w:t>
      </w:r>
      <w:r w:rsidRPr="00D86D51">
        <w:rPr>
          <w:rFonts w:asciiTheme="majorBidi" w:hAnsiTheme="majorBidi" w:cstheme="majorBidi"/>
          <w:u w:val="single"/>
        </w:rPr>
        <w:t>la Commission</w:t>
      </w:r>
      <w:r w:rsidRPr="00D86D51">
        <w:rPr>
          <w:rFonts w:asciiTheme="majorBidi" w:hAnsiTheme="majorBidi" w:cstheme="majorBidi"/>
        </w:rPr>
        <w:t xml:space="preserve"> a soumis au Conseil la </w:t>
      </w:r>
      <w:r w:rsidR="00A6547C">
        <w:rPr>
          <w:rFonts w:asciiTheme="majorBidi" w:hAnsiTheme="majorBidi" w:cstheme="majorBidi"/>
        </w:rPr>
        <w:t>proposition citée en objet, qui </w:t>
      </w:r>
      <w:r w:rsidRPr="00D86D51">
        <w:rPr>
          <w:rFonts w:asciiTheme="majorBidi" w:hAnsiTheme="majorBidi" w:cstheme="majorBidi"/>
        </w:rPr>
        <w:t>est fondée sur les articles 33 et 325 du traité sur le fonctionnement de l'Union européenne et qui a pour objet l'amélioration du système de lutte contr</w:t>
      </w:r>
      <w:r w:rsidR="00A6547C">
        <w:rPr>
          <w:rFonts w:asciiTheme="majorBidi" w:hAnsiTheme="majorBidi" w:cstheme="majorBidi"/>
        </w:rPr>
        <w:t>e la fraude dans le domaine des </w:t>
      </w:r>
      <w:r w:rsidRPr="00D86D51">
        <w:rPr>
          <w:rFonts w:asciiTheme="majorBidi" w:hAnsiTheme="majorBidi" w:cstheme="majorBidi"/>
        </w:rPr>
        <w:t>douanes.</w:t>
      </w:r>
    </w:p>
    <w:p w:rsidR="00231C53" w:rsidRPr="00D86D51" w:rsidRDefault="00231C53" w:rsidP="00231C53">
      <w:pPr>
        <w:spacing w:before="0" w:after="0"/>
        <w:ind w:left="567" w:hanging="567"/>
        <w:rPr>
          <w:rFonts w:asciiTheme="majorBidi" w:hAnsiTheme="majorBidi" w:cstheme="majorBidi"/>
        </w:rPr>
      </w:pPr>
    </w:p>
    <w:p w:rsidR="00231C53" w:rsidRPr="00D86D51" w:rsidRDefault="00231C53" w:rsidP="00231C53">
      <w:pPr>
        <w:spacing w:before="0" w:after="0"/>
        <w:ind w:left="567" w:hanging="567"/>
        <w:rPr>
          <w:rFonts w:asciiTheme="majorBidi" w:hAnsiTheme="majorBidi" w:cstheme="majorBidi"/>
        </w:rPr>
      </w:pPr>
      <w:r w:rsidRPr="00D86D51">
        <w:rPr>
          <w:rFonts w:asciiTheme="majorBidi" w:hAnsiTheme="majorBidi" w:cstheme="majorBidi"/>
        </w:rPr>
        <w:t>2.</w:t>
      </w:r>
      <w:r w:rsidRPr="00D86D51">
        <w:tab/>
      </w:r>
      <w:r w:rsidRPr="004B169E">
        <w:rPr>
          <w:rFonts w:asciiTheme="majorBidi" w:hAnsiTheme="majorBidi" w:cstheme="majorBidi"/>
          <w:u w:val="single"/>
        </w:rPr>
        <w:t>La Cour des comptes</w:t>
      </w:r>
      <w:r w:rsidRPr="00D86D51">
        <w:t xml:space="preserve"> a rendu son avis le 18 mars 2014.</w:t>
      </w:r>
    </w:p>
    <w:p w:rsidR="00231C53" w:rsidRPr="00D86D51" w:rsidRDefault="00231C53" w:rsidP="00231C53">
      <w:pPr>
        <w:spacing w:before="0" w:after="0"/>
        <w:ind w:left="567" w:hanging="567"/>
        <w:rPr>
          <w:rFonts w:asciiTheme="majorBidi" w:hAnsiTheme="majorBidi" w:cstheme="majorBidi"/>
        </w:rPr>
      </w:pPr>
    </w:p>
    <w:p w:rsidR="00524131" w:rsidRPr="00D86D51" w:rsidRDefault="00231C53" w:rsidP="0001568D">
      <w:pPr>
        <w:spacing w:before="0" w:after="0"/>
        <w:ind w:left="567" w:hanging="567"/>
        <w:rPr>
          <w:rFonts w:asciiTheme="majorBidi" w:hAnsiTheme="majorBidi" w:cstheme="majorBidi"/>
        </w:rPr>
      </w:pPr>
      <w:r w:rsidRPr="00D86D51">
        <w:rPr>
          <w:rFonts w:asciiTheme="majorBidi" w:hAnsiTheme="majorBidi" w:cstheme="majorBidi"/>
        </w:rPr>
        <w:t>3.</w:t>
      </w:r>
      <w:r w:rsidRPr="00D86D51">
        <w:tab/>
      </w:r>
      <w:r w:rsidRPr="00D86D51">
        <w:rPr>
          <w:rFonts w:asciiTheme="majorBidi" w:hAnsiTheme="majorBidi" w:cstheme="majorBidi"/>
        </w:rPr>
        <w:t xml:space="preserve">Le 15 avril 2014, </w:t>
      </w:r>
      <w:r w:rsidRPr="00D86D51">
        <w:rPr>
          <w:rFonts w:asciiTheme="majorBidi" w:hAnsiTheme="majorBidi" w:cstheme="majorBidi"/>
          <w:u w:val="single"/>
        </w:rPr>
        <w:t>le Parlement européen</w:t>
      </w:r>
      <w:r w:rsidRPr="00D86D51">
        <w:rPr>
          <w:rFonts w:asciiTheme="majorBidi" w:hAnsiTheme="majorBidi" w:cstheme="majorBidi"/>
        </w:rPr>
        <w:t xml:space="preserve"> a adopté sa position en première lecture</w:t>
      </w:r>
      <w:r w:rsidRPr="00D86D51">
        <w:rPr>
          <w:rStyle w:val="FootnoteReference"/>
          <w:rFonts w:asciiTheme="majorBidi" w:hAnsiTheme="majorBidi" w:cstheme="majorBidi"/>
        </w:rPr>
        <w:footnoteReference w:id="1"/>
      </w:r>
      <w:r w:rsidRPr="00D86D51">
        <w:rPr>
          <w:rFonts w:asciiTheme="majorBidi" w:hAnsiTheme="majorBidi" w:cstheme="majorBidi"/>
        </w:rPr>
        <w:t>.</w:t>
      </w:r>
    </w:p>
    <w:p w:rsidR="003437A5" w:rsidRPr="00D86D51" w:rsidRDefault="003437A5" w:rsidP="00231C53">
      <w:pPr>
        <w:spacing w:before="0" w:after="0"/>
        <w:ind w:left="567" w:hanging="567"/>
        <w:rPr>
          <w:rFonts w:asciiTheme="majorBidi" w:hAnsiTheme="majorBidi" w:cstheme="majorBidi"/>
        </w:rPr>
      </w:pPr>
    </w:p>
    <w:p w:rsidR="00231C53" w:rsidRPr="00D86D51" w:rsidRDefault="00231C53" w:rsidP="00231C53">
      <w:pPr>
        <w:spacing w:before="0" w:after="0"/>
        <w:ind w:left="567" w:hanging="567"/>
        <w:rPr>
          <w:rFonts w:asciiTheme="majorBidi" w:hAnsiTheme="majorBidi" w:cstheme="majorBidi"/>
        </w:rPr>
      </w:pPr>
      <w:r w:rsidRPr="00D86D51">
        <w:rPr>
          <w:rFonts w:asciiTheme="majorBidi" w:hAnsiTheme="majorBidi" w:cstheme="majorBidi"/>
        </w:rPr>
        <w:t>4.</w:t>
      </w:r>
      <w:r w:rsidRPr="00D86D51">
        <w:tab/>
      </w:r>
      <w:r w:rsidRPr="00D86D51">
        <w:rPr>
          <w:u w:val="single"/>
        </w:rPr>
        <w:t>Le groupe "Union douanière"</w:t>
      </w:r>
      <w:r w:rsidRPr="00D86D51">
        <w:t xml:space="preserve"> a examiné la proposition à différen</w:t>
      </w:r>
      <w:r w:rsidR="00A6547C">
        <w:t>tes reprises durant les </w:t>
      </w:r>
      <w:r w:rsidRPr="00D86D51">
        <w:t>présidences grecque et italienne et, lors de sa réunion du 9 septembre 2014, est parvenu à un large accord sur le texte de compromis élaboré par la présidence qui figure dans le document 13179/14, les délégations AT et DE ayant voté con</w:t>
      </w:r>
      <w:r w:rsidR="00A6547C">
        <w:t>tre et la délégation ES s'étant </w:t>
      </w:r>
      <w:r w:rsidRPr="00D86D51">
        <w:t>abstenue.</w:t>
      </w:r>
    </w:p>
    <w:p w:rsidR="00231C53" w:rsidRPr="00D86D51" w:rsidRDefault="00231C53" w:rsidP="00231C53">
      <w:pPr>
        <w:spacing w:before="0" w:after="0"/>
        <w:ind w:left="567" w:hanging="567"/>
        <w:rPr>
          <w:rFonts w:asciiTheme="majorBidi" w:hAnsiTheme="majorBidi" w:cstheme="majorBidi"/>
        </w:rPr>
      </w:pPr>
    </w:p>
    <w:p w:rsidR="00231C53" w:rsidRPr="00D86D51" w:rsidRDefault="00231C53" w:rsidP="00231C53">
      <w:pPr>
        <w:spacing w:before="0" w:after="0"/>
        <w:ind w:left="567" w:hanging="567"/>
        <w:rPr>
          <w:rFonts w:asciiTheme="majorBidi" w:hAnsiTheme="majorBidi" w:cstheme="majorBidi"/>
        </w:rPr>
      </w:pPr>
      <w:r w:rsidRPr="00D86D51">
        <w:rPr>
          <w:rFonts w:asciiTheme="majorBidi" w:hAnsiTheme="majorBidi" w:cstheme="majorBidi"/>
        </w:rPr>
        <w:t>5.</w:t>
      </w:r>
      <w:r w:rsidRPr="00D86D51">
        <w:tab/>
      </w:r>
      <w:r w:rsidRPr="00D86D51">
        <w:rPr>
          <w:rFonts w:asciiTheme="majorBidi" w:hAnsiTheme="majorBidi" w:cstheme="majorBidi"/>
        </w:rPr>
        <w:t xml:space="preserve">Le 23 septembre 2014, </w:t>
      </w:r>
      <w:r w:rsidRPr="00D86D51">
        <w:rPr>
          <w:rFonts w:asciiTheme="majorBidi" w:hAnsiTheme="majorBidi" w:cstheme="majorBidi"/>
          <w:u w:val="single"/>
        </w:rPr>
        <w:t>le Comité des représentants permanents</w:t>
      </w:r>
      <w:r w:rsidR="00A6547C">
        <w:rPr>
          <w:rFonts w:asciiTheme="majorBidi" w:hAnsiTheme="majorBidi" w:cstheme="majorBidi"/>
        </w:rPr>
        <w:t xml:space="preserve"> a donné un mandat à la </w:t>
      </w:r>
      <w:r w:rsidRPr="00D86D51">
        <w:rPr>
          <w:rFonts w:asciiTheme="majorBidi" w:hAnsiTheme="majorBidi" w:cstheme="majorBidi"/>
        </w:rPr>
        <w:t>présidence pour qu'elle entame des réunions de trilogue avec le Parlement européen.</w:t>
      </w:r>
    </w:p>
    <w:p w:rsidR="00231C53" w:rsidRPr="00D86D51" w:rsidRDefault="00231C53" w:rsidP="00231C53">
      <w:pPr>
        <w:spacing w:before="0" w:after="0"/>
        <w:ind w:left="567" w:hanging="567"/>
        <w:rPr>
          <w:rFonts w:asciiTheme="majorBidi" w:hAnsiTheme="majorBidi" w:cstheme="majorBidi"/>
        </w:rPr>
      </w:pPr>
    </w:p>
    <w:p w:rsidR="00231C53" w:rsidRPr="00D86D51" w:rsidRDefault="00231C53" w:rsidP="00231C53">
      <w:pPr>
        <w:widowControl w:val="0"/>
        <w:spacing w:before="0" w:after="0"/>
        <w:ind w:left="567" w:hanging="567"/>
        <w:rPr>
          <w:rFonts w:asciiTheme="majorBidi" w:hAnsiTheme="majorBidi" w:cstheme="majorBidi"/>
        </w:rPr>
      </w:pPr>
      <w:r w:rsidRPr="00D86D51">
        <w:rPr>
          <w:rFonts w:asciiTheme="majorBidi" w:hAnsiTheme="majorBidi" w:cstheme="majorBidi"/>
        </w:rPr>
        <w:t>6.</w:t>
      </w:r>
      <w:r w:rsidRPr="00D86D51">
        <w:tab/>
      </w:r>
      <w:r w:rsidRPr="00D86D51">
        <w:rPr>
          <w:rFonts w:asciiTheme="majorBidi" w:hAnsiTheme="majorBidi" w:cstheme="majorBidi"/>
        </w:rPr>
        <w:t>Trois réunions de trilogue ont eu lieu le 10 novembre, et les 10 et 18 décembre 2014</w:t>
      </w:r>
      <w:r w:rsidRPr="00D86D51">
        <w:rPr>
          <w:rStyle w:val="FootnoteReference"/>
          <w:rFonts w:asciiTheme="majorBidi" w:hAnsiTheme="majorBidi" w:cstheme="majorBidi"/>
        </w:rPr>
        <w:footnoteReference w:id="2"/>
      </w:r>
      <w:r w:rsidRPr="00D86D51">
        <w:rPr>
          <w:rFonts w:asciiTheme="majorBidi" w:hAnsiTheme="majorBidi" w:cstheme="majorBidi"/>
        </w:rPr>
        <w:t xml:space="preserve">. </w:t>
      </w:r>
      <w:r w:rsidRPr="00D86D51">
        <w:rPr>
          <w:rFonts w:asciiTheme="majorBidi" w:hAnsiTheme="majorBidi" w:cstheme="majorBidi"/>
          <w:u w:val="single"/>
        </w:rPr>
        <w:t>Le Comité des représentants permanents</w:t>
      </w:r>
      <w:r w:rsidRPr="00D86D51">
        <w:rPr>
          <w:rFonts w:asciiTheme="majorBidi" w:hAnsiTheme="majorBidi" w:cstheme="majorBidi"/>
        </w:rPr>
        <w:t xml:space="preserve"> a approuvé le compromis dégagé à cette occasion. Par lettre du 23 mars 2015, le </w:t>
      </w:r>
      <w:r w:rsidRPr="00D86D51">
        <w:rPr>
          <w:rFonts w:asciiTheme="majorBidi" w:hAnsiTheme="majorBidi" w:cstheme="majorBidi"/>
          <w:u w:val="single"/>
        </w:rPr>
        <w:t>Parlement européen</w:t>
      </w:r>
      <w:r w:rsidRPr="00D86D51">
        <w:rPr>
          <w:rFonts w:asciiTheme="majorBidi" w:hAnsiTheme="majorBidi" w:cstheme="majorBidi"/>
        </w:rPr>
        <w:t xml:space="preserve"> a ultérieurement informé le </w:t>
      </w:r>
      <w:r w:rsidRPr="00D86D51">
        <w:rPr>
          <w:rFonts w:asciiTheme="majorBidi" w:hAnsiTheme="majorBidi" w:cstheme="majorBidi"/>
          <w:u w:val="single"/>
        </w:rPr>
        <w:t>Conseil</w:t>
      </w:r>
      <w:r w:rsidR="00A6547C">
        <w:rPr>
          <w:rFonts w:asciiTheme="majorBidi" w:hAnsiTheme="majorBidi" w:cstheme="majorBidi"/>
        </w:rPr>
        <w:t xml:space="preserve"> qu'il </w:t>
      </w:r>
      <w:r w:rsidRPr="00D86D51">
        <w:rPr>
          <w:rFonts w:asciiTheme="majorBidi" w:hAnsiTheme="majorBidi" w:cstheme="majorBidi"/>
        </w:rPr>
        <w:t>approuverait la position du Conseil sans amendement lors de sa deuxième lecture.</w:t>
      </w:r>
    </w:p>
    <w:p w:rsidR="00524131" w:rsidRPr="00D86D51" w:rsidRDefault="003437A5" w:rsidP="003437A5">
      <w:pPr>
        <w:widowControl w:val="0"/>
        <w:spacing w:before="0" w:after="0"/>
        <w:ind w:left="567" w:hanging="567"/>
        <w:rPr>
          <w:rFonts w:asciiTheme="majorBidi" w:hAnsiTheme="majorBidi" w:cstheme="majorBidi"/>
        </w:rPr>
      </w:pPr>
      <w:r w:rsidRPr="00D86D51">
        <w:br w:type="page"/>
      </w:r>
      <w:r w:rsidRPr="00D86D51">
        <w:rPr>
          <w:rFonts w:asciiTheme="majorBidi" w:hAnsiTheme="majorBidi" w:cstheme="majorBidi"/>
        </w:rPr>
        <w:lastRenderedPageBreak/>
        <w:t>7.</w:t>
      </w:r>
      <w:r w:rsidRPr="00D86D51">
        <w:tab/>
      </w:r>
      <w:r w:rsidRPr="00D86D51">
        <w:rPr>
          <w:rFonts w:asciiTheme="majorBidi" w:hAnsiTheme="majorBidi" w:cstheme="majorBidi"/>
        </w:rPr>
        <w:t>Dans ce contexte, lors de sa session du 20 avril 2015, le Conseil a adopté un accord politique, figurant dans le document 7565/15.</w:t>
      </w:r>
    </w:p>
    <w:p w:rsidR="00231C53" w:rsidRPr="00D86D51" w:rsidRDefault="00231C53" w:rsidP="00231C53">
      <w:pPr>
        <w:pStyle w:val="NormalConseil"/>
        <w:spacing w:line="360" w:lineRule="auto"/>
        <w:ind w:left="567" w:hanging="567"/>
        <w:rPr>
          <w:rFonts w:asciiTheme="majorBidi" w:hAnsiTheme="majorBidi" w:cstheme="majorBidi"/>
          <w:color w:val="000000"/>
          <w:szCs w:val="24"/>
        </w:rPr>
      </w:pPr>
    </w:p>
    <w:p w:rsidR="00231C53" w:rsidRPr="00D86D51" w:rsidRDefault="00231C53" w:rsidP="00231C53">
      <w:pPr>
        <w:pStyle w:val="NormalConseil"/>
        <w:spacing w:line="360" w:lineRule="auto"/>
        <w:ind w:left="567" w:hanging="567"/>
        <w:rPr>
          <w:rFonts w:asciiTheme="majorBidi" w:hAnsiTheme="majorBidi" w:cstheme="majorBidi"/>
          <w:b/>
          <w:bCs/>
          <w:color w:val="000000"/>
          <w:szCs w:val="24"/>
        </w:rPr>
      </w:pPr>
      <w:r w:rsidRPr="00D86D51">
        <w:rPr>
          <w:rFonts w:asciiTheme="majorBidi" w:hAnsiTheme="majorBidi" w:cstheme="majorBidi"/>
          <w:b/>
          <w:color w:val="000000"/>
        </w:rPr>
        <w:t>II.</w:t>
      </w:r>
      <w:r w:rsidRPr="00D86D51">
        <w:tab/>
      </w:r>
      <w:r w:rsidRPr="00D86D51">
        <w:rPr>
          <w:rFonts w:asciiTheme="majorBidi" w:hAnsiTheme="majorBidi" w:cstheme="majorBidi"/>
          <w:b/>
          <w:color w:val="000000"/>
          <w:u w:val="single"/>
        </w:rPr>
        <w:t>OBJECTIF</w:t>
      </w:r>
    </w:p>
    <w:p w:rsidR="00231C53" w:rsidRPr="00D86D51" w:rsidRDefault="00231C53" w:rsidP="00231C53">
      <w:pPr>
        <w:spacing w:before="0" w:after="0"/>
        <w:ind w:left="567" w:hanging="567"/>
        <w:outlineLvl w:val="0"/>
        <w:rPr>
          <w:rFonts w:asciiTheme="majorBidi" w:hAnsiTheme="majorBidi" w:cstheme="majorBidi"/>
          <w:noProof/>
        </w:rPr>
      </w:pPr>
    </w:p>
    <w:p w:rsidR="00231C53" w:rsidRPr="00D86D51" w:rsidRDefault="00231C53" w:rsidP="00231C53">
      <w:pPr>
        <w:spacing w:before="0" w:after="0"/>
        <w:ind w:left="567" w:hanging="567"/>
        <w:outlineLvl w:val="0"/>
        <w:rPr>
          <w:rFonts w:asciiTheme="majorBidi" w:hAnsiTheme="majorBidi" w:cstheme="majorBidi"/>
          <w:noProof/>
        </w:rPr>
      </w:pPr>
      <w:r w:rsidRPr="00D86D51">
        <w:rPr>
          <w:rFonts w:asciiTheme="majorBidi" w:hAnsiTheme="majorBidi" w:cstheme="majorBidi"/>
          <w:noProof/>
        </w:rPr>
        <w:t>8.</w:t>
      </w:r>
      <w:r w:rsidRPr="00D86D51">
        <w:tab/>
      </w:r>
      <w:r w:rsidRPr="00D86D51">
        <w:rPr>
          <w:rFonts w:asciiTheme="majorBidi" w:hAnsiTheme="majorBidi" w:cstheme="majorBidi"/>
          <w:color w:val="000000"/>
        </w:rPr>
        <w:t>Le règlement apporte des modifications au règlement (CE) n° 515/97. Ces modifications visent à combler les lacunes des systèmes existants de détection des fraudes en matière douanière et à remédier aux retards dans les enquêtes de l'OLAF</w:t>
      </w:r>
      <w:r w:rsidR="00A6547C">
        <w:rPr>
          <w:rFonts w:asciiTheme="majorBidi" w:hAnsiTheme="majorBidi" w:cstheme="majorBidi"/>
          <w:color w:val="000000"/>
        </w:rPr>
        <w:t xml:space="preserve">, à rationaliser le contrôle de </w:t>
      </w:r>
      <w:r w:rsidRPr="00D86D51">
        <w:rPr>
          <w:rFonts w:asciiTheme="majorBidi" w:hAnsiTheme="majorBidi" w:cstheme="majorBidi"/>
          <w:color w:val="000000"/>
        </w:rPr>
        <w:t>la protection des données, et à apporter une clarification quant à l</w:t>
      </w:r>
      <w:r w:rsidR="00A6547C">
        <w:rPr>
          <w:rFonts w:asciiTheme="majorBidi" w:hAnsiTheme="majorBidi" w:cstheme="majorBidi"/>
          <w:color w:val="000000"/>
        </w:rPr>
        <w:t>a possibilité de restreindre la </w:t>
      </w:r>
      <w:r w:rsidRPr="00D86D51">
        <w:rPr>
          <w:rFonts w:asciiTheme="majorBidi" w:hAnsiTheme="majorBidi" w:cstheme="majorBidi"/>
          <w:color w:val="000000"/>
        </w:rPr>
        <w:t>visibilité des données et quant aux règles concernant l'admiss</w:t>
      </w:r>
      <w:r w:rsidR="00A6547C">
        <w:rPr>
          <w:rFonts w:asciiTheme="majorBidi" w:hAnsiTheme="majorBidi" w:cstheme="majorBidi"/>
          <w:color w:val="000000"/>
        </w:rPr>
        <w:t>ibilité des preuves obtenues au </w:t>
      </w:r>
      <w:r w:rsidRPr="00D86D51">
        <w:rPr>
          <w:rFonts w:asciiTheme="majorBidi" w:hAnsiTheme="majorBidi" w:cstheme="majorBidi"/>
          <w:color w:val="000000"/>
        </w:rPr>
        <w:t>titre de l'assistance mutuelle.</w:t>
      </w:r>
    </w:p>
    <w:p w:rsidR="00231C53" w:rsidRPr="00D86D51" w:rsidRDefault="00231C53" w:rsidP="00231C53">
      <w:pPr>
        <w:spacing w:before="0" w:after="0"/>
        <w:rPr>
          <w:rFonts w:asciiTheme="majorBidi" w:hAnsiTheme="majorBidi" w:cstheme="majorBidi"/>
          <w:b/>
        </w:rPr>
      </w:pPr>
    </w:p>
    <w:p w:rsidR="00231C53" w:rsidRPr="00D86D51" w:rsidRDefault="00231C53" w:rsidP="00231C53">
      <w:pPr>
        <w:spacing w:before="0" w:after="0"/>
        <w:rPr>
          <w:rFonts w:asciiTheme="majorBidi" w:hAnsiTheme="majorBidi" w:cstheme="majorBidi"/>
          <w:b/>
          <w:u w:val="single"/>
        </w:rPr>
      </w:pPr>
      <w:r w:rsidRPr="00D86D51">
        <w:rPr>
          <w:rFonts w:asciiTheme="majorBidi" w:hAnsiTheme="majorBidi" w:cstheme="majorBidi"/>
          <w:b/>
        </w:rPr>
        <w:t>III.</w:t>
      </w:r>
      <w:r w:rsidRPr="00D86D51">
        <w:tab/>
      </w:r>
      <w:r w:rsidRPr="00D86D51">
        <w:rPr>
          <w:rFonts w:asciiTheme="majorBidi" w:hAnsiTheme="majorBidi" w:cstheme="majorBidi"/>
          <w:b/>
          <w:u w:val="single"/>
        </w:rPr>
        <w:t>ANALYSE DE LA POSITION DU CONSEIL EN PREMIÈRE LECTURE</w:t>
      </w:r>
    </w:p>
    <w:p w:rsidR="00231C53" w:rsidRPr="00D86D51" w:rsidRDefault="00231C53" w:rsidP="00231C53">
      <w:pPr>
        <w:spacing w:before="0" w:after="0"/>
        <w:rPr>
          <w:rFonts w:asciiTheme="majorBidi" w:hAnsiTheme="majorBidi" w:cstheme="majorBidi"/>
          <w:b/>
          <w:u w:val="single"/>
        </w:rPr>
      </w:pPr>
    </w:p>
    <w:p w:rsidR="00524131" w:rsidRPr="00D86D51" w:rsidRDefault="00231C53" w:rsidP="00231C53">
      <w:pPr>
        <w:spacing w:before="0" w:after="0"/>
        <w:rPr>
          <w:rFonts w:asciiTheme="majorBidi" w:hAnsiTheme="majorBidi" w:cstheme="majorBidi"/>
          <w:b/>
          <w:u w:val="single"/>
        </w:rPr>
      </w:pPr>
      <w:r w:rsidRPr="00D86D51">
        <w:rPr>
          <w:rFonts w:asciiTheme="majorBidi" w:hAnsiTheme="majorBidi" w:cstheme="majorBidi"/>
          <w:b/>
        </w:rPr>
        <w:t>A.</w:t>
      </w:r>
      <w:r w:rsidRPr="00D86D51">
        <w:tab/>
      </w:r>
      <w:r w:rsidRPr="00D86D51">
        <w:rPr>
          <w:rFonts w:asciiTheme="majorBidi" w:hAnsiTheme="majorBidi" w:cstheme="majorBidi"/>
          <w:b/>
          <w:u w:val="single"/>
        </w:rPr>
        <w:t>Observations d'ordre général</w:t>
      </w:r>
    </w:p>
    <w:p w:rsidR="00231C53" w:rsidRPr="00D86D51" w:rsidRDefault="00231C53" w:rsidP="00231C53">
      <w:pPr>
        <w:spacing w:before="0" w:after="0"/>
        <w:rPr>
          <w:rFonts w:asciiTheme="majorBidi" w:hAnsiTheme="majorBidi" w:cstheme="majorBidi"/>
          <w:bCs/>
        </w:rPr>
      </w:pPr>
    </w:p>
    <w:p w:rsidR="00231C53" w:rsidRPr="00D86D51" w:rsidRDefault="00231C53" w:rsidP="00231C53">
      <w:pPr>
        <w:spacing w:before="0" w:after="0"/>
        <w:ind w:left="567" w:hanging="567"/>
        <w:rPr>
          <w:rFonts w:asciiTheme="majorBidi" w:hAnsiTheme="majorBidi" w:cstheme="majorBidi"/>
          <w:bCs/>
        </w:rPr>
      </w:pPr>
      <w:r w:rsidRPr="00D86D51">
        <w:rPr>
          <w:rFonts w:asciiTheme="majorBidi" w:hAnsiTheme="majorBidi" w:cstheme="majorBidi"/>
        </w:rPr>
        <w:t>9.</w:t>
      </w:r>
      <w:r w:rsidRPr="00D86D51">
        <w:tab/>
      </w:r>
      <w:r w:rsidRPr="00D86D51">
        <w:rPr>
          <w:rFonts w:asciiTheme="majorBidi" w:hAnsiTheme="majorBidi" w:cstheme="majorBidi"/>
        </w:rPr>
        <w:t xml:space="preserve">Le Conseil a apporté un certain nombre de modifications à </w:t>
      </w:r>
      <w:r w:rsidR="00A6547C">
        <w:rPr>
          <w:rFonts w:asciiTheme="majorBidi" w:hAnsiTheme="majorBidi" w:cstheme="majorBidi"/>
        </w:rPr>
        <w:t>la proposition initiale et a en </w:t>
      </w:r>
      <w:r w:rsidRPr="00D86D51">
        <w:rPr>
          <w:rFonts w:asciiTheme="majorBidi" w:hAnsiTheme="majorBidi" w:cstheme="majorBidi"/>
        </w:rPr>
        <w:t>grande partie modifié la structure du texte. En parallèl</w:t>
      </w:r>
      <w:r w:rsidR="00A6547C">
        <w:rPr>
          <w:rFonts w:asciiTheme="majorBidi" w:hAnsiTheme="majorBidi" w:cstheme="majorBidi"/>
        </w:rPr>
        <w:t>e, le Parlement européen a voté </w:t>
      </w:r>
      <w:r w:rsidRPr="00D86D51">
        <w:rPr>
          <w:rFonts w:asciiTheme="majorBidi" w:hAnsiTheme="majorBidi" w:cstheme="majorBidi"/>
        </w:rPr>
        <w:t>53 amendements à la proposition de la Commission.</w:t>
      </w:r>
    </w:p>
    <w:p w:rsidR="00231C53" w:rsidRPr="00D86D51" w:rsidRDefault="00231C53" w:rsidP="00231C53">
      <w:pPr>
        <w:spacing w:before="0" w:after="0"/>
        <w:ind w:left="567" w:hanging="567"/>
        <w:rPr>
          <w:rFonts w:asciiTheme="majorBidi" w:hAnsiTheme="majorBidi" w:cstheme="majorBidi"/>
          <w:bCs/>
        </w:rPr>
      </w:pPr>
    </w:p>
    <w:p w:rsidR="00524131" w:rsidRPr="00D86D51" w:rsidRDefault="00231C53" w:rsidP="00231C53">
      <w:pPr>
        <w:spacing w:before="0" w:after="0"/>
        <w:ind w:left="567"/>
        <w:rPr>
          <w:rFonts w:asciiTheme="majorBidi" w:hAnsiTheme="majorBidi" w:cstheme="majorBidi"/>
          <w:bCs/>
        </w:rPr>
      </w:pPr>
      <w:r w:rsidRPr="00D86D51">
        <w:rPr>
          <w:rFonts w:asciiTheme="majorBidi" w:hAnsiTheme="majorBidi" w:cstheme="majorBidi"/>
        </w:rPr>
        <w:t>Par conséquent, la position du Conseil en première lecture modifi</w:t>
      </w:r>
      <w:r w:rsidR="00A6547C">
        <w:rPr>
          <w:rFonts w:asciiTheme="majorBidi" w:hAnsiTheme="majorBidi" w:cstheme="majorBidi"/>
        </w:rPr>
        <w:t>e la proposition initiale de la </w:t>
      </w:r>
      <w:r w:rsidRPr="00D86D51">
        <w:rPr>
          <w:rFonts w:asciiTheme="majorBidi" w:hAnsiTheme="majorBidi" w:cstheme="majorBidi"/>
        </w:rPr>
        <w:t xml:space="preserve">Commission en la reformulant partiellement sur la </w:t>
      </w:r>
      <w:r w:rsidR="00A6547C">
        <w:rPr>
          <w:rFonts w:asciiTheme="majorBidi" w:hAnsiTheme="majorBidi" w:cstheme="majorBidi"/>
        </w:rPr>
        <w:t>base de l'accord conclu avec le </w:t>
      </w:r>
      <w:r w:rsidRPr="00D86D51">
        <w:rPr>
          <w:rFonts w:asciiTheme="majorBidi" w:hAnsiTheme="majorBidi" w:cstheme="majorBidi"/>
        </w:rPr>
        <w:t>Parlement européen.</w:t>
      </w:r>
    </w:p>
    <w:p w:rsidR="00231C53" w:rsidRPr="00D86D51" w:rsidRDefault="003437A5" w:rsidP="003437A5">
      <w:pPr>
        <w:spacing w:before="0" w:after="0"/>
        <w:rPr>
          <w:rFonts w:asciiTheme="majorBidi" w:hAnsiTheme="majorBidi" w:cstheme="majorBidi"/>
          <w:b/>
        </w:rPr>
      </w:pPr>
      <w:r w:rsidRPr="00D86D51">
        <w:br w:type="page"/>
      </w:r>
      <w:r w:rsidRPr="00D86D51">
        <w:rPr>
          <w:rFonts w:asciiTheme="majorBidi" w:hAnsiTheme="majorBidi" w:cstheme="majorBidi"/>
          <w:b/>
        </w:rPr>
        <w:t>B.</w:t>
      </w:r>
      <w:r w:rsidRPr="00D86D51">
        <w:tab/>
      </w:r>
      <w:r w:rsidRPr="00D86D51">
        <w:rPr>
          <w:rFonts w:asciiTheme="majorBidi" w:hAnsiTheme="majorBidi" w:cstheme="majorBidi"/>
          <w:b/>
          <w:u w:val="single"/>
        </w:rPr>
        <w:t>Questions clés</w:t>
      </w:r>
    </w:p>
    <w:p w:rsidR="00231C53" w:rsidRPr="00D86D51" w:rsidRDefault="00231C53" w:rsidP="00231C53">
      <w:pPr>
        <w:spacing w:before="0" w:after="0"/>
        <w:rPr>
          <w:rFonts w:asciiTheme="majorBidi" w:hAnsiTheme="majorBidi" w:cstheme="majorBidi"/>
          <w:bCs/>
        </w:rPr>
      </w:pPr>
    </w:p>
    <w:p w:rsidR="00231C53" w:rsidRPr="00D86D51" w:rsidRDefault="00231C53" w:rsidP="00231C53">
      <w:pPr>
        <w:pStyle w:val="NormalConseil"/>
        <w:tabs>
          <w:tab w:val="left" w:pos="567"/>
        </w:tabs>
        <w:spacing w:line="360" w:lineRule="auto"/>
        <w:rPr>
          <w:rFonts w:asciiTheme="majorBidi" w:hAnsiTheme="majorBidi" w:cstheme="majorBidi"/>
          <w:color w:val="000000"/>
          <w:szCs w:val="24"/>
        </w:rPr>
      </w:pPr>
      <w:r w:rsidRPr="00D86D51">
        <w:rPr>
          <w:rFonts w:asciiTheme="majorBidi" w:hAnsiTheme="majorBidi" w:cstheme="majorBidi"/>
          <w:color w:val="000000"/>
        </w:rPr>
        <w:t>10.</w:t>
      </w:r>
      <w:r w:rsidRPr="00D86D51">
        <w:tab/>
      </w:r>
      <w:r w:rsidRPr="00D86D51">
        <w:rPr>
          <w:rFonts w:asciiTheme="majorBidi" w:hAnsiTheme="majorBidi" w:cstheme="majorBidi"/>
          <w:color w:val="000000"/>
          <w:u w:val="single"/>
        </w:rPr>
        <w:t>Définitions</w:t>
      </w:r>
    </w:p>
    <w:p w:rsidR="00231C53" w:rsidRPr="00D86D51" w:rsidRDefault="00231C53" w:rsidP="00231C53">
      <w:pPr>
        <w:pStyle w:val="NormalConseil"/>
        <w:spacing w:line="360" w:lineRule="auto"/>
        <w:ind w:left="567"/>
        <w:rPr>
          <w:rFonts w:asciiTheme="majorBidi" w:hAnsiTheme="majorBidi" w:cstheme="majorBidi"/>
          <w:color w:val="000000"/>
          <w:szCs w:val="24"/>
        </w:rPr>
      </w:pPr>
      <w:r w:rsidRPr="00D86D51">
        <w:rPr>
          <w:rFonts w:asciiTheme="majorBidi" w:hAnsiTheme="majorBidi" w:cstheme="majorBidi"/>
          <w:color w:val="000000"/>
        </w:rPr>
        <w:t>La définition de "réglementation douanière" a été modifiée</w:t>
      </w:r>
      <w:r w:rsidR="00A6547C">
        <w:rPr>
          <w:rFonts w:asciiTheme="majorBidi" w:hAnsiTheme="majorBidi" w:cstheme="majorBidi"/>
          <w:color w:val="000000"/>
        </w:rPr>
        <w:t xml:space="preserve"> conformément au règlement (UE) </w:t>
      </w:r>
      <w:r w:rsidRPr="00D86D51">
        <w:rPr>
          <w:rFonts w:asciiTheme="majorBidi" w:hAnsiTheme="majorBidi" w:cstheme="majorBidi"/>
          <w:color w:val="000000"/>
        </w:rPr>
        <w:t>n° 952/2013 et les définitions de "territ</w:t>
      </w:r>
      <w:r w:rsidR="00A6547C">
        <w:rPr>
          <w:rFonts w:asciiTheme="majorBidi" w:hAnsiTheme="majorBidi" w:cstheme="majorBidi"/>
          <w:color w:val="000000"/>
        </w:rPr>
        <w:t>oire douanier de l'Union" et de </w:t>
      </w:r>
      <w:r w:rsidRPr="00D86D51">
        <w:rPr>
          <w:rFonts w:asciiTheme="majorBidi" w:hAnsiTheme="majorBidi" w:cstheme="majorBidi"/>
          <w:color w:val="000000"/>
        </w:rPr>
        <w:t>"transporteur" ont été ajoutées.</w:t>
      </w:r>
    </w:p>
    <w:p w:rsidR="003437A5" w:rsidRPr="00D86D51" w:rsidRDefault="003437A5" w:rsidP="00231C53">
      <w:pPr>
        <w:pStyle w:val="NormalConseil"/>
        <w:spacing w:line="360" w:lineRule="auto"/>
        <w:rPr>
          <w:rFonts w:asciiTheme="majorBidi" w:hAnsiTheme="majorBidi" w:cstheme="majorBidi"/>
          <w:color w:val="000000"/>
          <w:szCs w:val="24"/>
        </w:rPr>
      </w:pPr>
    </w:p>
    <w:p w:rsidR="00231C53" w:rsidRPr="00D86D51" w:rsidRDefault="00231C53" w:rsidP="00231C53">
      <w:pPr>
        <w:pStyle w:val="NormalConseil"/>
        <w:spacing w:line="360" w:lineRule="auto"/>
        <w:rPr>
          <w:rFonts w:asciiTheme="majorBidi" w:hAnsiTheme="majorBidi" w:cstheme="majorBidi"/>
          <w:color w:val="000000"/>
          <w:szCs w:val="24"/>
        </w:rPr>
      </w:pPr>
      <w:r w:rsidRPr="00D86D51">
        <w:rPr>
          <w:rFonts w:asciiTheme="majorBidi" w:hAnsiTheme="majorBidi" w:cstheme="majorBidi"/>
          <w:color w:val="000000"/>
        </w:rPr>
        <w:t>11.</w:t>
      </w:r>
      <w:r w:rsidRPr="00D86D51">
        <w:tab/>
      </w:r>
      <w:r w:rsidRPr="00D86D51">
        <w:rPr>
          <w:rFonts w:asciiTheme="majorBidi" w:hAnsiTheme="majorBidi" w:cstheme="majorBidi"/>
          <w:color w:val="000000"/>
          <w:u w:val="single"/>
        </w:rPr>
        <w:t>Éléments de preuve admissibles</w:t>
      </w:r>
    </w:p>
    <w:p w:rsidR="00231C53" w:rsidRPr="00D86D51" w:rsidRDefault="00231C53" w:rsidP="00231C53">
      <w:pPr>
        <w:pStyle w:val="NormalConseil"/>
        <w:spacing w:line="360" w:lineRule="auto"/>
        <w:ind w:left="567"/>
        <w:rPr>
          <w:rFonts w:asciiTheme="majorBidi" w:hAnsiTheme="majorBidi" w:cstheme="majorBidi"/>
          <w:color w:val="000000"/>
          <w:szCs w:val="24"/>
        </w:rPr>
      </w:pPr>
      <w:r w:rsidRPr="00D86D51">
        <w:rPr>
          <w:rFonts w:asciiTheme="majorBidi" w:hAnsiTheme="majorBidi" w:cstheme="majorBidi"/>
          <w:color w:val="000000"/>
        </w:rPr>
        <w:t xml:space="preserve">Le Conseil a clarifié les règles concernant l'admissibilité </w:t>
      </w:r>
      <w:r w:rsidR="00A6547C">
        <w:rPr>
          <w:rFonts w:asciiTheme="majorBidi" w:hAnsiTheme="majorBidi" w:cstheme="majorBidi"/>
          <w:color w:val="000000"/>
        </w:rPr>
        <w:t>des éléments de preuve dans les </w:t>
      </w:r>
      <w:r w:rsidRPr="00D86D51">
        <w:rPr>
          <w:rFonts w:asciiTheme="majorBidi" w:hAnsiTheme="majorBidi" w:cstheme="majorBidi"/>
          <w:color w:val="000000"/>
        </w:rPr>
        <w:t>procédures administratives et judiciaires.</w:t>
      </w:r>
    </w:p>
    <w:p w:rsidR="00231C53" w:rsidRPr="00D86D51" w:rsidRDefault="00231C53" w:rsidP="00231C53">
      <w:pPr>
        <w:pStyle w:val="NormalConseil"/>
        <w:spacing w:line="360" w:lineRule="auto"/>
        <w:ind w:left="567"/>
        <w:rPr>
          <w:rFonts w:asciiTheme="majorBidi" w:hAnsiTheme="majorBidi" w:cstheme="majorBidi"/>
          <w:color w:val="000000"/>
          <w:szCs w:val="24"/>
        </w:rPr>
      </w:pPr>
    </w:p>
    <w:p w:rsidR="00524131" w:rsidRPr="00D86D51" w:rsidRDefault="00231C53" w:rsidP="00231C53">
      <w:pPr>
        <w:pStyle w:val="NormalConseil"/>
        <w:spacing w:line="360" w:lineRule="auto"/>
        <w:ind w:left="567" w:hanging="567"/>
        <w:rPr>
          <w:rFonts w:asciiTheme="majorBidi" w:hAnsiTheme="majorBidi" w:cstheme="majorBidi"/>
          <w:color w:val="000000"/>
          <w:szCs w:val="24"/>
          <w:u w:val="single"/>
        </w:rPr>
      </w:pPr>
      <w:r w:rsidRPr="00D86D51">
        <w:rPr>
          <w:rFonts w:asciiTheme="majorBidi" w:hAnsiTheme="majorBidi" w:cstheme="majorBidi"/>
          <w:color w:val="000000"/>
        </w:rPr>
        <w:t>12.</w:t>
      </w:r>
      <w:r w:rsidRPr="00D86D51">
        <w:tab/>
      </w:r>
      <w:r w:rsidRPr="00D86D51">
        <w:rPr>
          <w:rFonts w:asciiTheme="majorBidi" w:hAnsiTheme="majorBidi" w:cstheme="majorBidi"/>
          <w:color w:val="000000"/>
          <w:u w:val="single"/>
        </w:rPr>
        <w:t>Répertoires</w:t>
      </w:r>
    </w:p>
    <w:p w:rsidR="00231C53" w:rsidRPr="00D86D51" w:rsidRDefault="00231C53" w:rsidP="00231C53">
      <w:pPr>
        <w:pStyle w:val="NormalConseil"/>
        <w:spacing w:line="360" w:lineRule="auto"/>
        <w:ind w:left="567"/>
        <w:rPr>
          <w:rFonts w:asciiTheme="majorBidi" w:hAnsiTheme="majorBidi" w:cstheme="majorBidi"/>
          <w:color w:val="000000"/>
          <w:szCs w:val="24"/>
        </w:rPr>
      </w:pPr>
      <w:r w:rsidRPr="00D86D51">
        <w:rPr>
          <w:rFonts w:asciiTheme="majorBidi" w:hAnsiTheme="majorBidi" w:cstheme="majorBidi"/>
          <w:color w:val="000000"/>
        </w:rPr>
        <w:t>L'objectif, le contenu et l'utilisation des répertoires créé</w:t>
      </w:r>
      <w:r w:rsidR="00A6547C">
        <w:rPr>
          <w:rFonts w:asciiTheme="majorBidi" w:hAnsiTheme="majorBidi" w:cstheme="majorBidi"/>
          <w:color w:val="000000"/>
        </w:rPr>
        <w:t>s en vertu du règlement ont été </w:t>
      </w:r>
      <w:r w:rsidRPr="00D86D51">
        <w:rPr>
          <w:rFonts w:asciiTheme="majorBidi" w:hAnsiTheme="majorBidi" w:cstheme="majorBidi"/>
          <w:color w:val="000000"/>
        </w:rPr>
        <w:t>clarifiés. Le Conseil a prévu que les États membres devraient avoir le même niveau d'accès que la Commission au répertoire CSM (messages sur le statut des conteneurs) et que les données concernant l'exportation de cargaisons de biens se</w:t>
      </w:r>
      <w:r w:rsidR="00A6547C">
        <w:rPr>
          <w:rFonts w:asciiTheme="majorBidi" w:hAnsiTheme="majorBidi" w:cstheme="majorBidi"/>
          <w:color w:val="000000"/>
        </w:rPr>
        <w:t>nsibles, tels que le tabac, les </w:t>
      </w:r>
      <w:r w:rsidRPr="00D86D51">
        <w:rPr>
          <w:rFonts w:asciiTheme="majorBidi" w:hAnsiTheme="majorBidi" w:cstheme="majorBidi"/>
          <w:color w:val="000000"/>
        </w:rPr>
        <w:t xml:space="preserve">produits du tabac, l'alcool, les boissons alcooliques et les </w:t>
      </w:r>
      <w:r w:rsidR="00A6547C">
        <w:rPr>
          <w:rFonts w:asciiTheme="majorBidi" w:hAnsiTheme="majorBidi" w:cstheme="majorBidi"/>
          <w:color w:val="000000"/>
        </w:rPr>
        <w:t>produits énergétiques devraient </w:t>
      </w:r>
      <w:r w:rsidRPr="00D86D51">
        <w:rPr>
          <w:rFonts w:asciiTheme="majorBidi" w:hAnsiTheme="majorBidi" w:cstheme="majorBidi"/>
          <w:color w:val="000000"/>
        </w:rPr>
        <w:t>être transmises au répertoire CSM par les transporteurs. La possibilité de transférer certaines données du "répertoire des importations, des expor</w:t>
      </w:r>
      <w:r w:rsidR="00A6547C">
        <w:rPr>
          <w:rFonts w:asciiTheme="majorBidi" w:hAnsiTheme="majorBidi" w:cstheme="majorBidi"/>
          <w:color w:val="000000"/>
        </w:rPr>
        <w:t>tations et du transit" vers des </w:t>
      </w:r>
      <w:r w:rsidRPr="00D86D51">
        <w:rPr>
          <w:rFonts w:asciiTheme="majorBidi" w:hAnsiTheme="majorBidi" w:cstheme="majorBidi"/>
          <w:color w:val="000000"/>
        </w:rPr>
        <w:t>organisations internationales ou des agences de l'UE a été supprimée.</w:t>
      </w:r>
    </w:p>
    <w:p w:rsidR="00231C53" w:rsidRPr="00D86D51" w:rsidRDefault="00231C53" w:rsidP="00231C53">
      <w:pPr>
        <w:pStyle w:val="NormalConseil"/>
        <w:spacing w:line="360" w:lineRule="auto"/>
        <w:ind w:left="567"/>
        <w:rPr>
          <w:rFonts w:asciiTheme="majorBidi" w:hAnsiTheme="majorBidi" w:cstheme="majorBidi"/>
          <w:color w:val="000000"/>
          <w:szCs w:val="24"/>
        </w:rPr>
      </w:pPr>
    </w:p>
    <w:p w:rsidR="00231C53" w:rsidRPr="00D86D51" w:rsidRDefault="00231C53" w:rsidP="00231C53">
      <w:pPr>
        <w:pStyle w:val="NormalConseil"/>
        <w:spacing w:line="360" w:lineRule="auto"/>
        <w:rPr>
          <w:rFonts w:asciiTheme="majorBidi" w:hAnsiTheme="majorBidi" w:cstheme="majorBidi"/>
          <w:color w:val="000000"/>
          <w:szCs w:val="24"/>
          <w:u w:val="single"/>
        </w:rPr>
      </w:pPr>
      <w:r w:rsidRPr="00D86D51">
        <w:rPr>
          <w:rFonts w:asciiTheme="majorBidi" w:hAnsiTheme="majorBidi" w:cstheme="majorBidi"/>
          <w:color w:val="000000"/>
        </w:rPr>
        <w:t>13.</w:t>
      </w:r>
      <w:r w:rsidRPr="00D86D51">
        <w:tab/>
      </w:r>
      <w:r w:rsidRPr="00D86D51">
        <w:rPr>
          <w:rFonts w:asciiTheme="majorBidi" w:hAnsiTheme="majorBidi" w:cstheme="majorBidi"/>
          <w:color w:val="000000"/>
          <w:u w:val="single"/>
        </w:rPr>
        <w:t>Mouvements de conteneurs de pays tiers à pays tiers</w:t>
      </w:r>
    </w:p>
    <w:p w:rsidR="003437A5" w:rsidRPr="00D86D51" w:rsidRDefault="00231C53" w:rsidP="003437A5">
      <w:pPr>
        <w:pStyle w:val="NormalConseil"/>
        <w:spacing w:line="360" w:lineRule="auto"/>
        <w:ind w:left="567"/>
        <w:rPr>
          <w:rFonts w:asciiTheme="majorBidi" w:hAnsiTheme="majorBidi" w:cstheme="majorBidi"/>
          <w:color w:val="000000"/>
          <w:szCs w:val="24"/>
        </w:rPr>
      </w:pPr>
      <w:r w:rsidRPr="00D86D51">
        <w:rPr>
          <w:rFonts w:asciiTheme="majorBidi" w:hAnsiTheme="majorBidi" w:cstheme="majorBidi"/>
          <w:color w:val="000000"/>
        </w:rPr>
        <w:t>Le Conseil a clarifié les règles liées à ces mouvements de conteneurs qui ne devraient pas être déclarés dans le répertoire CSM.</w:t>
      </w:r>
    </w:p>
    <w:p w:rsidR="00231C53" w:rsidRPr="00D86D51" w:rsidRDefault="003437A5" w:rsidP="003437A5">
      <w:pPr>
        <w:pStyle w:val="NormalConseil"/>
        <w:spacing w:line="360" w:lineRule="auto"/>
        <w:rPr>
          <w:rFonts w:asciiTheme="majorBidi" w:hAnsiTheme="majorBidi" w:cstheme="majorBidi"/>
          <w:color w:val="000000"/>
          <w:szCs w:val="24"/>
        </w:rPr>
      </w:pPr>
      <w:r w:rsidRPr="00D86D51">
        <w:br w:type="page"/>
      </w:r>
      <w:r w:rsidRPr="00D86D51">
        <w:rPr>
          <w:rFonts w:asciiTheme="majorBidi" w:hAnsiTheme="majorBidi" w:cstheme="majorBidi"/>
          <w:color w:val="000000"/>
        </w:rPr>
        <w:t>14.</w:t>
      </w:r>
      <w:r w:rsidRPr="00D86D51">
        <w:tab/>
      </w:r>
      <w:r w:rsidRPr="00D86D51">
        <w:rPr>
          <w:rFonts w:asciiTheme="majorBidi" w:hAnsiTheme="majorBidi" w:cstheme="majorBidi"/>
          <w:color w:val="000000"/>
          <w:u w:val="single"/>
        </w:rPr>
        <w:t>Protection des données</w:t>
      </w:r>
    </w:p>
    <w:p w:rsidR="00231C53" w:rsidRPr="00D86D51" w:rsidRDefault="00231C53" w:rsidP="00231C53">
      <w:pPr>
        <w:pStyle w:val="NormalConseil"/>
        <w:spacing w:line="360" w:lineRule="auto"/>
        <w:ind w:left="567"/>
        <w:rPr>
          <w:rFonts w:asciiTheme="majorBidi" w:hAnsiTheme="majorBidi" w:cstheme="majorBidi"/>
          <w:color w:val="000000"/>
          <w:szCs w:val="24"/>
        </w:rPr>
      </w:pPr>
      <w:r w:rsidRPr="00D86D51">
        <w:rPr>
          <w:rFonts w:asciiTheme="majorBidi" w:hAnsiTheme="majorBidi" w:cstheme="majorBidi"/>
          <w:color w:val="000000"/>
        </w:rPr>
        <w:t>Les références aux règles relatives à la protection des données ont été rationalisées conformément au règlement (CE) n° 45/2001.</w:t>
      </w:r>
    </w:p>
    <w:p w:rsidR="003437A5" w:rsidRPr="00D86D51" w:rsidRDefault="003437A5" w:rsidP="00231C53">
      <w:pPr>
        <w:pStyle w:val="NormalConseil"/>
        <w:spacing w:line="360" w:lineRule="auto"/>
        <w:rPr>
          <w:rFonts w:asciiTheme="majorBidi" w:hAnsiTheme="majorBidi" w:cstheme="majorBidi"/>
          <w:color w:val="000000"/>
          <w:szCs w:val="24"/>
        </w:rPr>
      </w:pPr>
    </w:p>
    <w:p w:rsidR="00231C53" w:rsidRPr="00D86D51" w:rsidRDefault="00231C53" w:rsidP="00231C53">
      <w:pPr>
        <w:pStyle w:val="NormalConseil"/>
        <w:spacing w:line="360" w:lineRule="auto"/>
        <w:rPr>
          <w:rFonts w:asciiTheme="majorBidi" w:hAnsiTheme="majorBidi" w:cstheme="majorBidi"/>
          <w:color w:val="000000"/>
          <w:szCs w:val="24"/>
        </w:rPr>
      </w:pPr>
      <w:r w:rsidRPr="00D86D51">
        <w:rPr>
          <w:rFonts w:asciiTheme="majorBidi" w:hAnsiTheme="majorBidi" w:cstheme="majorBidi"/>
          <w:color w:val="000000"/>
        </w:rPr>
        <w:t>15.</w:t>
      </w:r>
      <w:r w:rsidRPr="00D86D51">
        <w:tab/>
      </w:r>
      <w:r w:rsidRPr="00D86D51">
        <w:rPr>
          <w:rFonts w:asciiTheme="majorBidi" w:hAnsiTheme="majorBidi" w:cstheme="majorBidi"/>
          <w:color w:val="000000"/>
          <w:u w:val="single"/>
        </w:rPr>
        <w:t>Demandes de documents adressées aux États membres par la Commission</w:t>
      </w:r>
    </w:p>
    <w:p w:rsidR="00231C53" w:rsidRPr="00D86D51" w:rsidRDefault="00231C53" w:rsidP="00231C53">
      <w:pPr>
        <w:pStyle w:val="NormalConseil"/>
        <w:spacing w:line="360" w:lineRule="auto"/>
        <w:ind w:left="567"/>
        <w:rPr>
          <w:rFonts w:asciiTheme="majorBidi" w:hAnsiTheme="majorBidi" w:cstheme="majorBidi"/>
          <w:color w:val="000000"/>
          <w:szCs w:val="24"/>
        </w:rPr>
      </w:pPr>
      <w:r w:rsidRPr="00D86D51">
        <w:rPr>
          <w:rFonts w:asciiTheme="majorBidi" w:hAnsiTheme="majorBidi" w:cstheme="majorBidi"/>
          <w:color w:val="000000"/>
        </w:rPr>
        <w:t>Le Conseil a précisé que les documents accompagnant le</w:t>
      </w:r>
      <w:r w:rsidR="00A6547C">
        <w:rPr>
          <w:rFonts w:asciiTheme="majorBidi" w:hAnsiTheme="majorBidi" w:cstheme="majorBidi"/>
          <w:color w:val="000000"/>
        </w:rPr>
        <w:t>s déclarations d'importation et </w:t>
      </w:r>
      <w:r w:rsidRPr="00D86D51">
        <w:rPr>
          <w:rFonts w:asciiTheme="majorBidi" w:hAnsiTheme="majorBidi" w:cstheme="majorBidi"/>
          <w:color w:val="000000"/>
        </w:rPr>
        <w:t>d'exportation devraient être fournis par les États membres, sur demande de la Commission, et que cette demande devrait être traitée dans un délai de quatre semaines.</w:t>
      </w:r>
    </w:p>
    <w:p w:rsidR="00231C53" w:rsidRPr="00D86D51" w:rsidRDefault="00231C53" w:rsidP="00231C53">
      <w:pPr>
        <w:pStyle w:val="NormalConseil"/>
        <w:spacing w:line="360" w:lineRule="auto"/>
        <w:ind w:left="1134" w:hanging="567"/>
        <w:rPr>
          <w:rFonts w:asciiTheme="majorBidi" w:hAnsiTheme="majorBidi" w:cstheme="majorBidi"/>
          <w:color w:val="000000"/>
          <w:szCs w:val="24"/>
        </w:rPr>
      </w:pPr>
    </w:p>
    <w:p w:rsidR="00231C53" w:rsidRPr="00D86D51" w:rsidRDefault="00231C53" w:rsidP="00231C53">
      <w:pPr>
        <w:pStyle w:val="NormalConseil"/>
        <w:spacing w:line="360" w:lineRule="auto"/>
        <w:ind w:left="567" w:hanging="567"/>
        <w:rPr>
          <w:rFonts w:asciiTheme="majorBidi" w:hAnsiTheme="majorBidi" w:cstheme="majorBidi"/>
          <w:color w:val="000000"/>
          <w:szCs w:val="24"/>
        </w:rPr>
      </w:pPr>
      <w:r w:rsidRPr="00D86D51">
        <w:rPr>
          <w:rFonts w:asciiTheme="majorBidi" w:hAnsiTheme="majorBidi" w:cstheme="majorBidi"/>
          <w:color w:val="000000"/>
        </w:rPr>
        <w:t>16.</w:t>
      </w:r>
      <w:r w:rsidRPr="00D86D51">
        <w:tab/>
      </w:r>
      <w:r w:rsidRPr="00D86D51">
        <w:rPr>
          <w:rFonts w:asciiTheme="majorBidi" w:hAnsiTheme="majorBidi" w:cstheme="majorBidi"/>
          <w:color w:val="000000"/>
          <w:u w:val="single"/>
        </w:rPr>
        <w:t>Stockage des données</w:t>
      </w:r>
    </w:p>
    <w:p w:rsidR="00231C53" w:rsidRPr="00D86D51" w:rsidRDefault="00231C53" w:rsidP="00231C53">
      <w:pPr>
        <w:pStyle w:val="NormalConseil"/>
        <w:spacing w:line="360" w:lineRule="auto"/>
        <w:ind w:left="567"/>
        <w:rPr>
          <w:rFonts w:asciiTheme="majorBidi" w:hAnsiTheme="majorBidi" w:cstheme="majorBidi"/>
          <w:color w:val="000000"/>
          <w:szCs w:val="24"/>
        </w:rPr>
      </w:pPr>
      <w:r w:rsidRPr="00D86D51">
        <w:rPr>
          <w:rFonts w:asciiTheme="majorBidi" w:hAnsiTheme="majorBidi" w:cstheme="majorBidi"/>
          <w:color w:val="000000"/>
        </w:rPr>
        <w:t>Les données figurant dans le système d'information douanier (SID) devraient être stockées pendant une durée maximale de cinq ans, prolongée d'une durée supplémentaire de deux ans si cela est justifié.</w:t>
      </w:r>
    </w:p>
    <w:p w:rsidR="00231C53" w:rsidRPr="00D86D51" w:rsidRDefault="00231C53" w:rsidP="00231C53">
      <w:pPr>
        <w:pStyle w:val="NormalConseil"/>
        <w:spacing w:line="360" w:lineRule="auto"/>
        <w:rPr>
          <w:rFonts w:asciiTheme="majorBidi" w:hAnsiTheme="majorBidi" w:cstheme="majorBidi"/>
          <w:color w:val="000000"/>
          <w:szCs w:val="24"/>
        </w:rPr>
      </w:pPr>
    </w:p>
    <w:p w:rsidR="00231C53" w:rsidRPr="00D86D51" w:rsidRDefault="00231C53" w:rsidP="00231C53">
      <w:pPr>
        <w:pStyle w:val="NormalConseil"/>
        <w:spacing w:line="360" w:lineRule="auto"/>
        <w:rPr>
          <w:rFonts w:asciiTheme="majorBidi" w:hAnsiTheme="majorBidi" w:cstheme="majorBidi"/>
          <w:color w:val="000000"/>
          <w:szCs w:val="24"/>
          <w:u w:val="single"/>
        </w:rPr>
      </w:pPr>
      <w:r w:rsidRPr="00D86D51">
        <w:rPr>
          <w:rFonts w:asciiTheme="majorBidi" w:hAnsiTheme="majorBidi" w:cstheme="majorBidi"/>
          <w:color w:val="000000"/>
        </w:rPr>
        <w:t>17.</w:t>
      </w:r>
      <w:r w:rsidRPr="00D86D51">
        <w:tab/>
      </w:r>
      <w:r w:rsidRPr="00D86D51">
        <w:rPr>
          <w:rFonts w:asciiTheme="majorBidi" w:hAnsiTheme="majorBidi" w:cstheme="majorBidi"/>
          <w:color w:val="000000"/>
          <w:u w:val="single"/>
        </w:rPr>
        <w:t>Évaluation</w:t>
      </w:r>
    </w:p>
    <w:p w:rsidR="00231C53" w:rsidRPr="00D86D51" w:rsidRDefault="00231C53" w:rsidP="00231C53">
      <w:pPr>
        <w:pStyle w:val="NormalConseil"/>
        <w:spacing w:line="360" w:lineRule="auto"/>
        <w:rPr>
          <w:rFonts w:asciiTheme="majorBidi" w:hAnsiTheme="majorBidi" w:cstheme="majorBidi"/>
          <w:color w:val="000000"/>
          <w:szCs w:val="24"/>
          <w:u w:val="single"/>
        </w:rPr>
      </w:pPr>
    </w:p>
    <w:p w:rsidR="00231C53" w:rsidRPr="00D86D51" w:rsidRDefault="00231C53" w:rsidP="00231C53">
      <w:pPr>
        <w:pStyle w:val="NormalConseil"/>
        <w:spacing w:line="360" w:lineRule="auto"/>
        <w:ind w:left="567"/>
        <w:rPr>
          <w:rFonts w:asciiTheme="majorBidi" w:hAnsiTheme="majorBidi" w:cstheme="majorBidi"/>
          <w:color w:val="000000"/>
          <w:szCs w:val="24"/>
        </w:rPr>
      </w:pPr>
      <w:r w:rsidRPr="00D86D51">
        <w:rPr>
          <w:rFonts w:asciiTheme="majorBidi" w:hAnsiTheme="majorBidi" w:cstheme="majorBidi"/>
          <w:color w:val="000000"/>
        </w:rPr>
        <w:t>Le Conseil a prévu que, deux ans après l'entrée en vigueur du règlement, la Commission évalue la nécessité d'étendre les données relatives à l'exportati</w:t>
      </w:r>
      <w:r w:rsidR="00A6547C">
        <w:rPr>
          <w:rFonts w:asciiTheme="majorBidi" w:hAnsiTheme="majorBidi" w:cstheme="majorBidi"/>
          <w:color w:val="000000"/>
        </w:rPr>
        <w:t>on et les données relatives aux </w:t>
      </w:r>
      <w:r w:rsidRPr="00D86D51">
        <w:rPr>
          <w:rFonts w:asciiTheme="majorBidi" w:hAnsiTheme="majorBidi" w:cstheme="majorBidi"/>
          <w:color w:val="000000"/>
        </w:rPr>
        <w:t>mouvements terrestres et aériens figurant dans les répertoires concernés.</w:t>
      </w:r>
    </w:p>
    <w:p w:rsidR="00231C53" w:rsidRPr="00D86D51" w:rsidRDefault="00231C53" w:rsidP="00231C53">
      <w:pPr>
        <w:pStyle w:val="NormalConseil"/>
        <w:spacing w:line="360" w:lineRule="auto"/>
        <w:ind w:left="567" w:hanging="567"/>
        <w:rPr>
          <w:rFonts w:asciiTheme="majorBidi" w:hAnsiTheme="majorBidi" w:cstheme="majorBidi"/>
          <w:color w:val="000000"/>
          <w:szCs w:val="24"/>
        </w:rPr>
      </w:pPr>
    </w:p>
    <w:p w:rsidR="00524131" w:rsidRPr="00D86D51" w:rsidRDefault="00231C53" w:rsidP="00231C53">
      <w:pPr>
        <w:pStyle w:val="NormalConseil"/>
        <w:spacing w:line="360" w:lineRule="auto"/>
        <w:ind w:left="567" w:hanging="567"/>
        <w:rPr>
          <w:rFonts w:asciiTheme="majorBidi" w:hAnsiTheme="majorBidi" w:cstheme="majorBidi"/>
          <w:color w:val="000000"/>
          <w:szCs w:val="24"/>
          <w:u w:val="single"/>
        </w:rPr>
      </w:pPr>
      <w:r w:rsidRPr="00D86D51">
        <w:rPr>
          <w:rFonts w:asciiTheme="majorBidi" w:hAnsiTheme="majorBidi" w:cstheme="majorBidi"/>
          <w:color w:val="000000"/>
        </w:rPr>
        <w:t>18.</w:t>
      </w:r>
      <w:r w:rsidRPr="00D86D51">
        <w:tab/>
      </w:r>
      <w:r w:rsidRPr="00D86D51">
        <w:rPr>
          <w:rFonts w:asciiTheme="majorBidi" w:hAnsiTheme="majorBidi" w:cstheme="majorBidi"/>
          <w:color w:val="000000"/>
          <w:u w:val="single"/>
        </w:rPr>
        <w:t>Date d'application</w:t>
      </w:r>
    </w:p>
    <w:p w:rsidR="00524131" w:rsidRPr="00D86D51" w:rsidRDefault="00231C53" w:rsidP="00231C53">
      <w:pPr>
        <w:pStyle w:val="NormalConseil"/>
        <w:spacing w:line="360" w:lineRule="auto"/>
        <w:ind w:left="567"/>
        <w:rPr>
          <w:rFonts w:asciiTheme="majorBidi" w:hAnsiTheme="majorBidi" w:cstheme="majorBidi"/>
          <w:color w:val="000000"/>
          <w:szCs w:val="24"/>
        </w:rPr>
      </w:pPr>
      <w:r w:rsidRPr="00D86D51">
        <w:rPr>
          <w:rFonts w:asciiTheme="majorBidi" w:hAnsiTheme="majorBidi" w:cstheme="majorBidi"/>
          <w:color w:val="000000"/>
        </w:rPr>
        <w:t>La date d'application a été fixée au 1</w:t>
      </w:r>
      <w:r w:rsidRPr="00D86D51">
        <w:rPr>
          <w:rFonts w:asciiTheme="majorBidi" w:hAnsiTheme="majorBidi" w:cstheme="majorBidi"/>
          <w:color w:val="000000"/>
          <w:vertAlign w:val="superscript"/>
        </w:rPr>
        <w:t>er</w:t>
      </w:r>
      <w:r w:rsidRPr="00D86D51">
        <w:rPr>
          <w:rFonts w:asciiTheme="majorBidi" w:hAnsiTheme="majorBidi" w:cstheme="majorBidi"/>
          <w:color w:val="000000"/>
        </w:rPr>
        <w:t xml:space="preserve"> septembre 2016, co</w:t>
      </w:r>
      <w:r w:rsidR="00A6547C">
        <w:rPr>
          <w:rFonts w:asciiTheme="majorBidi" w:hAnsiTheme="majorBidi" w:cstheme="majorBidi"/>
          <w:color w:val="000000"/>
        </w:rPr>
        <w:t>mpte tenu des actes délégués et </w:t>
      </w:r>
      <w:r w:rsidRPr="00D86D51">
        <w:rPr>
          <w:rFonts w:asciiTheme="majorBidi" w:hAnsiTheme="majorBidi" w:cstheme="majorBidi"/>
          <w:color w:val="000000"/>
        </w:rPr>
        <w:t>d'exécution à adopter, et des tâches préparatoires que les États membres doivent accomplir.</w:t>
      </w:r>
    </w:p>
    <w:p w:rsidR="00231C53" w:rsidRPr="00D86D51" w:rsidRDefault="003437A5" w:rsidP="003437A5">
      <w:pPr>
        <w:pStyle w:val="NormalConseil"/>
        <w:spacing w:line="360" w:lineRule="auto"/>
        <w:rPr>
          <w:rFonts w:asciiTheme="majorBidi" w:hAnsiTheme="majorBidi" w:cstheme="majorBidi"/>
          <w:color w:val="000000"/>
          <w:szCs w:val="24"/>
        </w:rPr>
      </w:pPr>
      <w:r w:rsidRPr="00D86D51">
        <w:br w:type="page"/>
      </w:r>
      <w:r w:rsidRPr="00D86D51">
        <w:rPr>
          <w:rFonts w:asciiTheme="majorBidi" w:hAnsiTheme="majorBidi" w:cstheme="majorBidi"/>
          <w:color w:val="000000"/>
        </w:rPr>
        <w:t>19.</w:t>
      </w:r>
      <w:r w:rsidRPr="00D86D51">
        <w:tab/>
      </w:r>
      <w:r w:rsidRPr="00D86D51">
        <w:rPr>
          <w:rFonts w:asciiTheme="majorBidi" w:hAnsiTheme="majorBidi" w:cstheme="majorBidi"/>
          <w:color w:val="000000"/>
          <w:u w:val="single"/>
        </w:rPr>
        <w:t>Considérants</w:t>
      </w:r>
    </w:p>
    <w:p w:rsidR="00231C53" w:rsidRPr="00D86D51" w:rsidRDefault="00231C53" w:rsidP="00231C53">
      <w:pPr>
        <w:pStyle w:val="NormalConseil"/>
        <w:spacing w:line="360" w:lineRule="auto"/>
        <w:ind w:left="567"/>
        <w:rPr>
          <w:rFonts w:asciiTheme="majorBidi" w:hAnsiTheme="majorBidi" w:cstheme="majorBidi"/>
          <w:color w:val="000000"/>
          <w:szCs w:val="24"/>
        </w:rPr>
      </w:pPr>
      <w:r w:rsidRPr="00D86D51">
        <w:rPr>
          <w:rFonts w:asciiTheme="majorBidi" w:hAnsiTheme="majorBidi" w:cstheme="majorBidi"/>
        </w:rPr>
        <w:t xml:space="preserve">Le Conseil a modifié les considérants afin de les faire correspondre aux </w:t>
      </w:r>
      <w:r w:rsidR="00A6547C">
        <w:rPr>
          <w:rFonts w:asciiTheme="majorBidi" w:hAnsiTheme="majorBidi" w:cstheme="majorBidi"/>
        </w:rPr>
        <w:t>parties modifiées du </w:t>
      </w:r>
      <w:r w:rsidRPr="00D86D51">
        <w:rPr>
          <w:rFonts w:asciiTheme="majorBidi" w:hAnsiTheme="majorBidi" w:cstheme="majorBidi"/>
        </w:rPr>
        <w:t xml:space="preserve">dispositif du règlement et de tenir compte de certaines </w:t>
      </w:r>
      <w:r w:rsidR="00A6547C">
        <w:rPr>
          <w:rFonts w:asciiTheme="majorBidi" w:hAnsiTheme="majorBidi" w:cstheme="majorBidi"/>
        </w:rPr>
        <w:t>préoccupations exprimées par le </w:t>
      </w:r>
      <w:r w:rsidRPr="00D86D51">
        <w:rPr>
          <w:rFonts w:asciiTheme="majorBidi" w:hAnsiTheme="majorBidi" w:cstheme="majorBidi"/>
        </w:rPr>
        <w:t>Parlement européen.</w:t>
      </w:r>
    </w:p>
    <w:p w:rsidR="00231C53" w:rsidRPr="00D86D51" w:rsidRDefault="00231C53" w:rsidP="00231C53">
      <w:pPr>
        <w:pStyle w:val="EntInstit"/>
        <w:spacing w:line="360" w:lineRule="auto"/>
        <w:jc w:val="left"/>
        <w:rPr>
          <w:rFonts w:asciiTheme="majorBidi" w:hAnsiTheme="majorBidi" w:cstheme="majorBidi"/>
          <w:szCs w:val="24"/>
        </w:rPr>
      </w:pPr>
    </w:p>
    <w:p w:rsidR="00231C53" w:rsidRPr="00D86D51" w:rsidRDefault="00231C53" w:rsidP="00231C53">
      <w:pPr>
        <w:pStyle w:val="EntInstit"/>
        <w:spacing w:line="360" w:lineRule="auto"/>
        <w:jc w:val="left"/>
        <w:rPr>
          <w:rFonts w:asciiTheme="majorBidi" w:hAnsiTheme="majorBidi" w:cstheme="majorBidi"/>
          <w:szCs w:val="24"/>
        </w:rPr>
      </w:pPr>
      <w:r w:rsidRPr="00D86D51">
        <w:rPr>
          <w:rFonts w:asciiTheme="majorBidi" w:hAnsiTheme="majorBidi" w:cstheme="majorBidi"/>
        </w:rPr>
        <w:t>IV.</w:t>
      </w:r>
      <w:r w:rsidRPr="00D86D51">
        <w:tab/>
      </w:r>
      <w:r w:rsidRPr="00D86D51">
        <w:rPr>
          <w:rFonts w:asciiTheme="majorBidi" w:hAnsiTheme="majorBidi" w:cstheme="majorBidi"/>
          <w:u w:val="single"/>
        </w:rPr>
        <w:t>CONCLUSIONS</w:t>
      </w:r>
    </w:p>
    <w:p w:rsidR="00231C53" w:rsidRPr="00D86D51" w:rsidRDefault="00231C53" w:rsidP="00231C53">
      <w:pPr>
        <w:spacing w:before="0" w:after="0"/>
        <w:rPr>
          <w:rFonts w:asciiTheme="majorBidi" w:hAnsiTheme="majorBidi" w:cstheme="majorBidi"/>
        </w:rPr>
      </w:pPr>
    </w:p>
    <w:p w:rsidR="00231C53" w:rsidRPr="00D86D51" w:rsidRDefault="00231C53" w:rsidP="00231C53">
      <w:pPr>
        <w:spacing w:before="0" w:after="0"/>
        <w:ind w:left="567"/>
        <w:rPr>
          <w:rFonts w:asciiTheme="majorBidi" w:hAnsiTheme="majorBidi" w:cstheme="majorBidi"/>
        </w:rPr>
      </w:pPr>
      <w:r w:rsidRPr="00D86D51">
        <w:rPr>
          <w:rFonts w:asciiTheme="majorBidi" w:hAnsiTheme="majorBidi" w:cstheme="majorBidi"/>
        </w:rPr>
        <w:t>Le Conseil a établi sa position en tenant pleinement</w:t>
      </w:r>
      <w:r w:rsidR="00A6547C">
        <w:rPr>
          <w:rFonts w:asciiTheme="majorBidi" w:hAnsiTheme="majorBidi" w:cstheme="majorBidi"/>
        </w:rPr>
        <w:t xml:space="preserve"> compte de la proposition de la </w:t>
      </w:r>
      <w:r w:rsidRPr="00D86D51">
        <w:rPr>
          <w:rFonts w:asciiTheme="majorBidi" w:hAnsiTheme="majorBidi" w:cstheme="majorBidi"/>
        </w:rPr>
        <w:t>Commission et de la position du Parlement européen en première lecture.</w:t>
      </w:r>
    </w:p>
    <w:p w:rsidR="00231C53" w:rsidRPr="00D86D51" w:rsidRDefault="00231C53" w:rsidP="00231C53">
      <w:pPr>
        <w:spacing w:before="0" w:after="0"/>
        <w:rPr>
          <w:rFonts w:asciiTheme="majorBidi" w:hAnsiTheme="majorBidi" w:cstheme="majorBidi"/>
        </w:rPr>
      </w:pPr>
    </w:p>
    <w:p w:rsidR="00231C53" w:rsidRPr="00A57635" w:rsidRDefault="00231C53" w:rsidP="003437A5">
      <w:pPr>
        <w:pStyle w:val="FinalLine"/>
        <w:spacing w:before="0" w:after="0"/>
        <w:rPr>
          <w:rFonts w:asciiTheme="majorBidi" w:hAnsiTheme="majorBidi" w:cstheme="majorBidi"/>
        </w:rPr>
      </w:pPr>
    </w:p>
    <w:sectPr w:rsidR="00231C53" w:rsidRPr="00A57635" w:rsidSect="00000560">
      <w:headerReference w:type="even" r:id="rId12"/>
      <w:headerReference w:type="default" r:id="rId13"/>
      <w:footerReference w:type="even" r:id="rId14"/>
      <w:headerReference w:type="first" r:id="rId15"/>
      <w:footerReference w:type="first" r:id="rId16"/>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FE" w:rsidRDefault="008A3BFE" w:rsidP="008A3BFE">
      <w:pPr>
        <w:spacing w:before="0" w:after="0" w:line="240" w:lineRule="auto"/>
      </w:pPr>
      <w:r>
        <w:separator/>
      </w:r>
    </w:p>
  </w:endnote>
  <w:endnote w:type="continuationSeparator" w:id="0">
    <w:p w:rsidR="008A3BFE" w:rsidRDefault="008A3BFE" w:rsidP="008A3B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00560" w:rsidRPr="00D94637" w:rsidTr="00000560">
      <w:trPr>
        <w:jc w:val="center"/>
      </w:trPr>
      <w:tc>
        <w:tcPr>
          <w:tcW w:w="5000" w:type="pct"/>
          <w:gridSpan w:val="7"/>
          <w:shd w:val="clear" w:color="auto" w:fill="auto"/>
          <w:tcMar>
            <w:top w:w="57" w:type="dxa"/>
          </w:tcMar>
        </w:tcPr>
        <w:p w:rsidR="00000560" w:rsidRPr="00D94637" w:rsidRDefault="00000560" w:rsidP="00D94637">
          <w:pPr>
            <w:pStyle w:val="FooterText"/>
            <w:pBdr>
              <w:top w:val="single" w:sz="4" w:space="1" w:color="auto"/>
            </w:pBdr>
            <w:spacing w:before="200"/>
            <w:rPr>
              <w:sz w:val="2"/>
              <w:szCs w:val="2"/>
            </w:rPr>
          </w:pPr>
          <w:bookmarkStart w:id="2" w:name="FOOTER_STANDARD"/>
        </w:p>
      </w:tc>
    </w:tr>
    <w:tr w:rsidR="00000560" w:rsidRPr="00B310DC" w:rsidTr="00000560">
      <w:trPr>
        <w:jc w:val="center"/>
      </w:trPr>
      <w:tc>
        <w:tcPr>
          <w:tcW w:w="2500" w:type="pct"/>
          <w:gridSpan w:val="2"/>
          <w:shd w:val="clear" w:color="auto" w:fill="auto"/>
          <w:tcMar>
            <w:top w:w="0" w:type="dxa"/>
          </w:tcMar>
        </w:tcPr>
        <w:p w:rsidR="00000560" w:rsidRPr="00AD7BF2" w:rsidRDefault="00000560" w:rsidP="004F54B2">
          <w:pPr>
            <w:pStyle w:val="FooterText"/>
          </w:pPr>
          <w:r>
            <w:t>8257/3/15</w:t>
          </w:r>
          <w:r w:rsidRPr="002511D8">
            <w:t xml:space="preserve"> </w:t>
          </w:r>
          <w:r>
            <w:t>REV 3 ADD 1</w:t>
          </w:r>
        </w:p>
      </w:tc>
      <w:tc>
        <w:tcPr>
          <w:tcW w:w="625" w:type="pct"/>
          <w:shd w:val="clear" w:color="auto" w:fill="auto"/>
          <w:tcMar>
            <w:top w:w="0" w:type="dxa"/>
          </w:tcMar>
        </w:tcPr>
        <w:p w:rsidR="00000560" w:rsidRPr="00AD7BF2" w:rsidRDefault="00000560" w:rsidP="00D94637">
          <w:pPr>
            <w:pStyle w:val="FooterText"/>
            <w:jc w:val="center"/>
          </w:pPr>
        </w:p>
      </w:tc>
      <w:tc>
        <w:tcPr>
          <w:tcW w:w="1287" w:type="pct"/>
          <w:gridSpan w:val="3"/>
          <w:shd w:val="clear" w:color="auto" w:fill="auto"/>
          <w:tcMar>
            <w:top w:w="0" w:type="dxa"/>
          </w:tcMar>
        </w:tcPr>
        <w:p w:rsidR="00000560" w:rsidRPr="002511D8" w:rsidRDefault="00000560" w:rsidP="00D94637">
          <w:pPr>
            <w:pStyle w:val="FooterText"/>
            <w:jc w:val="center"/>
          </w:pPr>
          <w:r>
            <w:t>cg/AA</w:t>
          </w:r>
        </w:p>
      </w:tc>
      <w:tc>
        <w:tcPr>
          <w:tcW w:w="588" w:type="pct"/>
          <w:shd w:val="clear" w:color="auto" w:fill="auto"/>
          <w:tcMar>
            <w:top w:w="0" w:type="dxa"/>
          </w:tcMar>
        </w:tcPr>
        <w:p w:rsidR="00000560" w:rsidRPr="00B310DC" w:rsidRDefault="00000560" w:rsidP="00D94637">
          <w:pPr>
            <w:pStyle w:val="FooterText"/>
            <w:jc w:val="right"/>
          </w:pPr>
          <w:r>
            <w:fldChar w:fldCharType="begin"/>
          </w:r>
          <w:r>
            <w:instrText xml:space="preserve"> PAGE  \* MERGEFORMAT </w:instrText>
          </w:r>
          <w:r>
            <w:fldChar w:fldCharType="separate"/>
          </w:r>
          <w:r w:rsidR="006657F1">
            <w:rPr>
              <w:noProof/>
            </w:rPr>
            <w:t>2</w:t>
          </w:r>
          <w:r>
            <w:fldChar w:fldCharType="end"/>
          </w:r>
        </w:p>
      </w:tc>
    </w:tr>
    <w:tr w:rsidR="00000560" w:rsidRPr="00D94637" w:rsidTr="00000560">
      <w:trPr>
        <w:jc w:val="center"/>
      </w:trPr>
      <w:tc>
        <w:tcPr>
          <w:tcW w:w="1774" w:type="pct"/>
          <w:shd w:val="clear" w:color="auto" w:fill="auto"/>
        </w:tcPr>
        <w:p w:rsidR="00000560" w:rsidRPr="00AD7BF2" w:rsidRDefault="00000560" w:rsidP="00D94637">
          <w:pPr>
            <w:pStyle w:val="FooterText"/>
            <w:spacing w:before="40"/>
          </w:pPr>
        </w:p>
      </w:tc>
      <w:tc>
        <w:tcPr>
          <w:tcW w:w="1455" w:type="pct"/>
          <w:gridSpan w:val="3"/>
          <w:shd w:val="clear" w:color="auto" w:fill="auto"/>
        </w:tcPr>
        <w:p w:rsidR="00000560" w:rsidRPr="00AD7BF2" w:rsidRDefault="00000560" w:rsidP="00D204D6">
          <w:pPr>
            <w:pStyle w:val="FooterText"/>
            <w:spacing w:before="40"/>
            <w:jc w:val="center"/>
          </w:pPr>
          <w:r>
            <w:t>DPG</w:t>
          </w:r>
        </w:p>
      </w:tc>
      <w:tc>
        <w:tcPr>
          <w:tcW w:w="1147" w:type="pct"/>
          <w:shd w:val="clear" w:color="auto" w:fill="auto"/>
        </w:tcPr>
        <w:p w:rsidR="00000560" w:rsidRPr="00D94637" w:rsidRDefault="00000560" w:rsidP="00D94637">
          <w:pPr>
            <w:pStyle w:val="FooterText"/>
            <w:jc w:val="right"/>
            <w:rPr>
              <w:b/>
              <w:position w:val="-4"/>
              <w:sz w:val="36"/>
            </w:rPr>
          </w:pPr>
        </w:p>
      </w:tc>
      <w:tc>
        <w:tcPr>
          <w:tcW w:w="625" w:type="pct"/>
          <w:gridSpan w:val="2"/>
          <w:shd w:val="clear" w:color="auto" w:fill="auto"/>
        </w:tcPr>
        <w:p w:rsidR="00000560" w:rsidRPr="00D94637" w:rsidRDefault="00000560" w:rsidP="00D94637">
          <w:pPr>
            <w:pStyle w:val="FooterText"/>
            <w:jc w:val="right"/>
            <w:rPr>
              <w:sz w:val="16"/>
            </w:rPr>
          </w:pPr>
          <w:r>
            <w:rPr>
              <w:b/>
              <w:position w:val="-4"/>
              <w:sz w:val="36"/>
            </w:rPr>
            <w:t>FR</w:t>
          </w:r>
        </w:p>
      </w:tc>
    </w:tr>
    <w:bookmarkEnd w:id="2"/>
  </w:tbl>
  <w:p w:rsidR="00467531" w:rsidRPr="00000560" w:rsidRDefault="006657F1" w:rsidP="00000560">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00560" w:rsidRPr="00D94637" w:rsidTr="00000560">
      <w:trPr>
        <w:jc w:val="center"/>
      </w:trPr>
      <w:tc>
        <w:tcPr>
          <w:tcW w:w="5000" w:type="pct"/>
          <w:gridSpan w:val="7"/>
          <w:shd w:val="clear" w:color="auto" w:fill="auto"/>
          <w:tcMar>
            <w:top w:w="57" w:type="dxa"/>
          </w:tcMar>
        </w:tcPr>
        <w:p w:rsidR="00000560" w:rsidRPr="00D94637" w:rsidRDefault="00000560" w:rsidP="00D94637">
          <w:pPr>
            <w:pStyle w:val="FooterText"/>
            <w:pBdr>
              <w:top w:val="single" w:sz="4" w:space="1" w:color="auto"/>
            </w:pBdr>
            <w:spacing w:before="200"/>
            <w:rPr>
              <w:sz w:val="2"/>
              <w:szCs w:val="2"/>
            </w:rPr>
          </w:pPr>
        </w:p>
      </w:tc>
    </w:tr>
    <w:tr w:rsidR="00000560" w:rsidRPr="00B310DC" w:rsidTr="00000560">
      <w:trPr>
        <w:jc w:val="center"/>
      </w:trPr>
      <w:tc>
        <w:tcPr>
          <w:tcW w:w="2500" w:type="pct"/>
          <w:gridSpan w:val="2"/>
          <w:shd w:val="clear" w:color="auto" w:fill="auto"/>
          <w:tcMar>
            <w:top w:w="0" w:type="dxa"/>
          </w:tcMar>
        </w:tcPr>
        <w:p w:rsidR="00000560" w:rsidRPr="00AD7BF2" w:rsidRDefault="00000560" w:rsidP="004F54B2">
          <w:pPr>
            <w:pStyle w:val="FooterText"/>
          </w:pPr>
          <w:r>
            <w:t>8257/3/15</w:t>
          </w:r>
          <w:r w:rsidRPr="002511D8">
            <w:t xml:space="preserve"> </w:t>
          </w:r>
          <w:r>
            <w:t>REV 3 ADD 1</w:t>
          </w:r>
        </w:p>
      </w:tc>
      <w:tc>
        <w:tcPr>
          <w:tcW w:w="625" w:type="pct"/>
          <w:shd w:val="clear" w:color="auto" w:fill="auto"/>
          <w:tcMar>
            <w:top w:w="0" w:type="dxa"/>
          </w:tcMar>
        </w:tcPr>
        <w:p w:rsidR="00000560" w:rsidRPr="00AD7BF2" w:rsidRDefault="00000560" w:rsidP="00D94637">
          <w:pPr>
            <w:pStyle w:val="FooterText"/>
            <w:jc w:val="center"/>
          </w:pPr>
        </w:p>
      </w:tc>
      <w:tc>
        <w:tcPr>
          <w:tcW w:w="1287" w:type="pct"/>
          <w:gridSpan w:val="3"/>
          <w:shd w:val="clear" w:color="auto" w:fill="auto"/>
          <w:tcMar>
            <w:top w:w="0" w:type="dxa"/>
          </w:tcMar>
        </w:tcPr>
        <w:p w:rsidR="00000560" w:rsidRPr="002511D8" w:rsidRDefault="00000560" w:rsidP="00D94637">
          <w:pPr>
            <w:pStyle w:val="FooterText"/>
            <w:jc w:val="center"/>
          </w:pPr>
          <w:r>
            <w:t>cg/AA</w:t>
          </w:r>
        </w:p>
      </w:tc>
      <w:tc>
        <w:tcPr>
          <w:tcW w:w="588" w:type="pct"/>
          <w:shd w:val="clear" w:color="auto" w:fill="auto"/>
          <w:tcMar>
            <w:top w:w="0" w:type="dxa"/>
          </w:tcMar>
        </w:tcPr>
        <w:p w:rsidR="00000560" w:rsidRPr="00B310DC" w:rsidRDefault="00000560" w:rsidP="00D94637">
          <w:pPr>
            <w:pStyle w:val="FooterText"/>
            <w:jc w:val="right"/>
          </w:pPr>
          <w:r>
            <w:fldChar w:fldCharType="begin"/>
          </w:r>
          <w:r>
            <w:instrText xml:space="preserve"> PAGE  \* MERGEFORMAT </w:instrText>
          </w:r>
          <w:r>
            <w:fldChar w:fldCharType="separate"/>
          </w:r>
          <w:r w:rsidR="006657F1">
            <w:rPr>
              <w:noProof/>
            </w:rPr>
            <w:t>1</w:t>
          </w:r>
          <w:r>
            <w:fldChar w:fldCharType="end"/>
          </w:r>
        </w:p>
      </w:tc>
    </w:tr>
    <w:tr w:rsidR="00000560" w:rsidRPr="00D94637" w:rsidTr="00000560">
      <w:trPr>
        <w:jc w:val="center"/>
      </w:trPr>
      <w:tc>
        <w:tcPr>
          <w:tcW w:w="1774" w:type="pct"/>
          <w:shd w:val="clear" w:color="auto" w:fill="auto"/>
        </w:tcPr>
        <w:p w:rsidR="00000560" w:rsidRPr="00AD7BF2" w:rsidRDefault="00000560" w:rsidP="00D94637">
          <w:pPr>
            <w:pStyle w:val="FooterText"/>
            <w:spacing w:before="40"/>
          </w:pPr>
        </w:p>
      </w:tc>
      <w:tc>
        <w:tcPr>
          <w:tcW w:w="1455" w:type="pct"/>
          <w:gridSpan w:val="3"/>
          <w:shd w:val="clear" w:color="auto" w:fill="auto"/>
        </w:tcPr>
        <w:p w:rsidR="00000560" w:rsidRPr="00AD7BF2" w:rsidRDefault="00000560" w:rsidP="00D204D6">
          <w:pPr>
            <w:pStyle w:val="FooterText"/>
            <w:spacing w:before="40"/>
            <w:jc w:val="center"/>
          </w:pPr>
          <w:r>
            <w:t>DPG</w:t>
          </w:r>
        </w:p>
      </w:tc>
      <w:tc>
        <w:tcPr>
          <w:tcW w:w="1147" w:type="pct"/>
          <w:shd w:val="clear" w:color="auto" w:fill="auto"/>
        </w:tcPr>
        <w:p w:rsidR="00000560" w:rsidRPr="00D94637" w:rsidRDefault="00000560" w:rsidP="00D94637">
          <w:pPr>
            <w:pStyle w:val="FooterText"/>
            <w:jc w:val="right"/>
            <w:rPr>
              <w:b/>
              <w:position w:val="-4"/>
              <w:sz w:val="36"/>
            </w:rPr>
          </w:pPr>
        </w:p>
      </w:tc>
      <w:tc>
        <w:tcPr>
          <w:tcW w:w="625" w:type="pct"/>
          <w:gridSpan w:val="2"/>
          <w:shd w:val="clear" w:color="auto" w:fill="auto"/>
        </w:tcPr>
        <w:p w:rsidR="00000560" w:rsidRPr="00D94637" w:rsidRDefault="00000560" w:rsidP="00D94637">
          <w:pPr>
            <w:pStyle w:val="FooterText"/>
            <w:jc w:val="right"/>
            <w:rPr>
              <w:sz w:val="16"/>
            </w:rPr>
          </w:pPr>
          <w:r>
            <w:rPr>
              <w:b/>
              <w:position w:val="-4"/>
              <w:sz w:val="36"/>
            </w:rPr>
            <w:t>FR</w:t>
          </w:r>
        </w:p>
      </w:tc>
    </w:tr>
  </w:tbl>
  <w:p w:rsidR="00B00693" w:rsidRPr="00000560" w:rsidRDefault="00B00693" w:rsidP="0000056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64" w:rsidRPr="00000560" w:rsidRDefault="006657F1" w:rsidP="000005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8C2" w:rsidRPr="00000560" w:rsidRDefault="006657F1" w:rsidP="000005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FE" w:rsidRDefault="008A3BFE" w:rsidP="008A3BFE">
      <w:pPr>
        <w:spacing w:before="0" w:after="0" w:line="240" w:lineRule="auto"/>
      </w:pPr>
      <w:r>
        <w:separator/>
      </w:r>
    </w:p>
  </w:footnote>
  <w:footnote w:type="continuationSeparator" w:id="0">
    <w:p w:rsidR="008A3BFE" w:rsidRDefault="008A3BFE" w:rsidP="008A3BFE">
      <w:pPr>
        <w:spacing w:before="0" w:after="0" w:line="240" w:lineRule="auto"/>
      </w:pPr>
      <w:r>
        <w:continuationSeparator/>
      </w:r>
    </w:p>
  </w:footnote>
  <w:footnote w:id="1">
    <w:p w:rsidR="00231C53" w:rsidRPr="0022531C" w:rsidRDefault="00231C53" w:rsidP="00231C53">
      <w:pPr>
        <w:pStyle w:val="FootnoteText"/>
        <w:ind w:left="567" w:hanging="567"/>
        <w:rPr>
          <w:lang w:val="en-GB"/>
        </w:rPr>
      </w:pPr>
      <w:r>
        <w:rPr>
          <w:rStyle w:val="FootnoteReference"/>
        </w:rPr>
        <w:footnoteRef/>
      </w:r>
      <w:r w:rsidRPr="0022531C">
        <w:rPr>
          <w:lang w:val="en-GB"/>
        </w:rPr>
        <w:tab/>
        <w:t>Doc. 8658/14 CODEC 1023 UD 112 AGRI 294 ENFOCUSTOM 46 PE 250.</w:t>
      </w:r>
    </w:p>
  </w:footnote>
  <w:footnote w:id="2">
    <w:p w:rsidR="00231C53" w:rsidRPr="0021716C" w:rsidRDefault="00231C53" w:rsidP="0001568D">
      <w:pPr>
        <w:pStyle w:val="FootnoteText"/>
        <w:ind w:left="567" w:hanging="567"/>
      </w:pPr>
      <w:r>
        <w:rPr>
          <w:rStyle w:val="FootnoteReference"/>
        </w:rPr>
        <w:footnoteRef/>
      </w:r>
      <w:r>
        <w:tab/>
        <w:t>Un certain nombre de questions techniques demeurées en suspens ont été examinées en janvier 2015 par la présidence lettone.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64" w:rsidRPr="00000560" w:rsidRDefault="006657F1" w:rsidP="000005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64" w:rsidRPr="00000560" w:rsidRDefault="006657F1" w:rsidP="000005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64" w:rsidRPr="00000560" w:rsidRDefault="006657F1" w:rsidP="000005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2">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4">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6">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7">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8">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9">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0">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1">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2">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3">
    <w:nsid w:val="505E7A4A"/>
    <w:multiLevelType w:val="hybridMultilevel"/>
    <w:tmpl w:val="5CBE3A58"/>
    <w:lvl w:ilvl="0" w:tplc="CDA252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6">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7">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18">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9">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5"/>
  </w:num>
  <w:num w:numId="2">
    <w:abstractNumId w:val="10"/>
  </w:num>
  <w:num w:numId="3">
    <w:abstractNumId w:val="9"/>
  </w:num>
  <w:num w:numId="4">
    <w:abstractNumId w:val="11"/>
  </w:num>
  <w:num w:numId="5">
    <w:abstractNumId w:val="7"/>
  </w:num>
  <w:num w:numId="6">
    <w:abstractNumId w:val="1"/>
  </w:num>
  <w:num w:numId="7">
    <w:abstractNumId w:val="6"/>
  </w:num>
  <w:num w:numId="8">
    <w:abstractNumId w:val="5"/>
  </w:num>
  <w:num w:numId="9">
    <w:abstractNumId w:val="3"/>
  </w:num>
  <w:num w:numId="10">
    <w:abstractNumId w:val="17"/>
  </w:num>
  <w:num w:numId="11">
    <w:abstractNumId w:val="18"/>
  </w:num>
  <w:num w:numId="12">
    <w:abstractNumId w:val="0"/>
  </w:num>
  <w:num w:numId="13">
    <w:abstractNumId w:val="20"/>
  </w:num>
  <w:num w:numId="14">
    <w:abstractNumId w:val="16"/>
  </w:num>
  <w:num w:numId="15">
    <w:abstractNumId w:val="12"/>
  </w:num>
  <w:num w:numId="16">
    <w:abstractNumId w:val="8"/>
  </w:num>
  <w:num w:numId="17">
    <w:abstractNumId w:val="14"/>
  </w:num>
  <w:num w:numId="18">
    <w:abstractNumId w:val="2"/>
  </w:num>
  <w:num w:numId="19">
    <w:abstractNumId w:val="19"/>
  </w:num>
  <w:num w:numId="20">
    <w:abstractNumId w:val="4"/>
  </w:num>
  <w:num w:numId="21">
    <w:abstractNumId w:val="13"/>
  </w:num>
  <w:num w:numId="22">
    <w:abstractNumId w:val="15"/>
  </w:num>
  <w:num w:numId="23">
    <w:abstractNumId w:val="10"/>
  </w:num>
  <w:num w:numId="24">
    <w:abstractNumId w:val="9"/>
  </w:num>
  <w:num w:numId="25">
    <w:abstractNumId w:val="11"/>
  </w:num>
  <w:num w:numId="26">
    <w:abstractNumId w:val="7"/>
  </w:num>
  <w:num w:numId="27">
    <w:abstractNumId w:val="1"/>
  </w:num>
  <w:num w:numId="28">
    <w:abstractNumId w:val="6"/>
  </w:num>
  <w:num w:numId="29">
    <w:abstractNumId w:val="5"/>
  </w:num>
  <w:num w:numId="30">
    <w:abstractNumId w:val="3"/>
  </w:num>
  <w:num w:numId="31">
    <w:abstractNumId w:val="17"/>
  </w:num>
  <w:num w:numId="32">
    <w:abstractNumId w:val="18"/>
  </w:num>
  <w:num w:numId="33">
    <w:abstractNumId w:val="0"/>
  </w:num>
  <w:num w:numId="34">
    <w:abstractNumId w:val="20"/>
  </w:num>
  <w:num w:numId="35">
    <w:abstractNumId w:val="16"/>
  </w:num>
  <w:num w:numId="36">
    <w:abstractNumId w:val="12"/>
  </w:num>
  <w:num w:numId="37">
    <w:abstractNumId w:val="8"/>
  </w:num>
  <w:num w:numId="38">
    <w:abstractNumId w:val="14"/>
  </w:num>
  <w:num w:numId="39">
    <w:abstractNumId w:val="2"/>
  </w:num>
  <w:num w:numId="40">
    <w:abstractNumId w:val="19"/>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73a8e331-f451-4b1d-8817-5094f0176347&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60&quot; text=&quot;EXPOSÉ DES MOTIFS DU CONSEIL&quot; /&gt;_x000d__x000a_    &lt;/basicdatatype&gt;_x000d__x000a_  &lt;/metadata&gt;_x000d__x000a_  &lt;metadata key=&quot;md_HeadingText&quot; translate=&quot;false&quot;&gt;_x000d__x000a_    &lt;headingtext text=&quot;EXPOSÉ DES MOTIFS DU CONSEIL&quot;&gt;_x000d__x000a_      &lt;formattedtext&gt;_x000d__x000a_        &lt;xaml text=&quot;EXPOSÉ DES MOTIFS DU CONSEIL&quot;&gt;&amp;lt;FlowDocument xmlns=&quot;http://schemas.microsoft.com/winfx/2006/xaml/presentation&quot;&amp;gt;&amp;lt;Paragraph&amp;gt;EXPOSÉ DES MOTIFS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10&quot; text=&quot;Statement&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6-16&lt;/text&gt;_x000d__x000a_  &lt;/metadata&gt;_x000d__x000a_  &lt;metadata key=&quot;md_Prefix&quot; translate=&quot;false&quot;&gt;_x000d__x000a_    &lt;text&gt;&lt;/text&gt;_x000d__x000a_  &lt;/metadata&gt;_x000d__x000a_  &lt;metadata key=&quot;md_DocumentNumber&quot; translate=&quot;false&quot;&gt;_x000d__x000a_    &lt;text&gt;8257&lt;/text&gt;_x000d__x000a_  &lt;/metadata&gt;_x000d__x000a_  &lt;metadata key=&quot;md_YearDocumentNumber&quot; translate=&quot;false&quot;&gt;_x000d__x000a_    &lt;text&gt;2015&lt;/text&gt;_x000d__x000a_  &lt;/metadata&gt;_x000d__x000a_  &lt;metadata key=&quot;md_Suffixes&quot; translate=&quot;false&quot;&gt;_x000d__x000a_    &lt;text&gt;REV 3 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3&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UD 93&lt;/text&gt;_x000d__x000a_      &lt;text&gt;AGRI 217&lt;/text&gt;_x000d__x000a_      &lt;text&gt;ENFOCUSTOM 33&lt;/text&gt;_x000d__x000a_      &lt;text&gt;CODEC 585&lt;/text&gt;_x000d__x000a_      &lt;text&gt;PARLNAT 61&lt;/text&gt;_x000d__x000a_    &lt;/textlist&gt;_x000d__x000a_  &lt;/metadata&gt;_x000d__x000a_  &lt;metadata key=&quot;md_Contact&quot; translate=&quot;false&quot;&gt;_x000d__x000a_    &lt;text&gt;&lt;/text&gt;_x000d__x000a_  &lt;/metadata&gt;_x000d__x000a_  &lt;metadata key=&quot;md_ContactPhoneFax&quot; translate=&quot;false&quot;&gt;_x000d__x000a_    &lt;text&gt;&lt;/text&gt;_x000d__x000a_  &lt;/metadata&gt;_x000d__x000a_  &lt;metadata key=&quot;md_MeetingVenue&quot; translate=&quot;fals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 translate=&quot;false&quot;&gt;_x000d__x000a_    &lt;presidents /&gt;_x000d__x000a_  &lt;/metadata&gt;_x000d__x000a_  &lt;metadata key=&quot;md_MeetingNumber&quot; translate=&quot;false&quot;&gt;_x000d__x000a_    &lt;text&gt;&lt;/text&gt;_x000d__x000a_  &lt;/metadata&gt;_x000d__x000a_  &lt;metadata key=&quot;md_CouncilConfiguration&quot; translate=&quot;false&quot;&gt;_x000d__x000a_    &lt;basicdatatype&gt;_x000d__x000a_      &lt;configuration key=&quo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translate=&quot;false&quot;&gt;_x000d__x000a_    &lt;text&gt;&lt;/text&gt;_x000d__x000a_  &lt;/metadata&gt;_x000d__x000a_  &lt;metadata key=&quot;md_EPQuestionsData&quot; /&gt;_x000d__x000a_  &lt;metadata key=&quot;md_Deadline&quot; translate=&quot;false&quot;&gt;_x000d__x000a_    &lt;textlist /&gt;_x000d__x000a_  &lt;/metadata&gt;_x000d__x000a_  &lt;metadata key=&quot;md_InterinstitutionalFiles&quot; translate=&quot;false&quot;&gt;_x000d__x000a_    &lt;textlist&gt;_x000d__x000a_      &lt;text&gt;2013/0410 (COD)&lt;/text&gt;_x000d__x000a_    &lt;/textlist&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translate=&quot;false&quot;&gt;_x000d__x000a_    &lt;text&gt;&lt;/text&gt;_x000d__x000a_  &lt;/metadata&gt;_x000d__x000a_  &lt;metadata key=&quot;md_Distribution_NewClassification&quot; translate=&quot;false&quot;&gt;_x000d__x000a_    &lt;text&gt;&lt;/text&gt;_x000d__x000a_  &lt;/metadata&gt;_x000d__x000a_  &lt;metadata key=&quot;md_DWNDCLAuthorization&quot; translate=&quot;false&quot;&gt;_x000d__x000a_    &lt;text&gt;&lt;/text&gt;_x000d__x000a_  &lt;/metadata&gt;_x000d__x000a_  &lt;metadata key=&quot;md_DateOfAuthorization&quot; translate=&quot;false&quot;&gt;_x000d__x000a_    &lt;text&gt;&lt;/text&gt;_x000d__x000a_  &lt;/metadata&gt;_x000d__x000a_  &lt;metadata key=&quot;md_MeetingLocation&quot; translate=&quot;false&quot;&gt;_x000d__x000a_    &lt;basicdatatype&gt;_x000d__x000a_      &lt;location key=&quot;&quot; /&gt;_x000d__x000a_    &lt;/basicdatatype&gt;_x000d__x000a_  &lt;/metadata&gt;_x000d__x000a_  &lt;metadata key=&quot;md_MeetingDate&quot; translate=&quot;false&quot;&gt;_x000d__x000a_    &lt;textlist /&gt;_x000d__x000a_  &lt;/metadata&gt;_x000d__x000a_  &lt;metadata key=&quot;md_MeetingInformation&quot; translate=&quot;false&quot;&gt;_x000d__x000a_    &lt;text&gt;&lt;/text&gt;_x000d__x000a_  &lt;/metadata&gt;_x000d__x000a_  &lt;metadata key=&quot;md_Item&quot; translate=&quot;false&quot;&gt;_x000d__x000a_    &lt;text&gt;&lt;/text&gt;_x000d__x000a_  &lt;/metadata&gt;_x000d__x000a_  &lt;metadata key=&quot;md_Subject&quot;&gt;_x000d__x000a_    &lt;xaml text=&quot;Position du Conseil en première lecture en vue de l'adoption du RÈGLEMENT DU PARLEMENT EUROPÉEN ET DU CONSEIL modifiant le règlement (CE) n° 515/97 du Conseil relatif à l'assistance mutuelle entre les autorités administratives des États membres et à la collaboration entre celles-ci et la Commission en vue d'assurer la bonne application des réglementations douanière et agricole  &amp;#8211; Exposé des motifs du Conseil &amp;#8211; Adopté par le Conseil le 15 juin 2015&quot;&gt;&amp;lt;FlowDocument FontFamily=&quot;Arial Unicode MS&quot; FontSize=&quot;12&quot; PageWidth=&quot;329&quot; PagePadding=&quot;5,0,5,0&quot; AllowDrop=&quot;False&quot; xmlns=&quot;http://schemas.microsoft.com/winfx/2006/xaml/presentation&quot; xmlns:x=&quot;http://schemas.microsoft.com/winfx/2006/xaml&quot;&amp;gt;&amp;lt;Paragraph xml:space=&quot;preserve&quot;&amp;gt;Position du Conseil en première lecture en vue de l&amp;lt;Run xml:lang=&quot;fr-be&quot;&amp;gt;'&amp;lt;/Run&amp;gt;adoption du RÈGLEMENT DU PARLEMENT EUROPÉEN ET DU CONSEIL modifiant le règlement (CE) n° 515/97 du Conseil relatif à l&amp;lt;Run xml:lang=&quot;fr-be&quot;&amp;gt;'&amp;lt;/Run&amp;gt;assistance mutuelle entre les autorités administratives des États membres et à la collaboration entre celles-ci et la Commission en vue d&amp;lt;Run xml:lang=&quot;fr-be&quot;&amp;gt;'&amp;lt;/Run&amp;gt;assurer la bonne application des réglementations douanière et agricole &amp;lt;/Paragraph&amp;gt;&amp;lt;Paragraph&amp;gt;&amp;#8211; Exposé des motifs du Conseil&amp;lt;LineBreak /&amp;gt;&amp;#8211; Adopté par le Conseil le 15 juin 2015&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cg/AA&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lt;/text&gt;_x000d__x000a_  &lt;/metadata&gt;_x000d__x000a_  &lt;metadata key=&quot;md_NB2&quot; translate=&quot;false&quot;&gt;_x000d__x000a_    &lt;text&gt;&lt;/text&gt;_x000d__x000a_  &lt;/metadata&gt;_x000d__x000a_  &lt;metadata key=&quot;md_NB3&quot; translate=&quot;false&quot;&gt;_x000d__x000a_    &lt;text&gt;&lt;/text&gt;_x000d__x000a_  &lt;/metadata&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5.3&quot; technicalblockguid=&quot;07aa30fc-67df-4dba-8ba9-9d7e2c2f0044&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6-04&lt;/text&gt;_x000d__x000a_  &lt;/metadata&gt;_x000d__x000a_  &lt;metadata key=&quot;md_Prefix&quot;&gt;_x000d__x000a_    &lt;text&gt;&lt;/text&gt;_x000d__x000a_  &lt;/metadata&gt;_x000d__x000a_  &lt;metadata key=&quot;md_DocumentNumber&quot;&gt;_x000d__x000a_    &lt;text&gt;8257&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UD 93&lt;/text&gt;_x000d__x000a_      &lt;text&gt;AGRI 217&lt;/text&gt;_x000d__x000a_      &lt;text&gt;ENFOCUSTOM 33&lt;/text&gt;_x000d__x000a_      &lt;text&gt;CODEC 58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410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view to the adoption of a  REGULATION OF THE EUROPEAN PARLIAMENT AND OF THE COUNCIL amending Council Regulation (EC) No 515/97 on mutual assistance between the administrative authorities of the Member States and cooperation between the latter and the Commission to ensure the correct application of the law on customs and agricultural matters  &amp;#8211; Draft Statement of the Council's reasons&quot;&gt;&amp;lt;FlowDocument FontFamily=&quot;Arial Unicode MS&quot; FontSize=&quot;12&quot; PageWidth=&quot;329&quot; PagePadding=&quot;0,0,0,0&quot; AllowDrop=&quot;False&quot; xmlns=&quot;http://schemas.microsoft.com/winfx/2006/xaml/presentation&quot; xmlns:x=&quot;http://schemas.microsoft.com/winfx/2006/xaml&quot;&amp;gt;&amp;lt;Paragraph FontFamily=&quot;Georgia&quot;&amp;gt;&amp;lt;Run FontFamily=&quot;Times New Roman&quot; xml:space=&quot;preserve&quot;&amp;gt;Position of the Council at first reading with view to the adoption of a  R&amp;lt;/Run&amp;gt;&amp;lt;Run FontFamily=&quot;Times New Roman&quot; xml:lang=&quot;en-gb&quot;&amp;gt;EGULATION OF THE&amp;lt;/Run&amp;gt;&amp;lt;Run FontFamily=&quot;Times New Roman&quot; xml:space=&quot;preserve&quot;&amp;gt; E&amp;lt;/Run&amp;gt;&amp;lt;Run FontFamily=&quot;Times New Roman&quot; xml:lang=&quot;en-gb&quot; xml:space=&quot;preserve&quot;&amp;gt;UROPEAN &amp;lt;/Run&amp;gt;&amp;lt;Run FontFamily=&quot;Times New Roman&quot;&amp;gt;P&amp;lt;/Run&amp;gt;&amp;lt;Run FontFamily=&quot;Times New Roman&quot; xml:lang=&quot;en-gb&quot; xml:space=&quot;preserve&quot;&amp;gt;ARLIAMENT AND OF THE COUNCIL &amp;lt;/Run&amp;gt;&amp;lt;Run FontFamily=&quot;Times New Roman&quot; xml:space=&quot;preserve&quot;&amp;gt;amending &amp;lt;/Run&amp;gt;&amp;lt;Run FontFamily=&quot;Times New Roman&quot; xml:lang=&quot;en-gb&quot; xml:space=&quot;preserve&quot;&amp;gt;Council &amp;lt;/Run&amp;gt;&amp;lt;Run FontFamily=&quot;Times New Roman&quot; xml:space=&quot;preserve&quot;&amp;gt;Regulation (EC) No 515/97 on mutual assistance between the administrative authorities of the Member States and cooperation between the latter and the Commission to ensure the correct application of the law on customs and agricultural matters &amp;lt;/Run&amp;gt;&amp;lt;/Paragraph&amp;gt;&amp;lt;Paragraph FontFamily=&quot;Georgia&quot;&amp;gt;&amp;lt;Run FontFamily=&quot;Times New Roman&quot;&amp;gt;&amp;#8211; Draft Statement of the Council's reasons&amp;lt;/Run&amp;gt;&amp;lt;/Paragraph&amp;gt;&amp;lt;/FlowDocument&amp;gt;&lt;/xaml&gt;_x000d__x000a_  &lt;/metadata&gt;_x000d__x000a_  &lt;metadata key=&quot;md_SubjectFootnote&quot; /&gt;_x000d__x000a_  &lt;metadata key=&quot;md_DG&quot;&gt;_x000d__x000a_    &lt;text&gt;DGG 3 B&lt;/text&gt;_x000d__x000a_  &lt;/metadata&gt;_x000d__x000a_  &lt;metadata key=&quot;md_Initials&quot;&gt;_x000d__x000a_    &lt;text&gt;PhL/a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QCRepairStyles" w:val=";Footnote Text;Footnote Text;"/>
    <w:docVar w:name="DW_AutoOpen" w:val="True"/>
    <w:docVar w:name="DW_DocType" w:val="DW_COUNCIL"/>
    <w:docVar w:name="LW_DocType" w:val="DW_COUNCIL"/>
    <w:docVar w:name="VSSDB_IniPath" w:val="\\at100\user\wovo\SEILEG\vss\srcsafe.ini"/>
    <w:docVar w:name="VSSDB_ProjectPath" w:val="$/DocuWrite/DOT/DW_COUNCIL"/>
  </w:docVars>
  <w:rsids>
    <w:rsidRoot w:val="008A3BFE"/>
    <w:rsid w:val="00000560"/>
    <w:rsid w:val="0001568D"/>
    <w:rsid w:val="000307C2"/>
    <w:rsid w:val="00061F51"/>
    <w:rsid w:val="00061F52"/>
    <w:rsid w:val="0007556A"/>
    <w:rsid w:val="00096B04"/>
    <w:rsid w:val="000C72B2"/>
    <w:rsid w:val="000F59C3"/>
    <w:rsid w:val="00130CD9"/>
    <w:rsid w:val="00182F2F"/>
    <w:rsid w:val="00204186"/>
    <w:rsid w:val="0022531C"/>
    <w:rsid w:val="00231C53"/>
    <w:rsid w:val="00267F0D"/>
    <w:rsid w:val="002E4551"/>
    <w:rsid w:val="002F0549"/>
    <w:rsid w:val="003437A5"/>
    <w:rsid w:val="00356F5F"/>
    <w:rsid w:val="00412725"/>
    <w:rsid w:val="00414945"/>
    <w:rsid w:val="004A5CE6"/>
    <w:rsid w:val="004B169E"/>
    <w:rsid w:val="004F4BDD"/>
    <w:rsid w:val="004F54E2"/>
    <w:rsid w:val="00524131"/>
    <w:rsid w:val="005B6963"/>
    <w:rsid w:val="005F0C4F"/>
    <w:rsid w:val="00625999"/>
    <w:rsid w:val="006351BB"/>
    <w:rsid w:val="00651E76"/>
    <w:rsid w:val="006657F1"/>
    <w:rsid w:val="00683FE5"/>
    <w:rsid w:val="007046BF"/>
    <w:rsid w:val="007161AD"/>
    <w:rsid w:val="0076613A"/>
    <w:rsid w:val="00773F66"/>
    <w:rsid w:val="00847AAE"/>
    <w:rsid w:val="008738AD"/>
    <w:rsid w:val="008A3BFE"/>
    <w:rsid w:val="008B69E4"/>
    <w:rsid w:val="008E4B50"/>
    <w:rsid w:val="00901450"/>
    <w:rsid w:val="00984B6A"/>
    <w:rsid w:val="009B07D1"/>
    <w:rsid w:val="009E323E"/>
    <w:rsid w:val="00A30641"/>
    <w:rsid w:val="00A47C16"/>
    <w:rsid w:val="00A57635"/>
    <w:rsid w:val="00A6547C"/>
    <w:rsid w:val="00A7778D"/>
    <w:rsid w:val="00A93207"/>
    <w:rsid w:val="00AE613C"/>
    <w:rsid w:val="00AF3113"/>
    <w:rsid w:val="00B00693"/>
    <w:rsid w:val="00B54F86"/>
    <w:rsid w:val="00BE6E3D"/>
    <w:rsid w:val="00D13316"/>
    <w:rsid w:val="00D86D51"/>
    <w:rsid w:val="00DE6F70"/>
    <w:rsid w:val="00E5767B"/>
    <w:rsid w:val="00E80814"/>
    <w:rsid w:val="00E810D5"/>
    <w:rsid w:val="00EC0613"/>
    <w:rsid w:val="00F36022"/>
    <w:rsid w:val="00F86DEA"/>
    <w:rsid w:val="00FA145F"/>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8A3BFE"/>
    <w:pPr>
      <w:spacing w:before="0" w:after="440"/>
      <w:ind w:left="-1134" w:right="-1134"/>
    </w:pPr>
    <w:rPr>
      <w:sz w:val="2"/>
    </w:rPr>
  </w:style>
  <w:style w:type="character" w:customStyle="1" w:styleId="TechnicalBlockChar">
    <w:name w:val="Technical Block Char"/>
    <w:basedOn w:val="DefaultParagraphFont"/>
    <w:rsid w:val="008A3BFE"/>
    <w:rPr>
      <w:sz w:val="24"/>
      <w:szCs w:val="24"/>
      <w:lang w:val="fr-FR" w:eastAsia="fr-FR"/>
    </w:rPr>
  </w:style>
  <w:style w:type="character" w:customStyle="1" w:styleId="HeaderCouncilLargeChar">
    <w:name w:val="Header Council Large Char"/>
    <w:basedOn w:val="TechnicalBlockChar"/>
    <w:link w:val="HeaderCouncilLarge"/>
    <w:rsid w:val="008A3BFE"/>
    <w:rPr>
      <w:sz w:val="2"/>
      <w:szCs w:val="24"/>
      <w:lang w:val="fr-FR" w:eastAsia="fr-FR"/>
    </w:rPr>
  </w:style>
  <w:style w:type="paragraph" w:customStyle="1" w:styleId="FooterText">
    <w:name w:val="Footer Text"/>
    <w:basedOn w:val="Normal"/>
    <w:rsid w:val="008A3BFE"/>
    <w:pPr>
      <w:spacing w:before="0" w:after="0" w:line="240" w:lineRule="auto"/>
    </w:p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 Char,Char Char"/>
    <w:hidden/>
    <w:rsid w:val="00FA145F"/>
    <w:rPr>
      <w:sz w:val="24"/>
      <w:lang w:val="fr-FR" w:eastAsia="fr-FR"/>
    </w:rPr>
  </w:style>
  <w:style w:type="paragraph" w:customStyle="1" w:styleId="EntInstit">
    <w:name w:val="EntInstit"/>
    <w:basedOn w:val="Normal"/>
    <w:rsid w:val="00231C53"/>
    <w:pPr>
      <w:widowControl w:val="0"/>
      <w:spacing w:before="0" w:after="0" w:line="240" w:lineRule="auto"/>
      <w:jc w:val="right"/>
    </w:pPr>
    <w:rPr>
      <w:b/>
      <w:szCs w:val="20"/>
    </w:rPr>
  </w:style>
  <w:style w:type="paragraph" w:customStyle="1" w:styleId="NormalConseil">
    <w:name w:val="NormalConseil"/>
    <w:basedOn w:val="Normal"/>
    <w:rsid w:val="00231C53"/>
    <w:pPr>
      <w:spacing w:before="0" w:after="0" w:line="240" w:lineRule="auto"/>
    </w:pPr>
    <w:rPr>
      <w:szCs w:val="20"/>
    </w:rPr>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000560"/>
    <w:pPr>
      <w:spacing w:before="0" w:after="240" w:line="240" w:lineRule="auto"/>
      <w:jc w:val="center"/>
    </w:pPr>
    <w:rPr>
      <w:lang w:eastAsia="en-US" w:bidi="ar-SA"/>
    </w:r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37"/>
      </w:numPr>
    </w:pPr>
  </w:style>
  <w:style w:type="paragraph" w:customStyle="1" w:styleId="Pointabc1">
    <w:name w:val="Point abc (1)"/>
    <w:basedOn w:val="Normal"/>
    <w:rsid w:val="00F86DEA"/>
    <w:pPr>
      <w:numPr>
        <w:ilvl w:val="3"/>
        <w:numId w:val="37"/>
      </w:numPr>
      <w:outlineLvl w:val="0"/>
    </w:pPr>
  </w:style>
  <w:style w:type="paragraph" w:customStyle="1" w:styleId="Pointabc2">
    <w:name w:val="Point abc (2)"/>
    <w:basedOn w:val="Normal"/>
    <w:rsid w:val="00F86DEA"/>
    <w:pPr>
      <w:numPr>
        <w:ilvl w:val="5"/>
        <w:numId w:val="37"/>
      </w:numPr>
      <w:outlineLvl w:val="1"/>
    </w:pPr>
  </w:style>
  <w:style w:type="paragraph" w:customStyle="1" w:styleId="Pointabc3">
    <w:name w:val="Point abc (3)"/>
    <w:basedOn w:val="Normal"/>
    <w:rsid w:val="00F86DEA"/>
    <w:pPr>
      <w:numPr>
        <w:ilvl w:val="7"/>
        <w:numId w:val="37"/>
      </w:numPr>
      <w:outlineLvl w:val="2"/>
    </w:pPr>
  </w:style>
  <w:style w:type="paragraph" w:customStyle="1" w:styleId="Pointabc4">
    <w:name w:val="Point abc (4)"/>
    <w:basedOn w:val="Normal"/>
    <w:rsid w:val="00F86DEA"/>
    <w:pPr>
      <w:numPr>
        <w:ilvl w:val="8"/>
        <w:numId w:val="37"/>
      </w:numPr>
      <w:outlineLvl w:val="3"/>
    </w:pPr>
  </w:style>
  <w:style w:type="paragraph" w:customStyle="1" w:styleId="Point123">
    <w:name w:val="Point 123"/>
    <w:basedOn w:val="Normal"/>
    <w:rsid w:val="00F86DEA"/>
    <w:pPr>
      <w:numPr>
        <w:numId w:val="37"/>
      </w:numPr>
    </w:pPr>
  </w:style>
  <w:style w:type="paragraph" w:customStyle="1" w:styleId="Point1231">
    <w:name w:val="Point 123 (1)"/>
    <w:basedOn w:val="Normal"/>
    <w:rsid w:val="00F86DEA"/>
    <w:pPr>
      <w:numPr>
        <w:ilvl w:val="2"/>
        <w:numId w:val="37"/>
      </w:numPr>
      <w:outlineLvl w:val="0"/>
    </w:pPr>
  </w:style>
  <w:style w:type="paragraph" w:customStyle="1" w:styleId="Point1232">
    <w:name w:val="Point 123 (2)"/>
    <w:basedOn w:val="Normal"/>
    <w:rsid w:val="00F86DEA"/>
    <w:pPr>
      <w:numPr>
        <w:ilvl w:val="4"/>
        <w:numId w:val="37"/>
      </w:numPr>
      <w:outlineLvl w:val="1"/>
    </w:pPr>
  </w:style>
  <w:style w:type="paragraph" w:customStyle="1" w:styleId="Point1233">
    <w:name w:val="Point 123 (3)"/>
    <w:basedOn w:val="Normal"/>
    <w:rsid w:val="00F86DEA"/>
    <w:pPr>
      <w:numPr>
        <w:ilvl w:val="6"/>
        <w:numId w:val="37"/>
      </w:numPr>
      <w:outlineLvl w:val="2"/>
    </w:pPr>
  </w:style>
  <w:style w:type="paragraph" w:customStyle="1" w:styleId="Pointivx">
    <w:name w:val="Point ivx"/>
    <w:basedOn w:val="Normal"/>
    <w:rsid w:val="00F86DEA"/>
    <w:pPr>
      <w:numPr>
        <w:numId w:val="38"/>
      </w:numPr>
    </w:pPr>
  </w:style>
  <w:style w:type="paragraph" w:customStyle="1" w:styleId="Pointivx1">
    <w:name w:val="Point ivx (1)"/>
    <w:basedOn w:val="Normal"/>
    <w:rsid w:val="00F86DEA"/>
    <w:pPr>
      <w:numPr>
        <w:ilvl w:val="1"/>
        <w:numId w:val="38"/>
      </w:numPr>
      <w:outlineLvl w:val="0"/>
    </w:pPr>
  </w:style>
  <w:style w:type="paragraph" w:customStyle="1" w:styleId="Pointivx2">
    <w:name w:val="Point ivx (2)"/>
    <w:basedOn w:val="Normal"/>
    <w:rsid w:val="00F86DEA"/>
    <w:pPr>
      <w:numPr>
        <w:ilvl w:val="2"/>
        <w:numId w:val="38"/>
      </w:numPr>
      <w:outlineLvl w:val="1"/>
    </w:pPr>
  </w:style>
  <w:style w:type="paragraph" w:customStyle="1" w:styleId="Pointivx3">
    <w:name w:val="Point ivx (3)"/>
    <w:basedOn w:val="Normal"/>
    <w:rsid w:val="00F86DEA"/>
    <w:pPr>
      <w:numPr>
        <w:ilvl w:val="3"/>
        <w:numId w:val="38"/>
      </w:numPr>
      <w:outlineLvl w:val="2"/>
    </w:pPr>
  </w:style>
  <w:style w:type="paragraph" w:customStyle="1" w:styleId="Pointivx4">
    <w:name w:val="Point ivx (4)"/>
    <w:basedOn w:val="Normal"/>
    <w:rsid w:val="00F86DEA"/>
    <w:pPr>
      <w:numPr>
        <w:ilvl w:val="4"/>
        <w:numId w:val="38"/>
      </w:numPr>
      <w:outlineLvl w:val="3"/>
    </w:pPr>
  </w:style>
  <w:style w:type="paragraph" w:customStyle="1" w:styleId="Bullet">
    <w:name w:val="Bullet"/>
    <w:basedOn w:val="Normal"/>
    <w:rsid w:val="00F86DEA"/>
    <w:pPr>
      <w:numPr>
        <w:numId w:val="32"/>
      </w:numPr>
    </w:pPr>
  </w:style>
  <w:style w:type="paragraph" w:customStyle="1" w:styleId="Bullet1">
    <w:name w:val="Bullet 1"/>
    <w:basedOn w:val="Normal"/>
    <w:rsid w:val="00F86DEA"/>
    <w:pPr>
      <w:numPr>
        <w:numId w:val="33"/>
      </w:numPr>
      <w:outlineLvl w:val="0"/>
    </w:pPr>
  </w:style>
  <w:style w:type="paragraph" w:customStyle="1" w:styleId="Bullet2">
    <w:name w:val="Bullet 2"/>
    <w:basedOn w:val="Normal"/>
    <w:rsid w:val="00F86DEA"/>
    <w:pPr>
      <w:numPr>
        <w:numId w:val="34"/>
      </w:numPr>
      <w:outlineLvl w:val="1"/>
    </w:pPr>
  </w:style>
  <w:style w:type="paragraph" w:customStyle="1" w:styleId="Bullet3">
    <w:name w:val="Bullet 3"/>
    <w:basedOn w:val="Normal"/>
    <w:rsid w:val="00F86DEA"/>
    <w:pPr>
      <w:numPr>
        <w:numId w:val="35"/>
      </w:numPr>
      <w:outlineLvl w:val="2"/>
    </w:pPr>
  </w:style>
  <w:style w:type="paragraph" w:customStyle="1" w:styleId="Bullet4">
    <w:name w:val="Bullet 4"/>
    <w:basedOn w:val="Normal"/>
    <w:rsid w:val="00F86DEA"/>
    <w:pPr>
      <w:numPr>
        <w:numId w:val="36"/>
      </w:numPr>
      <w:outlineLvl w:val="3"/>
    </w:pPr>
  </w:style>
  <w:style w:type="paragraph" w:customStyle="1" w:styleId="Dash">
    <w:name w:val="Dash"/>
    <w:basedOn w:val="Normal"/>
    <w:rsid w:val="00F86DEA"/>
    <w:pPr>
      <w:numPr>
        <w:numId w:val="22"/>
      </w:numPr>
    </w:pPr>
  </w:style>
  <w:style w:type="paragraph" w:customStyle="1" w:styleId="Dash1">
    <w:name w:val="Dash 1"/>
    <w:basedOn w:val="Normal"/>
    <w:rsid w:val="00F86DEA"/>
    <w:pPr>
      <w:numPr>
        <w:numId w:val="23"/>
      </w:numPr>
      <w:outlineLvl w:val="0"/>
    </w:pPr>
  </w:style>
  <w:style w:type="paragraph" w:customStyle="1" w:styleId="Dash2">
    <w:name w:val="Dash 2"/>
    <w:basedOn w:val="Normal"/>
    <w:rsid w:val="00F86DEA"/>
    <w:pPr>
      <w:numPr>
        <w:numId w:val="24"/>
      </w:numPr>
      <w:outlineLvl w:val="1"/>
    </w:pPr>
  </w:style>
  <w:style w:type="paragraph" w:customStyle="1" w:styleId="Dash3">
    <w:name w:val="Dash 3"/>
    <w:basedOn w:val="Normal"/>
    <w:rsid w:val="00F86DEA"/>
    <w:pPr>
      <w:numPr>
        <w:numId w:val="25"/>
      </w:numPr>
      <w:outlineLvl w:val="2"/>
    </w:pPr>
  </w:style>
  <w:style w:type="paragraph" w:customStyle="1" w:styleId="Dash4">
    <w:name w:val="Dash 4"/>
    <w:basedOn w:val="Normal"/>
    <w:rsid w:val="00F86DEA"/>
    <w:pPr>
      <w:numPr>
        <w:numId w:val="26"/>
      </w:numPr>
      <w:outlineLvl w:val="3"/>
    </w:pPr>
  </w:style>
  <w:style w:type="paragraph" w:customStyle="1" w:styleId="DashEqual">
    <w:name w:val="Dash Equal"/>
    <w:basedOn w:val="Dash"/>
    <w:rsid w:val="00F86DEA"/>
    <w:pPr>
      <w:numPr>
        <w:numId w:val="27"/>
      </w:numPr>
    </w:pPr>
  </w:style>
  <w:style w:type="paragraph" w:customStyle="1" w:styleId="DashEqual1">
    <w:name w:val="Dash Equal 1"/>
    <w:basedOn w:val="Dash1"/>
    <w:rsid w:val="00F86DEA"/>
    <w:pPr>
      <w:numPr>
        <w:numId w:val="28"/>
      </w:numPr>
    </w:pPr>
  </w:style>
  <w:style w:type="paragraph" w:customStyle="1" w:styleId="DashEqual2">
    <w:name w:val="Dash Equal 2"/>
    <w:basedOn w:val="Dash2"/>
    <w:rsid w:val="00F86DEA"/>
    <w:pPr>
      <w:numPr>
        <w:numId w:val="29"/>
      </w:numPr>
    </w:pPr>
  </w:style>
  <w:style w:type="paragraph" w:customStyle="1" w:styleId="DashEqual3">
    <w:name w:val="Dash Equal 3"/>
    <w:basedOn w:val="Dash3"/>
    <w:rsid w:val="00F86DEA"/>
    <w:pPr>
      <w:numPr>
        <w:numId w:val="30"/>
      </w:numPr>
    </w:pPr>
  </w:style>
  <w:style w:type="paragraph" w:customStyle="1" w:styleId="DashEqual4">
    <w:name w:val="Dash Equal 4"/>
    <w:basedOn w:val="Dash4"/>
    <w:rsid w:val="00F86DEA"/>
    <w:pPr>
      <w:numPr>
        <w:numId w:val="31"/>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41"/>
      </w:numPr>
    </w:pPr>
  </w:style>
  <w:style w:type="paragraph" w:customStyle="1" w:styleId="Heading123">
    <w:name w:val="Heading 123"/>
    <w:basedOn w:val="HeadingLeft"/>
    <w:next w:val="Normal"/>
    <w:rsid w:val="00F86DEA"/>
    <w:pPr>
      <w:numPr>
        <w:numId w:val="40"/>
      </w:numPr>
    </w:pPr>
  </w:style>
  <w:style w:type="paragraph" w:customStyle="1" w:styleId="HeadingABC">
    <w:name w:val="Heading ABC"/>
    <w:basedOn w:val="HeadingLeft"/>
    <w:next w:val="Normal"/>
    <w:rsid w:val="00F86DEA"/>
    <w:pPr>
      <w:numPr>
        <w:numId w:val="39"/>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E32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2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8A3BFE"/>
    <w:pPr>
      <w:spacing w:before="0" w:after="440"/>
      <w:ind w:left="-1134" w:right="-1134"/>
    </w:pPr>
    <w:rPr>
      <w:sz w:val="2"/>
    </w:rPr>
  </w:style>
  <w:style w:type="character" w:customStyle="1" w:styleId="TechnicalBlockChar">
    <w:name w:val="Technical Block Char"/>
    <w:basedOn w:val="DefaultParagraphFont"/>
    <w:rsid w:val="008A3BFE"/>
    <w:rPr>
      <w:sz w:val="24"/>
      <w:szCs w:val="24"/>
      <w:lang w:val="fr-FR" w:eastAsia="fr-FR"/>
    </w:rPr>
  </w:style>
  <w:style w:type="character" w:customStyle="1" w:styleId="HeaderCouncilLargeChar">
    <w:name w:val="Header Council Large Char"/>
    <w:basedOn w:val="TechnicalBlockChar"/>
    <w:link w:val="HeaderCouncilLarge"/>
    <w:rsid w:val="008A3BFE"/>
    <w:rPr>
      <w:sz w:val="2"/>
      <w:szCs w:val="24"/>
      <w:lang w:val="fr-FR" w:eastAsia="fr-FR"/>
    </w:rPr>
  </w:style>
  <w:style w:type="paragraph" w:customStyle="1" w:styleId="FooterText">
    <w:name w:val="Footer Text"/>
    <w:basedOn w:val="Normal"/>
    <w:rsid w:val="008A3BFE"/>
    <w:pPr>
      <w:spacing w:before="0" w:after="0" w:line="240" w:lineRule="auto"/>
    </w:p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 Char,Char Char"/>
    <w:hidden/>
    <w:rsid w:val="00FA145F"/>
    <w:rPr>
      <w:sz w:val="24"/>
      <w:lang w:val="fr-FR" w:eastAsia="fr-FR"/>
    </w:rPr>
  </w:style>
  <w:style w:type="paragraph" w:customStyle="1" w:styleId="EntInstit">
    <w:name w:val="EntInstit"/>
    <w:basedOn w:val="Normal"/>
    <w:rsid w:val="00231C53"/>
    <w:pPr>
      <w:widowControl w:val="0"/>
      <w:spacing w:before="0" w:after="0" w:line="240" w:lineRule="auto"/>
      <w:jc w:val="right"/>
    </w:pPr>
    <w:rPr>
      <w:b/>
      <w:szCs w:val="20"/>
    </w:rPr>
  </w:style>
  <w:style w:type="paragraph" w:customStyle="1" w:styleId="NormalConseil">
    <w:name w:val="NormalConseil"/>
    <w:basedOn w:val="Normal"/>
    <w:rsid w:val="00231C53"/>
    <w:pPr>
      <w:spacing w:before="0" w:after="0" w:line="240" w:lineRule="auto"/>
    </w:pPr>
    <w:rPr>
      <w:szCs w:val="20"/>
    </w:rPr>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000560"/>
    <w:pPr>
      <w:spacing w:before="0" w:after="240" w:line="240" w:lineRule="auto"/>
      <w:jc w:val="center"/>
    </w:pPr>
    <w:rPr>
      <w:lang w:eastAsia="en-US" w:bidi="ar-SA"/>
    </w:r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37"/>
      </w:numPr>
    </w:pPr>
  </w:style>
  <w:style w:type="paragraph" w:customStyle="1" w:styleId="Pointabc1">
    <w:name w:val="Point abc (1)"/>
    <w:basedOn w:val="Normal"/>
    <w:rsid w:val="00F86DEA"/>
    <w:pPr>
      <w:numPr>
        <w:ilvl w:val="3"/>
        <w:numId w:val="37"/>
      </w:numPr>
      <w:outlineLvl w:val="0"/>
    </w:pPr>
  </w:style>
  <w:style w:type="paragraph" w:customStyle="1" w:styleId="Pointabc2">
    <w:name w:val="Point abc (2)"/>
    <w:basedOn w:val="Normal"/>
    <w:rsid w:val="00F86DEA"/>
    <w:pPr>
      <w:numPr>
        <w:ilvl w:val="5"/>
        <w:numId w:val="37"/>
      </w:numPr>
      <w:outlineLvl w:val="1"/>
    </w:pPr>
  </w:style>
  <w:style w:type="paragraph" w:customStyle="1" w:styleId="Pointabc3">
    <w:name w:val="Point abc (3)"/>
    <w:basedOn w:val="Normal"/>
    <w:rsid w:val="00F86DEA"/>
    <w:pPr>
      <w:numPr>
        <w:ilvl w:val="7"/>
        <w:numId w:val="37"/>
      </w:numPr>
      <w:outlineLvl w:val="2"/>
    </w:pPr>
  </w:style>
  <w:style w:type="paragraph" w:customStyle="1" w:styleId="Pointabc4">
    <w:name w:val="Point abc (4)"/>
    <w:basedOn w:val="Normal"/>
    <w:rsid w:val="00F86DEA"/>
    <w:pPr>
      <w:numPr>
        <w:ilvl w:val="8"/>
        <w:numId w:val="37"/>
      </w:numPr>
      <w:outlineLvl w:val="3"/>
    </w:pPr>
  </w:style>
  <w:style w:type="paragraph" w:customStyle="1" w:styleId="Point123">
    <w:name w:val="Point 123"/>
    <w:basedOn w:val="Normal"/>
    <w:rsid w:val="00F86DEA"/>
    <w:pPr>
      <w:numPr>
        <w:numId w:val="37"/>
      </w:numPr>
    </w:pPr>
  </w:style>
  <w:style w:type="paragraph" w:customStyle="1" w:styleId="Point1231">
    <w:name w:val="Point 123 (1)"/>
    <w:basedOn w:val="Normal"/>
    <w:rsid w:val="00F86DEA"/>
    <w:pPr>
      <w:numPr>
        <w:ilvl w:val="2"/>
        <w:numId w:val="37"/>
      </w:numPr>
      <w:outlineLvl w:val="0"/>
    </w:pPr>
  </w:style>
  <w:style w:type="paragraph" w:customStyle="1" w:styleId="Point1232">
    <w:name w:val="Point 123 (2)"/>
    <w:basedOn w:val="Normal"/>
    <w:rsid w:val="00F86DEA"/>
    <w:pPr>
      <w:numPr>
        <w:ilvl w:val="4"/>
        <w:numId w:val="37"/>
      </w:numPr>
      <w:outlineLvl w:val="1"/>
    </w:pPr>
  </w:style>
  <w:style w:type="paragraph" w:customStyle="1" w:styleId="Point1233">
    <w:name w:val="Point 123 (3)"/>
    <w:basedOn w:val="Normal"/>
    <w:rsid w:val="00F86DEA"/>
    <w:pPr>
      <w:numPr>
        <w:ilvl w:val="6"/>
        <w:numId w:val="37"/>
      </w:numPr>
      <w:outlineLvl w:val="2"/>
    </w:pPr>
  </w:style>
  <w:style w:type="paragraph" w:customStyle="1" w:styleId="Pointivx">
    <w:name w:val="Point ivx"/>
    <w:basedOn w:val="Normal"/>
    <w:rsid w:val="00F86DEA"/>
    <w:pPr>
      <w:numPr>
        <w:numId w:val="38"/>
      </w:numPr>
    </w:pPr>
  </w:style>
  <w:style w:type="paragraph" w:customStyle="1" w:styleId="Pointivx1">
    <w:name w:val="Point ivx (1)"/>
    <w:basedOn w:val="Normal"/>
    <w:rsid w:val="00F86DEA"/>
    <w:pPr>
      <w:numPr>
        <w:ilvl w:val="1"/>
        <w:numId w:val="38"/>
      </w:numPr>
      <w:outlineLvl w:val="0"/>
    </w:pPr>
  </w:style>
  <w:style w:type="paragraph" w:customStyle="1" w:styleId="Pointivx2">
    <w:name w:val="Point ivx (2)"/>
    <w:basedOn w:val="Normal"/>
    <w:rsid w:val="00F86DEA"/>
    <w:pPr>
      <w:numPr>
        <w:ilvl w:val="2"/>
        <w:numId w:val="38"/>
      </w:numPr>
      <w:outlineLvl w:val="1"/>
    </w:pPr>
  </w:style>
  <w:style w:type="paragraph" w:customStyle="1" w:styleId="Pointivx3">
    <w:name w:val="Point ivx (3)"/>
    <w:basedOn w:val="Normal"/>
    <w:rsid w:val="00F86DEA"/>
    <w:pPr>
      <w:numPr>
        <w:ilvl w:val="3"/>
        <w:numId w:val="38"/>
      </w:numPr>
      <w:outlineLvl w:val="2"/>
    </w:pPr>
  </w:style>
  <w:style w:type="paragraph" w:customStyle="1" w:styleId="Pointivx4">
    <w:name w:val="Point ivx (4)"/>
    <w:basedOn w:val="Normal"/>
    <w:rsid w:val="00F86DEA"/>
    <w:pPr>
      <w:numPr>
        <w:ilvl w:val="4"/>
        <w:numId w:val="38"/>
      </w:numPr>
      <w:outlineLvl w:val="3"/>
    </w:pPr>
  </w:style>
  <w:style w:type="paragraph" w:customStyle="1" w:styleId="Bullet">
    <w:name w:val="Bullet"/>
    <w:basedOn w:val="Normal"/>
    <w:rsid w:val="00F86DEA"/>
    <w:pPr>
      <w:numPr>
        <w:numId w:val="32"/>
      </w:numPr>
    </w:pPr>
  </w:style>
  <w:style w:type="paragraph" w:customStyle="1" w:styleId="Bullet1">
    <w:name w:val="Bullet 1"/>
    <w:basedOn w:val="Normal"/>
    <w:rsid w:val="00F86DEA"/>
    <w:pPr>
      <w:numPr>
        <w:numId w:val="33"/>
      </w:numPr>
      <w:outlineLvl w:val="0"/>
    </w:pPr>
  </w:style>
  <w:style w:type="paragraph" w:customStyle="1" w:styleId="Bullet2">
    <w:name w:val="Bullet 2"/>
    <w:basedOn w:val="Normal"/>
    <w:rsid w:val="00F86DEA"/>
    <w:pPr>
      <w:numPr>
        <w:numId w:val="34"/>
      </w:numPr>
      <w:outlineLvl w:val="1"/>
    </w:pPr>
  </w:style>
  <w:style w:type="paragraph" w:customStyle="1" w:styleId="Bullet3">
    <w:name w:val="Bullet 3"/>
    <w:basedOn w:val="Normal"/>
    <w:rsid w:val="00F86DEA"/>
    <w:pPr>
      <w:numPr>
        <w:numId w:val="35"/>
      </w:numPr>
      <w:outlineLvl w:val="2"/>
    </w:pPr>
  </w:style>
  <w:style w:type="paragraph" w:customStyle="1" w:styleId="Bullet4">
    <w:name w:val="Bullet 4"/>
    <w:basedOn w:val="Normal"/>
    <w:rsid w:val="00F86DEA"/>
    <w:pPr>
      <w:numPr>
        <w:numId w:val="36"/>
      </w:numPr>
      <w:outlineLvl w:val="3"/>
    </w:pPr>
  </w:style>
  <w:style w:type="paragraph" w:customStyle="1" w:styleId="Dash">
    <w:name w:val="Dash"/>
    <w:basedOn w:val="Normal"/>
    <w:rsid w:val="00F86DEA"/>
    <w:pPr>
      <w:numPr>
        <w:numId w:val="22"/>
      </w:numPr>
    </w:pPr>
  </w:style>
  <w:style w:type="paragraph" w:customStyle="1" w:styleId="Dash1">
    <w:name w:val="Dash 1"/>
    <w:basedOn w:val="Normal"/>
    <w:rsid w:val="00F86DEA"/>
    <w:pPr>
      <w:numPr>
        <w:numId w:val="23"/>
      </w:numPr>
      <w:outlineLvl w:val="0"/>
    </w:pPr>
  </w:style>
  <w:style w:type="paragraph" w:customStyle="1" w:styleId="Dash2">
    <w:name w:val="Dash 2"/>
    <w:basedOn w:val="Normal"/>
    <w:rsid w:val="00F86DEA"/>
    <w:pPr>
      <w:numPr>
        <w:numId w:val="24"/>
      </w:numPr>
      <w:outlineLvl w:val="1"/>
    </w:pPr>
  </w:style>
  <w:style w:type="paragraph" w:customStyle="1" w:styleId="Dash3">
    <w:name w:val="Dash 3"/>
    <w:basedOn w:val="Normal"/>
    <w:rsid w:val="00F86DEA"/>
    <w:pPr>
      <w:numPr>
        <w:numId w:val="25"/>
      </w:numPr>
      <w:outlineLvl w:val="2"/>
    </w:pPr>
  </w:style>
  <w:style w:type="paragraph" w:customStyle="1" w:styleId="Dash4">
    <w:name w:val="Dash 4"/>
    <w:basedOn w:val="Normal"/>
    <w:rsid w:val="00F86DEA"/>
    <w:pPr>
      <w:numPr>
        <w:numId w:val="26"/>
      </w:numPr>
      <w:outlineLvl w:val="3"/>
    </w:pPr>
  </w:style>
  <w:style w:type="paragraph" w:customStyle="1" w:styleId="DashEqual">
    <w:name w:val="Dash Equal"/>
    <w:basedOn w:val="Dash"/>
    <w:rsid w:val="00F86DEA"/>
    <w:pPr>
      <w:numPr>
        <w:numId w:val="27"/>
      </w:numPr>
    </w:pPr>
  </w:style>
  <w:style w:type="paragraph" w:customStyle="1" w:styleId="DashEqual1">
    <w:name w:val="Dash Equal 1"/>
    <w:basedOn w:val="Dash1"/>
    <w:rsid w:val="00F86DEA"/>
    <w:pPr>
      <w:numPr>
        <w:numId w:val="28"/>
      </w:numPr>
    </w:pPr>
  </w:style>
  <w:style w:type="paragraph" w:customStyle="1" w:styleId="DashEqual2">
    <w:name w:val="Dash Equal 2"/>
    <w:basedOn w:val="Dash2"/>
    <w:rsid w:val="00F86DEA"/>
    <w:pPr>
      <w:numPr>
        <w:numId w:val="29"/>
      </w:numPr>
    </w:pPr>
  </w:style>
  <w:style w:type="paragraph" w:customStyle="1" w:styleId="DashEqual3">
    <w:name w:val="Dash Equal 3"/>
    <w:basedOn w:val="Dash3"/>
    <w:rsid w:val="00F86DEA"/>
    <w:pPr>
      <w:numPr>
        <w:numId w:val="30"/>
      </w:numPr>
    </w:pPr>
  </w:style>
  <w:style w:type="paragraph" w:customStyle="1" w:styleId="DashEqual4">
    <w:name w:val="Dash Equal 4"/>
    <w:basedOn w:val="Dash4"/>
    <w:rsid w:val="00F86DEA"/>
    <w:pPr>
      <w:numPr>
        <w:numId w:val="31"/>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41"/>
      </w:numPr>
    </w:pPr>
  </w:style>
  <w:style w:type="paragraph" w:customStyle="1" w:styleId="Heading123">
    <w:name w:val="Heading 123"/>
    <w:basedOn w:val="HeadingLeft"/>
    <w:next w:val="Normal"/>
    <w:rsid w:val="00F86DEA"/>
    <w:pPr>
      <w:numPr>
        <w:numId w:val="40"/>
      </w:numPr>
    </w:pPr>
  </w:style>
  <w:style w:type="paragraph" w:customStyle="1" w:styleId="HeadingABC">
    <w:name w:val="Heading ABC"/>
    <w:basedOn w:val="HeadingLeft"/>
    <w:next w:val="Normal"/>
    <w:rsid w:val="00F86DEA"/>
    <w:pPr>
      <w:numPr>
        <w:numId w:val="39"/>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E32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2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77B7F-771E-4E25-A770-5B28A63E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0</TotalTime>
  <Pages>6</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FRACZEK Monika</dc:creator>
  <cp:lastModifiedBy>GEUBEL Charlotte</cp:lastModifiedBy>
  <cp:revision>2</cp:revision>
  <cp:lastPrinted>2015-06-17T12:32:00Z</cp:lastPrinted>
  <dcterms:created xsi:type="dcterms:W3CDTF">2015-06-18T10:13:00Z</dcterms:created>
  <dcterms:modified xsi:type="dcterms:W3CDTF">2015-06-18T10:13:00Z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3.5.3, Build 20150508</vt:lpwstr>
  </property>
  <property fmtid="{D5CDD505-2E9C-101B-9397-08002B2CF9AE}" pid="5" name="SkipControlLengthPage">
    <vt:lpwstr/>
  </property>
</Properties>
</file>