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42E" w:rsidRPr="00581004" w:rsidRDefault="00B73EDA" w:rsidP="00581004">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3fbfe6c-1ceb-45c1-a44d-b4178c18a40d_0" style="width:568.5pt;height:366pt">
            <v:imagedata r:id="rId8" o:title=""/>
          </v:shape>
        </w:pict>
      </w:r>
      <w:bookmarkEnd w:id="0"/>
    </w:p>
    <w:p w:rsidR="0056642E" w:rsidRPr="00DA00BB" w:rsidRDefault="0056642E" w:rsidP="0056642E">
      <w:pPr>
        <w:sectPr w:rsidR="0056642E" w:rsidRPr="00DA00BB" w:rsidSect="00B73EDA">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pPr>
    </w:p>
    <w:p w:rsidR="0095020C" w:rsidRPr="008B1577" w:rsidRDefault="0095020C" w:rsidP="004826A5">
      <w:pPr>
        <w:spacing w:before="0" w:after="0" w:line="360" w:lineRule="exact"/>
        <w:outlineLvl w:val="0"/>
        <w:rPr>
          <w:b/>
          <w:caps/>
          <w:u w:val="single"/>
        </w:rPr>
      </w:pPr>
      <w:r w:rsidRPr="008B1577">
        <w:rPr>
          <w:b/>
          <w:caps/>
        </w:rPr>
        <w:lastRenderedPageBreak/>
        <w:t>I.</w:t>
      </w:r>
      <w:r w:rsidRPr="008B1577">
        <w:tab/>
      </w:r>
      <w:r w:rsidRPr="008B1577">
        <w:rPr>
          <w:b/>
          <w:caps/>
          <w:u w:val="single"/>
        </w:rPr>
        <w:t>ВЪВЕДЕНИЕ</w:t>
      </w:r>
    </w:p>
    <w:p w:rsidR="0095020C" w:rsidRPr="008B1577" w:rsidRDefault="0095020C" w:rsidP="004826A5">
      <w:pPr>
        <w:spacing w:before="0" w:after="0" w:line="360" w:lineRule="exact"/>
        <w:rPr>
          <w:rFonts w:eastAsiaTheme="minorHAnsi" w:cstheme="minorBidi"/>
          <w:szCs w:val="22"/>
        </w:rPr>
      </w:pPr>
    </w:p>
    <w:p w:rsidR="0095020C" w:rsidRPr="008B1577" w:rsidRDefault="0095020C" w:rsidP="004826A5">
      <w:pPr>
        <w:numPr>
          <w:ilvl w:val="0"/>
          <w:numId w:val="21"/>
        </w:numPr>
        <w:spacing w:before="0" w:after="0" w:line="360" w:lineRule="exact"/>
        <w:ind w:left="567" w:hanging="567"/>
        <w:jc w:val="both"/>
        <w:rPr>
          <w:color w:val="000000"/>
          <w:u w:color="000000"/>
        </w:rPr>
      </w:pPr>
      <w:r w:rsidRPr="008B1577">
        <w:rPr>
          <w:color w:val="000000"/>
          <w:u w:color="000000"/>
        </w:rPr>
        <w:t>На 28 март 2011 г. Съдът на Европейския съюз представи законодателна инициатива</w:t>
      </w:r>
      <w:r w:rsidRPr="008B1577">
        <w:rPr>
          <w:b/>
          <w:color w:val="000000"/>
          <w:u w:color="000000"/>
          <w:vertAlign w:val="superscript"/>
        </w:rPr>
        <w:footnoteReference w:id="1"/>
      </w:r>
      <w:r w:rsidRPr="008B1577">
        <w:rPr>
          <w:color w:val="000000"/>
          <w:u w:color="000000"/>
        </w:rPr>
        <w:t xml:space="preserve"> по силата на член 281, втора алинея от ДФЕС за изменение на Протокола относно Статута на Съда на Европейския съюз, която включва, наред с другото, увеличаване на броя на съдиите в Общия съд с 12. Макар и другите предложени изменения да бяха приети на 11 август 2012 г., в рамките на Съвета беше невъзмож</w:t>
      </w:r>
      <w:r w:rsidR="006D6C7B">
        <w:rPr>
          <w:color w:val="000000"/>
          <w:u w:color="000000"/>
        </w:rPr>
        <w:t xml:space="preserve">но да се постигне споразумение </w:t>
      </w:r>
      <w:r w:rsidRPr="008B1577">
        <w:rPr>
          <w:color w:val="000000"/>
          <w:u w:color="000000"/>
        </w:rPr>
        <w:t>по отношение на увеличаването на броя на съдиите.</w:t>
      </w:r>
    </w:p>
    <w:p w:rsidR="0095020C" w:rsidRPr="008B1577" w:rsidRDefault="0095020C" w:rsidP="004826A5">
      <w:pPr>
        <w:spacing w:before="0" w:after="0" w:line="360" w:lineRule="exact"/>
        <w:ind w:left="567"/>
        <w:jc w:val="both"/>
        <w:rPr>
          <w:color w:val="000000"/>
          <w:u w:color="000000"/>
        </w:rPr>
      </w:pPr>
    </w:p>
    <w:p w:rsidR="0095020C" w:rsidRPr="008B1577" w:rsidRDefault="0095020C" w:rsidP="004826A5">
      <w:pPr>
        <w:numPr>
          <w:ilvl w:val="0"/>
          <w:numId w:val="21"/>
        </w:numPr>
        <w:spacing w:before="0" w:after="0" w:line="360" w:lineRule="exact"/>
        <w:ind w:left="567" w:hanging="567"/>
        <w:jc w:val="both"/>
        <w:rPr>
          <w:color w:val="000000"/>
          <w:u w:color="000000"/>
        </w:rPr>
      </w:pPr>
      <w:r w:rsidRPr="008B1577">
        <w:rPr>
          <w:color w:val="000000"/>
          <w:u w:color="000000"/>
        </w:rPr>
        <w:t>На пленарното си заседание на 15 април 2014 г. Европейският парламент прие позицията си на първо четене по предложението на Съда, с която подкрепя увеличаването на броя на съдиите в Общия съд с 12.</w:t>
      </w:r>
    </w:p>
    <w:p w:rsidR="0095020C" w:rsidRPr="008B1577" w:rsidRDefault="0095020C" w:rsidP="004826A5">
      <w:pPr>
        <w:spacing w:before="0" w:after="0" w:line="360" w:lineRule="exact"/>
        <w:ind w:left="567" w:hanging="567"/>
        <w:rPr>
          <w:color w:val="000000"/>
          <w:u w:color="000000"/>
        </w:rPr>
      </w:pPr>
    </w:p>
    <w:p w:rsidR="0095020C" w:rsidRPr="008B1577" w:rsidRDefault="0095020C" w:rsidP="004826A5">
      <w:pPr>
        <w:numPr>
          <w:ilvl w:val="0"/>
          <w:numId w:val="21"/>
        </w:numPr>
        <w:spacing w:before="0" w:after="0" w:line="360" w:lineRule="exact"/>
        <w:ind w:left="567" w:hanging="567"/>
        <w:jc w:val="both"/>
        <w:rPr>
          <w:color w:val="000000"/>
          <w:u w:color="000000"/>
        </w:rPr>
      </w:pPr>
      <w:r w:rsidRPr="008B1577">
        <w:rPr>
          <w:color w:val="000000"/>
          <w:u w:color="000000"/>
        </w:rPr>
        <w:t>В този контекст, и като се има предвид значителното увеличаване на натовареността на Общия съд след внасянето на първоначалното предложение, на 13 октомври 2014 г. Съдът на Европейския съюз предложи</w:t>
      </w:r>
      <w:r w:rsidRPr="008B1577">
        <w:rPr>
          <w:b/>
          <w:color w:val="000000"/>
          <w:u w:color="000000"/>
          <w:vertAlign w:val="superscript"/>
        </w:rPr>
        <w:footnoteReference w:id="2"/>
      </w:r>
      <w:r w:rsidRPr="008B1577">
        <w:rPr>
          <w:color w:val="000000"/>
          <w:u w:color="000000"/>
        </w:rPr>
        <w:t xml:space="preserve"> съзаконодателите да изменят предложението, така че броят на съдиите в Общия съд да бъде удвоен на три етапа до 2019 г., включително като се интегрира Съдът на публичната служба в Общия съд, при което броят на съдиите ще се увеличи общо с 21 допълнителни съдии.</w:t>
      </w:r>
    </w:p>
    <w:p w:rsidR="0095020C" w:rsidRPr="008B1577" w:rsidRDefault="0095020C" w:rsidP="004826A5">
      <w:pPr>
        <w:spacing w:before="0" w:after="0" w:line="360" w:lineRule="exact"/>
        <w:ind w:left="567"/>
        <w:jc w:val="both"/>
        <w:rPr>
          <w:color w:val="000000"/>
          <w:u w:color="000000"/>
        </w:rPr>
      </w:pPr>
    </w:p>
    <w:p w:rsidR="0095020C" w:rsidRPr="008B1577" w:rsidRDefault="0095020C" w:rsidP="004826A5">
      <w:pPr>
        <w:numPr>
          <w:ilvl w:val="0"/>
          <w:numId w:val="21"/>
        </w:numPr>
        <w:spacing w:before="0" w:after="0" w:line="360" w:lineRule="exact"/>
        <w:ind w:left="567" w:hanging="567"/>
        <w:jc w:val="both"/>
        <w:rPr>
          <w:color w:val="000000"/>
          <w:u w:color="000000"/>
        </w:rPr>
      </w:pPr>
      <w:r w:rsidRPr="008B1577">
        <w:rPr>
          <w:color w:val="000000"/>
          <w:u w:color="000000"/>
        </w:rPr>
        <w:t>На тази основа на 11 декември 2014 г. Корепер постигна принципно съгласие по съществените елементи на реформата, както е посочено в док. 16576/14 от 8 декември 2014 г.</w:t>
      </w:r>
    </w:p>
    <w:p w:rsidR="0095020C" w:rsidRPr="008B1577" w:rsidRDefault="0095020C" w:rsidP="004826A5">
      <w:pPr>
        <w:spacing w:before="0" w:after="0" w:line="360" w:lineRule="exact"/>
        <w:ind w:left="567"/>
        <w:jc w:val="both"/>
        <w:rPr>
          <w:color w:val="000000"/>
          <w:u w:color="000000"/>
        </w:rPr>
      </w:pPr>
    </w:p>
    <w:p w:rsidR="0095020C" w:rsidRPr="008B1577" w:rsidRDefault="0095020C" w:rsidP="004826A5">
      <w:pPr>
        <w:numPr>
          <w:ilvl w:val="0"/>
          <w:numId w:val="21"/>
        </w:numPr>
        <w:spacing w:before="0" w:after="0" w:line="360" w:lineRule="exact"/>
        <w:ind w:left="567" w:hanging="567"/>
        <w:jc w:val="both"/>
        <w:rPr>
          <w:color w:val="000000"/>
          <w:u w:color="000000"/>
        </w:rPr>
      </w:pPr>
      <w:r w:rsidRPr="008B1577">
        <w:rPr>
          <w:color w:val="000000"/>
          <w:u w:color="000000"/>
        </w:rPr>
        <w:t>През първата половина на 2015 г. председателството положи усилия за провеждане на неформални обсъждания с комисията по правни въпроси на Европейския парламент под формата на четиристранен диалог — с участието на Съда на Европейския съюз и Комисията, с оглед да се постигне бързо споразумение на второ четене по реформата, при което Съветът да приеме позицията си на първо четене въз основа на предварително договорения текст, който Европейският парламент може впоследствие да одобри съгласно член 294, параграф 7, буква а) от ДФЕС. Тези усилия обаче не се увенчаха с успех.</w:t>
      </w:r>
    </w:p>
    <w:p w:rsidR="0095020C" w:rsidRPr="008B1577" w:rsidRDefault="0095020C" w:rsidP="0095020C">
      <w:pPr>
        <w:spacing w:before="0" w:after="0" w:line="400" w:lineRule="exact"/>
        <w:ind w:left="567"/>
        <w:jc w:val="both"/>
        <w:rPr>
          <w:color w:val="000000"/>
          <w:u w:color="000000"/>
        </w:rPr>
      </w:pPr>
      <w:r w:rsidRPr="008B1577">
        <w:br w:type="page"/>
      </w:r>
    </w:p>
    <w:p w:rsidR="0095020C" w:rsidRPr="008B1577" w:rsidRDefault="0095020C" w:rsidP="0095020C">
      <w:pPr>
        <w:numPr>
          <w:ilvl w:val="0"/>
          <w:numId w:val="21"/>
        </w:numPr>
        <w:spacing w:before="0" w:after="0" w:line="400" w:lineRule="exact"/>
        <w:ind w:left="567" w:hanging="567"/>
        <w:jc w:val="both"/>
        <w:rPr>
          <w:color w:val="000000"/>
          <w:u w:color="000000"/>
        </w:rPr>
      </w:pPr>
      <w:r w:rsidRPr="008B1577">
        <w:rPr>
          <w:color w:val="000000"/>
          <w:u w:color="000000"/>
        </w:rPr>
        <w:t>При тези обстоятелства Съветът реши да приеме позицията си на първо четене съгласно член 294, параграф 5 от ДФЕС и да я съобщи на Европейския парламент заедно с настоящото изложение на мотивите.</w:t>
      </w:r>
    </w:p>
    <w:p w:rsidR="0095020C" w:rsidRPr="008B1577" w:rsidRDefault="0095020C" w:rsidP="0095020C">
      <w:pPr>
        <w:spacing w:before="0" w:after="0" w:line="400" w:lineRule="exact"/>
        <w:ind w:left="567"/>
        <w:jc w:val="both"/>
        <w:rPr>
          <w:color w:val="000000"/>
          <w:u w:color="000000"/>
        </w:rPr>
      </w:pPr>
    </w:p>
    <w:p w:rsidR="0095020C" w:rsidRPr="008B1577" w:rsidRDefault="0095020C" w:rsidP="0095020C">
      <w:pPr>
        <w:tabs>
          <w:tab w:val="num" w:pos="567"/>
        </w:tabs>
        <w:spacing w:before="0" w:after="0" w:line="400" w:lineRule="exact"/>
        <w:ind w:left="567" w:hanging="567"/>
        <w:outlineLvl w:val="0"/>
        <w:rPr>
          <w:b/>
          <w:caps/>
          <w:u w:val="single"/>
        </w:rPr>
      </w:pPr>
      <w:r w:rsidRPr="008B1577">
        <w:rPr>
          <w:b/>
          <w:caps/>
        </w:rPr>
        <w:t>II.</w:t>
      </w:r>
      <w:r w:rsidRPr="008B1577">
        <w:tab/>
      </w:r>
      <w:r w:rsidRPr="008B1577">
        <w:rPr>
          <w:b/>
          <w:caps/>
          <w:u w:val="single"/>
        </w:rPr>
        <w:t>ЦЕЛ</w:t>
      </w:r>
    </w:p>
    <w:p w:rsidR="0095020C" w:rsidRPr="008B1577" w:rsidRDefault="0095020C" w:rsidP="0095020C">
      <w:pPr>
        <w:spacing w:before="0" w:after="0" w:line="400" w:lineRule="exact"/>
        <w:ind w:left="567"/>
        <w:jc w:val="both"/>
        <w:rPr>
          <w:color w:val="000000"/>
          <w:u w:color="000000"/>
        </w:rPr>
      </w:pPr>
    </w:p>
    <w:p w:rsidR="0095020C" w:rsidRPr="008B1577" w:rsidRDefault="0095020C" w:rsidP="0095020C">
      <w:pPr>
        <w:numPr>
          <w:ilvl w:val="0"/>
          <w:numId w:val="21"/>
        </w:numPr>
        <w:spacing w:before="0" w:after="0" w:line="400" w:lineRule="exact"/>
        <w:ind w:left="567" w:hanging="567"/>
        <w:jc w:val="both"/>
        <w:rPr>
          <w:color w:val="000000"/>
          <w:u w:color="000000"/>
        </w:rPr>
      </w:pPr>
      <w:r w:rsidRPr="008B1577">
        <w:rPr>
          <w:color w:val="000000"/>
          <w:u w:color="000000"/>
        </w:rPr>
        <w:t xml:space="preserve">Вследствие на постепенното разширяване на компетентността на Общия съд броят на делата, по които той е сезиран, бележи трайно увеличение през годините, което с времето води до нарастване на броя на висящите пред този съд дела. </w:t>
      </w:r>
      <w:r w:rsidRPr="008B1577">
        <w:t>Това оказва въздействие върху продължителността на производствата, която е неприемлива от гледна точка на правните субекти и несъвместима със задължението на Съюза да се гарантира съдебно решение в разумен срок, както е посочено в член 47 от Хартата на основните права на Европейския съюз.</w:t>
      </w:r>
      <w:r w:rsidRPr="008B1577">
        <w:rPr>
          <w:rFonts w:asciiTheme="majorBidi" w:eastAsiaTheme="minorHAnsi" w:hAnsiTheme="majorBidi" w:cstheme="majorBidi"/>
        </w:rPr>
        <w:t xml:space="preserve"> Това буди загриженост, особено в областта на конкуренцията и държавните помощи.</w:t>
      </w:r>
    </w:p>
    <w:p w:rsidR="0095020C" w:rsidRPr="008B1577" w:rsidRDefault="0095020C" w:rsidP="0095020C">
      <w:pPr>
        <w:spacing w:before="0" w:after="0" w:line="400" w:lineRule="exact"/>
        <w:ind w:left="567"/>
        <w:jc w:val="both"/>
        <w:rPr>
          <w:color w:val="000000"/>
          <w:u w:color="000000"/>
        </w:rPr>
      </w:pPr>
    </w:p>
    <w:p w:rsidR="0095020C" w:rsidRPr="008B1577" w:rsidRDefault="0095020C" w:rsidP="0095020C">
      <w:pPr>
        <w:numPr>
          <w:ilvl w:val="0"/>
          <w:numId w:val="21"/>
        </w:numPr>
        <w:spacing w:before="0" w:after="0" w:line="400" w:lineRule="exact"/>
        <w:ind w:left="567" w:hanging="567"/>
        <w:jc w:val="both"/>
        <w:rPr>
          <w:rFonts w:cstheme="minorBidi"/>
          <w:sz w:val="25"/>
          <w:szCs w:val="25"/>
        </w:rPr>
      </w:pPr>
      <w:r w:rsidRPr="008B1577">
        <w:rPr>
          <w:color w:val="000000"/>
          <w:u w:color="000000"/>
        </w:rPr>
        <w:t>Като се има предвид значителното увеличаване на натоварването на Общия съд след 2011 г., на 13 октомври 2014 г. Съдът на Европейския съюз, както е посочено в точка 3 по-горе, предложи съзаконодателите да изменят първоначалното предложение, така че да бъде удвоен броят на съдиите в Общия съд на три етапа до 2019 г., включително като се интегрира Съдът на публичната служба в Общия съд, с оглед на постигането на следните цели:</w:t>
      </w:r>
    </w:p>
    <w:p w:rsidR="0095020C" w:rsidRPr="008B1577" w:rsidRDefault="0095020C" w:rsidP="0095020C">
      <w:pPr>
        <w:spacing w:before="0" w:after="0" w:line="400" w:lineRule="exact"/>
        <w:ind w:left="567"/>
        <w:jc w:val="both"/>
        <w:rPr>
          <w:rFonts w:cstheme="minorBidi"/>
          <w:sz w:val="25"/>
          <w:szCs w:val="25"/>
        </w:rPr>
      </w:pPr>
    </w:p>
    <w:p w:rsidR="0095020C" w:rsidRPr="008B1577" w:rsidRDefault="0095020C" w:rsidP="0095020C">
      <w:pPr>
        <w:spacing w:before="0" w:after="0" w:line="400" w:lineRule="exact"/>
        <w:ind w:left="1134" w:hanging="567"/>
        <w:jc w:val="both"/>
        <w:rPr>
          <w:rFonts w:cstheme="minorBidi"/>
        </w:rPr>
      </w:pPr>
      <w:r w:rsidRPr="008B1577">
        <w:t>–</w:t>
      </w:r>
      <w:r w:rsidRPr="008B1577">
        <w:tab/>
        <w:t>да бъдат приключвани толкова дела, колкото се образуват, което да сложи край на увеличаващия се брой висящи дела;</w:t>
      </w:r>
    </w:p>
    <w:p w:rsidR="0095020C" w:rsidRPr="008B1577" w:rsidRDefault="0095020C" w:rsidP="0095020C">
      <w:pPr>
        <w:spacing w:before="0" w:after="0" w:line="400" w:lineRule="exact"/>
        <w:ind w:left="1134" w:hanging="567"/>
        <w:jc w:val="both"/>
        <w:rPr>
          <w:rFonts w:cstheme="minorBidi"/>
        </w:rPr>
      </w:pPr>
    </w:p>
    <w:p w:rsidR="0095020C" w:rsidRPr="008B1577" w:rsidRDefault="0095020C" w:rsidP="0095020C">
      <w:pPr>
        <w:spacing w:before="0" w:after="0" w:line="400" w:lineRule="exact"/>
        <w:ind w:left="1134" w:hanging="567"/>
        <w:jc w:val="both"/>
        <w:rPr>
          <w:rFonts w:cstheme="minorBidi"/>
        </w:rPr>
      </w:pPr>
      <w:r w:rsidRPr="008B1577">
        <w:t>−</w:t>
      </w:r>
      <w:r w:rsidRPr="008B1577">
        <w:tab/>
        <w:t>да се преодолее изоставането по висящи дела;</w:t>
      </w:r>
    </w:p>
    <w:p w:rsidR="0095020C" w:rsidRPr="008B1577" w:rsidRDefault="0095020C" w:rsidP="0095020C">
      <w:pPr>
        <w:spacing w:before="0" w:after="0" w:line="400" w:lineRule="exact"/>
        <w:ind w:left="1134" w:hanging="567"/>
        <w:jc w:val="both"/>
        <w:rPr>
          <w:rFonts w:cstheme="minorBidi"/>
        </w:rPr>
      </w:pPr>
    </w:p>
    <w:p w:rsidR="0095020C" w:rsidRPr="008B1577" w:rsidRDefault="0095020C" w:rsidP="0095020C">
      <w:pPr>
        <w:spacing w:before="0" w:after="0" w:line="400" w:lineRule="exact"/>
        <w:ind w:left="1134" w:hanging="567"/>
        <w:jc w:val="both"/>
        <w:rPr>
          <w:rFonts w:cstheme="minorBidi"/>
        </w:rPr>
      </w:pPr>
      <w:r w:rsidRPr="008B1577">
        <w:t>−</w:t>
      </w:r>
      <w:r w:rsidRPr="008B1577">
        <w:tab/>
        <w:t>да се съкрати продължителността на производствата пред Общия съд, с което да се ограничат рисковете от осъждане на Европейския съюз за нарушения на член 47 от Хартата;</w:t>
      </w:r>
    </w:p>
    <w:p w:rsidR="0095020C" w:rsidRPr="008B1577" w:rsidRDefault="0095020C" w:rsidP="0095020C">
      <w:pPr>
        <w:spacing w:before="0" w:after="0" w:line="400" w:lineRule="exact"/>
        <w:ind w:left="1134" w:hanging="567"/>
        <w:jc w:val="both"/>
        <w:rPr>
          <w:rFonts w:cstheme="minorBidi"/>
        </w:rPr>
      </w:pPr>
    </w:p>
    <w:p w:rsidR="0095020C" w:rsidRPr="008B1577" w:rsidRDefault="0095020C" w:rsidP="0095020C">
      <w:pPr>
        <w:spacing w:before="0" w:after="0" w:line="400" w:lineRule="exact"/>
        <w:ind w:left="1134" w:hanging="567"/>
        <w:jc w:val="both"/>
        <w:rPr>
          <w:rFonts w:cstheme="minorBidi"/>
        </w:rPr>
      </w:pPr>
      <w:r w:rsidRPr="008B1577">
        <w:t>−</w:t>
      </w:r>
      <w:r w:rsidRPr="008B1577">
        <w:tab/>
        <w:t>да се опрости правораздавателната архитектура на Европейския съюз и да се утвърди последователността в съдебната практика;</w:t>
      </w:r>
    </w:p>
    <w:p w:rsidR="0095020C" w:rsidRPr="008B1577" w:rsidRDefault="0095020C" w:rsidP="004826A5">
      <w:pPr>
        <w:spacing w:before="0" w:after="0" w:line="360" w:lineRule="exact"/>
        <w:ind w:left="1134" w:hanging="567"/>
        <w:jc w:val="both"/>
        <w:rPr>
          <w:rFonts w:cstheme="minorBidi"/>
        </w:rPr>
      </w:pPr>
      <w:r w:rsidRPr="008B1577">
        <w:br w:type="page"/>
      </w:r>
    </w:p>
    <w:p w:rsidR="0095020C" w:rsidRPr="008B1577" w:rsidRDefault="0095020C" w:rsidP="004826A5">
      <w:pPr>
        <w:spacing w:before="0" w:after="0" w:line="360" w:lineRule="exact"/>
        <w:ind w:left="1134" w:hanging="567"/>
        <w:jc w:val="both"/>
        <w:rPr>
          <w:rFonts w:cstheme="minorBidi"/>
        </w:rPr>
      </w:pPr>
      <w:r w:rsidRPr="008B1577">
        <w:t>−</w:t>
      </w:r>
      <w:r w:rsidRPr="008B1577">
        <w:tab/>
        <w:t>да се подобри гъвкавостта при разглеждането на делата, като в интерес на гарантиране на доброто правораздаване се даде на Общия съд възможност да разпределя в един или няколко състава по-голям или малък брой съдии в зависимост от натовареността с разглеждани от него спорове или да възлага на определени състави разглеждането и постановяването на решения по дела от определени области;</w:t>
      </w:r>
    </w:p>
    <w:p w:rsidR="0095020C" w:rsidRPr="008B1577" w:rsidRDefault="0095020C" w:rsidP="004826A5">
      <w:pPr>
        <w:spacing w:before="0" w:after="0" w:line="360" w:lineRule="exact"/>
        <w:ind w:left="1134" w:hanging="567"/>
        <w:jc w:val="both"/>
        <w:rPr>
          <w:rFonts w:cstheme="minorBidi"/>
        </w:rPr>
      </w:pPr>
    </w:p>
    <w:p w:rsidR="0095020C" w:rsidRPr="008B1577" w:rsidRDefault="0095020C" w:rsidP="004826A5">
      <w:pPr>
        <w:spacing w:before="0" w:after="0" w:line="360" w:lineRule="exact"/>
        <w:ind w:left="1134" w:hanging="567"/>
        <w:jc w:val="both"/>
        <w:rPr>
          <w:rFonts w:cstheme="minorBidi"/>
        </w:rPr>
      </w:pPr>
      <w:r w:rsidRPr="008B1577">
        <w:t>−</w:t>
      </w:r>
      <w:r w:rsidRPr="008B1577">
        <w:tab/>
        <w:t>да се намери решение на периодично възникващи проблеми, свързани с назначаването на съдии в Съда на публичната служба, и да се предотвратят други подобни проблеми, които могат да възникнат при назначаването на допълнителни съдии в Общия съд;</w:t>
      </w:r>
    </w:p>
    <w:p w:rsidR="0095020C" w:rsidRPr="008B1577" w:rsidRDefault="0095020C" w:rsidP="004826A5">
      <w:pPr>
        <w:spacing w:before="0" w:after="0" w:line="360" w:lineRule="exact"/>
        <w:ind w:left="1134" w:hanging="567"/>
        <w:jc w:val="both"/>
        <w:rPr>
          <w:rFonts w:cstheme="minorBidi"/>
        </w:rPr>
      </w:pPr>
    </w:p>
    <w:p w:rsidR="0095020C" w:rsidRPr="008B1577" w:rsidRDefault="0095020C" w:rsidP="004826A5">
      <w:pPr>
        <w:spacing w:before="0" w:after="0" w:line="360" w:lineRule="exact"/>
        <w:ind w:left="1134" w:hanging="567"/>
        <w:jc w:val="both"/>
        <w:rPr>
          <w:color w:val="000000"/>
          <w:u w:color="000000"/>
        </w:rPr>
      </w:pPr>
      <w:r w:rsidRPr="008B1577">
        <w:t>–</w:t>
      </w:r>
      <w:r w:rsidRPr="008B1577">
        <w:tab/>
        <w:t>да се възстанови компетентността на Съда да се произнася в производства по обжалване при спорове между Съюза и неговите служители, като по този начин биха станали ненужни както процедурата за преразглеждане (чието прилагане се оказа доста сложно), така и длъжността на заместващ съдия в Съда на публичната служба.</w:t>
      </w:r>
    </w:p>
    <w:p w:rsidR="0095020C" w:rsidRPr="008B1577" w:rsidRDefault="0095020C" w:rsidP="004826A5">
      <w:pPr>
        <w:spacing w:before="0" w:after="0" w:line="360" w:lineRule="exact"/>
        <w:ind w:left="567"/>
        <w:jc w:val="both"/>
        <w:rPr>
          <w:color w:val="000000"/>
          <w:u w:color="000000"/>
        </w:rPr>
      </w:pPr>
    </w:p>
    <w:p w:rsidR="0095020C" w:rsidRPr="008B1577" w:rsidRDefault="0095020C" w:rsidP="004826A5">
      <w:pPr>
        <w:spacing w:before="0" w:after="0" w:line="360" w:lineRule="exact"/>
        <w:ind w:left="567"/>
        <w:jc w:val="both"/>
        <w:rPr>
          <w:color w:val="000000"/>
          <w:u w:color="000000"/>
        </w:rPr>
      </w:pPr>
    </w:p>
    <w:p w:rsidR="0095020C" w:rsidRPr="008B1577" w:rsidRDefault="0095020C" w:rsidP="004826A5">
      <w:pPr>
        <w:tabs>
          <w:tab w:val="num" w:pos="567"/>
        </w:tabs>
        <w:spacing w:before="0" w:after="0" w:line="360" w:lineRule="exact"/>
        <w:ind w:left="567" w:hanging="567"/>
        <w:outlineLvl w:val="0"/>
        <w:rPr>
          <w:b/>
          <w:caps/>
          <w:u w:val="single"/>
        </w:rPr>
      </w:pPr>
      <w:r w:rsidRPr="008B1577">
        <w:rPr>
          <w:b/>
          <w:caps/>
        </w:rPr>
        <w:t>III.</w:t>
      </w:r>
      <w:r w:rsidRPr="008B1577">
        <w:tab/>
      </w:r>
      <w:r w:rsidRPr="008B1577">
        <w:rPr>
          <w:b/>
          <w:caps/>
          <w:u w:val="single"/>
        </w:rPr>
        <w:t>АНАЛИЗ НА ПОЗИЦИЯТА НА СЪВЕТА НА ПЪРВО ЧЕТЕНЕ</w:t>
      </w:r>
    </w:p>
    <w:p w:rsidR="0095020C" w:rsidRPr="008B1577" w:rsidRDefault="0095020C" w:rsidP="004826A5">
      <w:pPr>
        <w:spacing w:before="0" w:after="0" w:line="360" w:lineRule="exact"/>
        <w:ind w:left="567"/>
        <w:jc w:val="both"/>
        <w:rPr>
          <w:color w:val="000000"/>
          <w:u w:color="000000"/>
        </w:rPr>
      </w:pPr>
    </w:p>
    <w:p w:rsidR="0095020C" w:rsidRPr="008B1577" w:rsidRDefault="0095020C" w:rsidP="004826A5">
      <w:pPr>
        <w:numPr>
          <w:ilvl w:val="0"/>
          <w:numId w:val="21"/>
        </w:numPr>
        <w:spacing w:before="0" w:after="0" w:line="360" w:lineRule="exact"/>
        <w:ind w:left="567" w:hanging="567"/>
        <w:jc w:val="both"/>
        <w:rPr>
          <w:color w:val="000000"/>
          <w:u w:color="000000"/>
        </w:rPr>
      </w:pPr>
      <w:r w:rsidRPr="008B1577">
        <w:t>Позицията на Съвета на първо четене по същество съответства на предложението на Съда от 13 октомври 2014 г. (вж. точка 3 по-горе), макар и с намалени разходи. Той предвижда увеличаване на броя на съдиите в Общия съд до 56 на три етапа:</w:t>
      </w:r>
    </w:p>
    <w:p w:rsidR="0095020C" w:rsidRPr="008B1577" w:rsidRDefault="0095020C" w:rsidP="004826A5">
      <w:pPr>
        <w:spacing w:before="0" w:after="0" w:line="360" w:lineRule="exact"/>
        <w:ind w:left="567"/>
        <w:jc w:val="both"/>
        <w:rPr>
          <w:color w:val="000000"/>
          <w:u w:color="000000"/>
        </w:rPr>
      </w:pPr>
    </w:p>
    <w:p w:rsidR="0095020C" w:rsidRPr="008B1577" w:rsidRDefault="0095020C" w:rsidP="004826A5">
      <w:pPr>
        <w:spacing w:before="0" w:after="0" w:line="360" w:lineRule="exact"/>
        <w:ind w:left="1134" w:hanging="567"/>
        <w:jc w:val="both"/>
        <w:rPr>
          <w:color w:val="000000"/>
          <w:u w:color="000000"/>
        </w:rPr>
      </w:pPr>
      <w:r w:rsidRPr="008B1577">
        <w:t>—</w:t>
      </w:r>
      <w:r w:rsidRPr="008B1577">
        <w:tab/>
        <w:t>от септември 2015 г. (или датата на влизане в сила на регламента за изменение, ако е след 1 септември 2015 г.): увеличаване на броя на съдиите с 12;</w:t>
      </w:r>
    </w:p>
    <w:p w:rsidR="0095020C" w:rsidRPr="008B1577" w:rsidRDefault="0095020C" w:rsidP="004826A5">
      <w:pPr>
        <w:spacing w:before="0" w:after="0" w:line="360" w:lineRule="exact"/>
        <w:ind w:left="1134" w:hanging="567"/>
        <w:jc w:val="both"/>
        <w:rPr>
          <w:color w:val="000000"/>
          <w:u w:color="000000"/>
        </w:rPr>
      </w:pPr>
    </w:p>
    <w:p w:rsidR="0095020C" w:rsidRPr="008B1577" w:rsidRDefault="0095020C" w:rsidP="004826A5">
      <w:pPr>
        <w:spacing w:before="0" w:after="0" w:line="360" w:lineRule="exact"/>
        <w:ind w:left="1134" w:hanging="567"/>
        <w:jc w:val="both"/>
        <w:rPr>
          <w:color w:val="000000"/>
          <w:u w:color="000000"/>
        </w:rPr>
      </w:pPr>
      <w:r w:rsidRPr="008B1577">
        <w:t>—</w:t>
      </w:r>
      <w:r w:rsidRPr="00C263FD">
        <w:tab/>
      </w:r>
      <w:r w:rsidRPr="008B1577">
        <w:t>от септември 2016 г.: прехвърляне на компетентността за разглеждането като първа инстанция на дела, свързани с публичната служба на Съюза, в Общия съд, както и интегриране в Общия съд на постовете на седем съдии от Съда на публичната служба — въз основа на предстоящо законодателно искане от Съда, при условие че бъде прието от Европейския парламент и от Съвета.</w:t>
      </w:r>
    </w:p>
    <w:p w:rsidR="0095020C" w:rsidRPr="008B1577" w:rsidRDefault="0095020C" w:rsidP="004826A5">
      <w:pPr>
        <w:spacing w:before="0" w:after="0" w:line="360" w:lineRule="exact"/>
        <w:ind w:left="1134" w:hanging="567"/>
        <w:jc w:val="both"/>
        <w:rPr>
          <w:color w:val="000000"/>
          <w:u w:color="000000"/>
        </w:rPr>
      </w:pPr>
    </w:p>
    <w:p w:rsidR="0095020C" w:rsidRPr="008B1577" w:rsidRDefault="0095020C" w:rsidP="004826A5">
      <w:pPr>
        <w:spacing w:before="0" w:after="0" w:line="360" w:lineRule="exact"/>
        <w:ind w:left="1134" w:hanging="567"/>
        <w:jc w:val="both"/>
        <w:rPr>
          <w:color w:val="000000"/>
          <w:u w:color="000000"/>
        </w:rPr>
      </w:pPr>
      <w:r w:rsidRPr="008B1577">
        <w:t>—</w:t>
      </w:r>
      <w:r w:rsidRPr="00C263FD">
        <w:tab/>
      </w:r>
      <w:r w:rsidRPr="008B1577">
        <w:t>от септември 2019 г.: увеличаване на броя на съдиите с 9.</w:t>
      </w:r>
    </w:p>
    <w:p w:rsidR="0095020C" w:rsidRPr="008B1577" w:rsidRDefault="0095020C" w:rsidP="0095020C">
      <w:pPr>
        <w:spacing w:before="0" w:after="0" w:line="400" w:lineRule="exact"/>
        <w:ind w:left="567"/>
        <w:jc w:val="both"/>
        <w:rPr>
          <w:color w:val="000000"/>
          <w:u w:color="000000"/>
        </w:rPr>
      </w:pPr>
      <w:r w:rsidRPr="008B1577">
        <w:br w:type="page"/>
      </w:r>
    </w:p>
    <w:p w:rsidR="0095020C" w:rsidRPr="008B1577" w:rsidRDefault="0095020C" w:rsidP="0095020C">
      <w:pPr>
        <w:numPr>
          <w:ilvl w:val="0"/>
          <w:numId w:val="21"/>
        </w:numPr>
        <w:spacing w:before="0" w:after="0" w:line="400" w:lineRule="exact"/>
        <w:ind w:left="567" w:hanging="567"/>
        <w:jc w:val="both"/>
        <w:rPr>
          <w:color w:val="000000"/>
          <w:u w:color="000000"/>
        </w:rPr>
      </w:pPr>
      <w:r w:rsidRPr="008B1577">
        <w:rPr>
          <w:color w:val="000000"/>
          <w:u w:color="000000"/>
        </w:rPr>
        <w:t>По време на етапи 1 и 2 всеки от допълнителните съдии ще разполага с трима съдебни помощници. Въпреки това, както е посочено в съображение № 9 и договорено със Съда на Европейския съюз, третата фаза не следва да води до допълнителни административни разходи (няма да се назначават допълнителни съдебни помощници и асистенти).</w:t>
      </w:r>
    </w:p>
    <w:p w:rsidR="0095020C" w:rsidRPr="008B1577" w:rsidRDefault="0095020C" w:rsidP="0095020C">
      <w:pPr>
        <w:spacing w:before="0" w:after="0" w:line="400" w:lineRule="exact"/>
        <w:ind w:left="567"/>
        <w:jc w:val="both"/>
        <w:rPr>
          <w:color w:val="000000"/>
          <w:u w:color="000000"/>
        </w:rPr>
      </w:pPr>
    </w:p>
    <w:p w:rsidR="0095020C" w:rsidRPr="008B1577" w:rsidRDefault="0095020C" w:rsidP="0095020C">
      <w:pPr>
        <w:numPr>
          <w:ilvl w:val="0"/>
          <w:numId w:val="21"/>
        </w:numPr>
        <w:spacing w:before="0" w:after="0" w:line="400" w:lineRule="exact"/>
        <w:ind w:left="567" w:hanging="567"/>
        <w:jc w:val="both"/>
        <w:rPr>
          <w:color w:val="000000"/>
          <w:u w:color="000000"/>
        </w:rPr>
      </w:pPr>
      <w:r w:rsidRPr="008B1577">
        <w:rPr>
          <w:color w:val="000000"/>
          <w:u w:color="000000"/>
        </w:rPr>
        <w:t>Освен това, като част от политическия компромис Съдът на Европейския съюз ще представя годишни данни относно съдебната си дейност, включително относно промените във връзка с делата по обжалване, и ако е необходимо — ще предлага подходящи мерки. Уговорено е също, че на втория и третия етап на разширяване на Общия съд ще бъде направена оценка на състоянието на Общия съд, което при необходимост може да доведе до някои корекции, като се подразбира, че те не се отнасят до броя на съдиите, но може да включват всякакви други аспекти, свързани с функционирането и административните разходи на Съда. Накрая, Общият съд се очаква да се пристъпи към преразглеждане на вътрешната си организация и процедурния си правилник и въз основа на това да приеме необходимите мерки и своевременно да представи подходящи предложения за одобрение от Съвета преди последния етап на разширяването си през 2019 г.</w:t>
      </w:r>
    </w:p>
    <w:p w:rsidR="0095020C" w:rsidRPr="008B1577" w:rsidRDefault="0095020C" w:rsidP="0095020C">
      <w:pPr>
        <w:spacing w:before="0" w:after="0" w:line="400" w:lineRule="exact"/>
        <w:ind w:left="567"/>
        <w:jc w:val="both"/>
        <w:rPr>
          <w:color w:val="000000"/>
          <w:u w:color="000000"/>
        </w:rPr>
      </w:pPr>
    </w:p>
    <w:p w:rsidR="0095020C" w:rsidRPr="008B1577" w:rsidRDefault="0095020C" w:rsidP="0095020C">
      <w:pPr>
        <w:numPr>
          <w:ilvl w:val="0"/>
          <w:numId w:val="21"/>
        </w:numPr>
        <w:spacing w:before="0" w:after="0" w:line="400" w:lineRule="exact"/>
        <w:ind w:left="567" w:hanging="567"/>
        <w:jc w:val="both"/>
        <w:rPr>
          <w:color w:val="000000"/>
          <w:u w:color="000000"/>
        </w:rPr>
      </w:pPr>
      <w:r w:rsidRPr="008B1577">
        <w:t>Съветът счита, че тази реформа на Общия съд е необходима, тъй като броят на висящите дела и прекомерната продължителност на производствата през 2015 г. са много по-високи, отколкото през 2011 г., когато Съдът внесе първоначалната си законодателна инициатива за 12 допълнителни съдии.</w:t>
      </w:r>
      <w:r w:rsidRPr="008B1577">
        <w:rPr>
          <w:rFonts w:asciiTheme="majorBidi" w:eastAsiaTheme="minorHAnsi" w:hAnsiTheme="majorBidi" w:cstheme="majorBidi"/>
        </w:rPr>
        <w:t xml:space="preserve"> През 2010 г. броят на новите дела беше 636. През 2014 г. има 912 нови дела, което представлява увеличение с около 43 % за 4 години. Това доведе до положение, при което страните чакат понякога повече от четири години, преди да получат съдебно решение, по-специално икономическите оператори по спорове в областта на конкуренцията и държавните помощи, по време на което стоят блокирани значителни суми, които по тази причина не могат да бъдат инжектирани в европейската икономика. Освен това, поради закъснели съдебни решения вече има случаи на внесени искове за обезщетение срещу Съюза. Освен вредите за репутацията на Европейския съюз поради неспазване на собствената му Харта на основните права, липсата на реформа на Общия съд по този начин води до значителни разходи за европейската икономика и данъкоплатците.</w:t>
      </w:r>
    </w:p>
    <w:p w:rsidR="0095020C" w:rsidRPr="008B1577" w:rsidRDefault="0095020C" w:rsidP="0095020C">
      <w:pPr>
        <w:spacing w:before="0" w:after="0"/>
        <w:ind w:left="567"/>
        <w:jc w:val="both"/>
        <w:rPr>
          <w:color w:val="000000"/>
          <w:u w:color="000000"/>
        </w:rPr>
      </w:pPr>
      <w:r w:rsidRPr="008B1577">
        <w:br w:type="page"/>
      </w:r>
    </w:p>
    <w:p w:rsidR="0095020C" w:rsidRPr="008B1577" w:rsidRDefault="0095020C" w:rsidP="0095020C">
      <w:pPr>
        <w:numPr>
          <w:ilvl w:val="0"/>
          <w:numId w:val="21"/>
        </w:numPr>
        <w:spacing w:before="0" w:after="0"/>
        <w:ind w:left="567" w:hanging="567"/>
        <w:jc w:val="both"/>
        <w:rPr>
          <w:color w:val="000000"/>
          <w:u w:color="000000"/>
        </w:rPr>
      </w:pPr>
      <w:r w:rsidRPr="008B1577">
        <w:rPr>
          <w:rFonts w:asciiTheme="majorBidi" w:eastAsiaTheme="minorHAnsi" w:hAnsiTheme="majorBidi" w:cstheme="majorBidi"/>
        </w:rPr>
        <w:t>В този контекст увеличаването на броя на съдиите с 21 души е основателно. Съпоставено с увеличението на броя на делата с 43 % позицията на Съвета на първо четене представлява допълнително увеличение на броя на съдиите само с 22 % (от 40 на 49), ако се изключат 7-те длъжности, прехвърлени от Съда на публичната служба, което няма да се отрази върху капацитета на Общия съд, тъй като разглеждането на спорове от областта на публичната служба (между 150 и 200 дела годишно) също ще бъде прехвърлено към Общия съд от 2016 г. Допълнително, новото законодателство, което вече е прието или е в процес на обсъждане, вероятно ще доведе до по-нататъшно увеличение на броя на делата, разглеждани от Общия съд.</w:t>
      </w:r>
    </w:p>
    <w:p w:rsidR="0095020C" w:rsidRPr="008B1577" w:rsidRDefault="0095020C" w:rsidP="0095020C">
      <w:pPr>
        <w:spacing w:before="0" w:after="0"/>
        <w:ind w:left="567"/>
        <w:jc w:val="both"/>
        <w:rPr>
          <w:color w:val="000000"/>
          <w:u w:color="000000"/>
        </w:rPr>
      </w:pPr>
    </w:p>
    <w:p w:rsidR="0095020C" w:rsidRPr="008B1577" w:rsidRDefault="0095020C" w:rsidP="0095020C">
      <w:pPr>
        <w:numPr>
          <w:ilvl w:val="0"/>
          <w:numId w:val="21"/>
        </w:numPr>
        <w:spacing w:before="0" w:after="0"/>
        <w:ind w:left="567" w:hanging="567"/>
        <w:jc w:val="both"/>
        <w:rPr>
          <w:color w:val="000000"/>
          <w:u w:color="000000"/>
        </w:rPr>
      </w:pPr>
      <w:r w:rsidRPr="008B1577">
        <w:rPr>
          <w:rFonts w:asciiTheme="majorBidi" w:eastAsiaTheme="minorHAnsi" w:hAnsiTheme="majorBidi" w:cstheme="majorBidi"/>
        </w:rPr>
        <w:t>Намаляването на броя на юрисдикциите до две вместо три ще доведе до опростяване на съдебната система, ще засили съгласуваността на съдебната практика и ще доведе до мащабни икономии. Реформата ще даде възможност за специализация на съставите в рамките на Общия съд, което ще доведе до видими положителни последици за производителността му. Реформата също така ще позволи на Общия съд да подобри задълбочеността на обсъжданията, като по-често се вземат решения от петчленни състави вместо от тричленни и при необходимост — като се канят членове на Общия съд да изпълняват функцията на генерален адвокат.</w:t>
      </w:r>
    </w:p>
    <w:p w:rsidR="0095020C" w:rsidRPr="008B1577" w:rsidRDefault="0095020C" w:rsidP="0095020C">
      <w:pPr>
        <w:spacing w:before="0" w:after="0"/>
        <w:ind w:left="567"/>
        <w:jc w:val="both"/>
        <w:rPr>
          <w:color w:val="000000"/>
          <w:u w:color="000000"/>
        </w:rPr>
      </w:pPr>
    </w:p>
    <w:p w:rsidR="0095020C" w:rsidRPr="008B1577" w:rsidRDefault="0095020C" w:rsidP="0095020C">
      <w:pPr>
        <w:numPr>
          <w:ilvl w:val="0"/>
          <w:numId w:val="21"/>
        </w:numPr>
        <w:spacing w:before="0" w:after="0"/>
        <w:ind w:left="567" w:hanging="567"/>
        <w:jc w:val="both"/>
        <w:rPr>
          <w:color w:val="000000"/>
          <w:u w:color="000000"/>
        </w:rPr>
      </w:pPr>
      <w:r w:rsidRPr="008B1577">
        <w:rPr>
          <w:rFonts w:asciiTheme="majorBidi" w:eastAsiaTheme="minorHAnsi" w:hAnsiTheme="majorBidi" w:cstheme="majorBidi"/>
        </w:rPr>
        <w:t>Разходите за осъществяването на реформата, които да бъдат направени в резултат от позицията на Съвета на първо четене (вж. точки 10 и 11 по-горе), биха били в размер на годишни допълнителни разходи в размер на 13,5 милиона евро в нетна стойност при равномерна скорост на разходване, което може да се съпостави с първоначалното предложение, оценено на 11,2 милиона евро за 12 допълнителни съдии, което вече е прието от Европейския парламент в неговата позиция на първо четене. Следователно, позицията на Съвета на първо четене представлява увеличение на общите разходи за реформата с 20 % в сравнение с предложението от 2011 г., като в същото време годишният брой на новите дела в Общия съд е нараснал с 43 процента. Като се вземе предвид също и цената на липсата на реформи, тези разходи изглеждат умерени и обосновани.</w:t>
      </w:r>
    </w:p>
    <w:p w:rsidR="0095020C" w:rsidRPr="008B1577" w:rsidRDefault="0095020C" w:rsidP="0095020C">
      <w:pPr>
        <w:spacing w:before="0" w:after="0"/>
        <w:ind w:left="567"/>
        <w:jc w:val="both"/>
        <w:rPr>
          <w:rFonts w:asciiTheme="majorBidi" w:eastAsiaTheme="minorHAnsi" w:hAnsiTheme="majorBidi" w:cstheme="majorBidi"/>
        </w:rPr>
      </w:pPr>
      <w:r w:rsidRPr="008B1577">
        <w:br w:type="page"/>
      </w:r>
    </w:p>
    <w:p w:rsidR="0095020C" w:rsidRPr="008B1577" w:rsidRDefault="0095020C" w:rsidP="0095020C">
      <w:pPr>
        <w:tabs>
          <w:tab w:val="num" w:pos="567"/>
        </w:tabs>
        <w:spacing w:before="0" w:after="0"/>
        <w:ind w:left="567" w:hanging="567"/>
        <w:outlineLvl w:val="0"/>
        <w:rPr>
          <w:b/>
          <w:caps/>
          <w:u w:val="single"/>
        </w:rPr>
      </w:pPr>
      <w:r w:rsidRPr="008B1577">
        <w:rPr>
          <w:b/>
          <w:caps/>
        </w:rPr>
        <w:t>IV</w:t>
      </w:r>
      <w:r w:rsidRPr="008B1577">
        <w:tab/>
      </w:r>
      <w:r w:rsidRPr="008B1577">
        <w:rPr>
          <w:b/>
          <w:caps/>
          <w:u w:val="single"/>
        </w:rPr>
        <w:t>ЗАКЛЮЧЕНИЕ</w:t>
      </w:r>
    </w:p>
    <w:p w:rsidR="0095020C" w:rsidRPr="008B1577" w:rsidRDefault="0095020C" w:rsidP="0095020C">
      <w:pPr>
        <w:spacing w:before="0" w:after="0"/>
        <w:ind w:left="567"/>
        <w:jc w:val="both"/>
        <w:rPr>
          <w:rFonts w:asciiTheme="majorBidi" w:eastAsiaTheme="minorHAnsi" w:hAnsiTheme="majorBidi" w:cstheme="majorBidi"/>
        </w:rPr>
      </w:pPr>
    </w:p>
    <w:p w:rsidR="0095020C" w:rsidRPr="008B1577" w:rsidRDefault="0095020C" w:rsidP="0095020C">
      <w:pPr>
        <w:numPr>
          <w:ilvl w:val="0"/>
          <w:numId w:val="21"/>
        </w:numPr>
        <w:spacing w:before="0" w:after="0"/>
        <w:ind w:left="567" w:hanging="567"/>
        <w:jc w:val="both"/>
        <w:rPr>
          <w:rFonts w:eastAsiaTheme="minorHAnsi" w:cstheme="minorBidi"/>
          <w:szCs w:val="22"/>
        </w:rPr>
      </w:pPr>
      <w:r w:rsidRPr="008B1577">
        <w:t>Реформата, предвидена в позицията на Съвета на първо четене, след като бъде приета, ще осигури устойчиво и дългосрочно решение на настоящите предизвикателства пред юрисдикциите на Съюза и ще им даде възможност да изпълняват функциите си в сроковете и стандартите за качество, които европейските граждани и предприятия имат право да очакват в Съюз, основан на принципите на правовата държава.</w:t>
      </w:r>
    </w:p>
    <w:p w:rsidR="0095020C" w:rsidRPr="008B1577" w:rsidRDefault="0095020C" w:rsidP="0095020C">
      <w:pPr>
        <w:spacing w:before="0" w:after="0"/>
        <w:ind w:left="567"/>
        <w:jc w:val="both"/>
        <w:rPr>
          <w:rFonts w:eastAsiaTheme="minorHAnsi" w:cstheme="minorBidi"/>
          <w:szCs w:val="22"/>
        </w:rPr>
      </w:pPr>
    </w:p>
    <w:p w:rsidR="0095020C" w:rsidRPr="00197E91" w:rsidRDefault="0095020C" w:rsidP="0095020C">
      <w:pPr>
        <w:pBdr>
          <w:bottom w:val="single" w:sz="4" w:space="0" w:color="000000"/>
        </w:pBdr>
        <w:spacing w:before="0" w:after="0"/>
        <w:ind w:left="3400" w:right="3400"/>
        <w:jc w:val="center"/>
        <w:rPr>
          <w:b/>
        </w:rPr>
      </w:pPr>
    </w:p>
    <w:p w:rsidR="00591DEE" w:rsidRPr="00DA00BB" w:rsidRDefault="00591DEE" w:rsidP="0095020C">
      <w:pPr>
        <w:spacing w:before="0" w:after="0"/>
        <w:outlineLvl w:val="0"/>
        <w:rPr>
          <w:b/>
        </w:rPr>
      </w:pPr>
    </w:p>
    <w:sectPr w:rsidR="00591DEE" w:rsidRPr="00DA00BB" w:rsidSect="00B73EDA">
      <w:headerReference w:type="even" r:id="rId15"/>
      <w:headerReference w:type="default" r:id="rId16"/>
      <w:footerReference w:type="even" r:id="rId17"/>
      <w:headerReference w:type="first" r:id="rId18"/>
      <w:footerReference w:type="first" r:id="rId19"/>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42E" w:rsidRDefault="0056642E" w:rsidP="0056642E">
      <w:pPr>
        <w:spacing w:before="0" w:after="0" w:line="240" w:lineRule="auto"/>
      </w:pPr>
      <w:r>
        <w:separator/>
      </w:r>
    </w:p>
  </w:endnote>
  <w:endnote w:type="continuationSeparator" w:id="0">
    <w:p w:rsidR="0056642E" w:rsidRDefault="0056642E" w:rsidP="005664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004" w:rsidRPr="00B73EDA" w:rsidRDefault="00581004" w:rsidP="00B73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B73EDA" w:rsidRPr="00D94637" w:rsidTr="00B73EDA">
      <w:trPr>
        <w:jc w:val="center"/>
      </w:trPr>
      <w:tc>
        <w:tcPr>
          <w:tcW w:w="5000" w:type="pct"/>
          <w:gridSpan w:val="7"/>
          <w:shd w:val="clear" w:color="auto" w:fill="auto"/>
          <w:tcMar>
            <w:top w:w="57" w:type="dxa"/>
          </w:tcMar>
        </w:tcPr>
        <w:p w:rsidR="00B73EDA" w:rsidRPr="00D94637" w:rsidRDefault="00B73EDA" w:rsidP="00D94637">
          <w:pPr>
            <w:pStyle w:val="FooterText"/>
            <w:pBdr>
              <w:top w:val="single" w:sz="4" w:space="1" w:color="auto"/>
            </w:pBdr>
            <w:spacing w:before="200"/>
            <w:rPr>
              <w:sz w:val="2"/>
              <w:szCs w:val="2"/>
            </w:rPr>
          </w:pPr>
          <w:bookmarkStart w:id="2" w:name="FOOTER_STANDARD"/>
        </w:p>
      </w:tc>
    </w:tr>
    <w:tr w:rsidR="00B73EDA" w:rsidRPr="00B310DC" w:rsidTr="00B73EDA">
      <w:trPr>
        <w:jc w:val="center"/>
      </w:trPr>
      <w:tc>
        <w:tcPr>
          <w:tcW w:w="2500" w:type="pct"/>
          <w:gridSpan w:val="2"/>
          <w:shd w:val="clear" w:color="auto" w:fill="auto"/>
          <w:tcMar>
            <w:top w:w="0" w:type="dxa"/>
          </w:tcMar>
        </w:tcPr>
        <w:p w:rsidR="00B73EDA" w:rsidRPr="00AD7BF2" w:rsidRDefault="00B73EDA" w:rsidP="004F54B2">
          <w:pPr>
            <w:pStyle w:val="FooterText"/>
          </w:pPr>
          <w:r>
            <w:t>9375/1/15</w:t>
          </w:r>
          <w:r w:rsidRPr="002511D8">
            <w:t xml:space="preserve"> </w:t>
          </w:r>
          <w:r>
            <w:t>REV 1 ADD 1</w:t>
          </w:r>
        </w:p>
      </w:tc>
      <w:tc>
        <w:tcPr>
          <w:tcW w:w="625" w:type="pct"/>
          <w:shd w:val="clear" w:color="auto" w:fill="auto"/>
          <w:tcMar>
            <w:top w:w="0" w:type="dxa"/>
          </w:tcMar>
        </w:tcPr>
        <w:p w:rsidR="00B73EDA" w:rsidRPr="00AD7BF2" w:rsidRDefault="00B73EDA" w:rsidP="00D94637">
          <w:pPr>
            <w:pStyle w:val="FooterText"/>
            <w:jc w:val="center"/>
          </w:pPr>
        </w:p>
      </w:tc>
      <w:tc>
        <w:tcPr>
          <w:tcW w:w="1287" w:type="pct"/>
          <w:gridSpan w:val="3"/>
          <w:shd w:val="clear" w:color="auto" w:fill="auto"/>
          <w:tcMar>
            <w:top w:w="0" w:type="dxa"/>
          </w:tcMar>
        </w:tcPr>
        <w:p w:rsidR="00B73EDA" w:rsidRPr="002511D8" w:rsidRDefault="00B73EDA" w:rsidP="00D94637">
          <w:pPr>
            <w:pStyle w:val="FooterText"/>
            <w:jc w:val="center"/>
          </w:pPr>
          <w:r>
            <w:t>vat/vv</w:t>
          </w:r>
        </w:p>
      </w:tc>
      <w:tc>
        <w:tcPr>
          <w:tcW w:w="588" w:type="pct"/>
          <w:shd w:val="clear" w:color="auto" w:fill="auto"/>
          <w:tcMar>
            <w:top w:w="0" w:type="dxa"/>
          </w:tcMar>
        </w:tcPr>
        <w:p w:rsidR="00B73EDA" w:rsidRPr="00B310DC" w:rsidRDefault="00B73EDA"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B73EDA" w:rsidRPr="00D94637" w:rsidTr="00B73EDA">
      <w:trPr>
        <w:jc w:val="center"/>
      </w:trPr>
      <w:tc>
        <w:tcPr>
          <w:tcW w:w="1774" w:type="pct"/>
          <w:shd w:val="clear" w:color="auto" w:fill="auto"/>
        </w:tcPr>
        <w:p w:rsidR="00B73EDA" w:rsidRPr="00AD7BF2" w:rsidRDefault="00B73EDA" w:rsidP="00D94637">
          <w:pPr>
            <w:pStyle w:val="FooterText"/>
            <w:spacing w:before="40"/>
          </w:pPr>
        </w:p>
      </w:tc>
      <w:tc>
        <w:tcPr>
          <w:tcW w:w="1455" w:type="pct"/>
          <w:gridSpan w:val="3"/>
          <w:shd w:val="clear" w:color="auto" w:fill="auto"/>
        </w:tcPr>
        <w:p w:rsidR="00B73EDA" w:rsidRPr="00AD7BF2" w:rsidRDefault="00B73EDA" w:rsidP="00D204D6">
          <w:pPr>
            <w:pStyle w:val="FooterText"/>
            <w:spacing w:before="40"/>
            <w:jc w:val="center"/>
          </w:pPr>
          <w:r>
            <w:t>DPG</w:t>
          </w:r>
        </w:p>
      </w:tc>
      <w:tc>
        <w:tcPr>
          <w:tcW w:w="1147" w:type="pct"/>
          <w:shd w:val="clear" w:color="auto" w:fill="auto"/>
        </w:tcPr>
        <w:p w:rsidR="00B73EDA" w:rsidRPr="00D94637" w:rsidRDefault="00B73EDA" w:rsidP="00D94637">
          <w:pPr>
            <w:pStyle w:val="FooterText"/>
            <w:jc w:val="right"/>
            <w:rPr>
              <w:b/>
              <w:position w:val="-4"/>
              <w:sz w:val="36"/>
            </w:rPr>
          </w:pPr>
        </w:p>
      </w:tc>
      <w:tc>
        <w:tcPr>
          <w:tcW w:w="625" w:type="pct"/>
          <w:gridSpan w:val="2"/>
          <w:shd w:val="clear" w:color="auto" w:fill="auto"/>
        </w:tcPr>
        <w:p w:rsidR="00B73EDA" w:rsidRPr="00D94637" w:rsidRDefault="00B73EDA" w:rsidP="00D94637">
          <w:pPr>
            <w:pStyle w:val="FooterText"/>
            <w:jc w:val="right"/>
            <w:rPr>
              <w:sz w:val="16"/>
            </w:rPr>
          </w:pPr>
          <w:r>
            <w:rPr>
              <w:b/>
              <w:position w:val="-4"/>
              <w:sz w:val="36"/>
            </w:rPr>
            <w:t>BG</w:t>
          </w:r>
        </w:p>
      </w:tc>
    </w:tr>
    <w:bookmarkEnd w:id="2"/>
  </w:tbl>
  <w:p w:rsidR="0056642E" w:rsidRPr="00B73EDA" w:rsidRDefault="0056642E" w:rsidP="00B73EDA">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B73EDA" w:rsidRPr="00D94637" w:rsidTr="00B73EDA">
      <w:trPr>
        <w:jc w:val="center"/>
      </w:trPr>
      <w:tc>
        <w:tcPr>
          <w:tcW w:w="5000" w:type="pct"/>
          <w:gridSpan w:val="7"/>
          <w:shd w:val="clear" w:color="auto" w:fill="auto"/>
          <w:tcMar>
            <w:top w:w="57" w:type="dxa"/>
          </w:tcMar>
        </w:tcPr>
        <w:p w:rsidR="00B73EDA" w:rsidRPr="00D94637" w:rsidRDefault="00B73EDA" w:rsidP="00D94637">
          <w:pPr>
            <w:pStyle w:val="FooterText"/>
            <w:pBdr>
              <w:top w:val="single" w:sz="4" w:space="1" w:color="auto"/>
            </w:pBdr>
            <w:spacing w:before="200"/>
            <w:rPr>
              <w:sz w:val="2"/>
              <w:szCs w:val="2"/>
            </w:rPr>
          </w:pPr>
        </w:p>
      </w:tc>
    </w:tr>
    <w:tr w:rsidR="00B73EDA" w:rsidRPr="00B310DC" w:rsidTr="00B73EDA">
      <w:trPr>
        <w:jc w:val="center"/>
      </w:trPr>
      <w:tc>
        <w:tcPr>
          <w:tcW w:w="2500" w:type="pct"/>
          <w:gridSpan w:val="2"/>
          <w:shd w:val="clear" w:color="auto" w:fill="auto"/>
          <w:tcMar>
            <w:top w:w="0" w:type="dxa"/>
          </w:tcMar>
        </w:tcPr>
        <w:p w:rsidR="00B73EDA" w:rsidRPr="00AD7BF2" w:rsidRDefault="00B73EDA" w:rsidP="004F54B2">
          <w:pPr>
            <w:pStyle w:val="FooterText"/>
          </w:pPr>
          <w:r>
            <w:t>9375/1/15</w:t>
          </w:r>
          <w:r w:rsidRPr="002511D8">
            <w:t xml:space="preserve"> </w:t>
          </w:r>
          <w:r>
            <w:t>REV 1 ADD 1</w:t>
          </w:r>
        </w:p>
      </w:tc>
      <w:tc>
        <w:tcPr>
          <w:tcW w:w="625" w:type="pct"/>
          <w:shd w:val="clear" w:color="auto" w:fill="auto"/>
          <w:tcMar>
            <w:top w:w="0" w:type="dxa"/>
          </w:tcMar>
        </w:tcPr>
        <w:p w:rsidR="00B73EDA" w:rsidRPr="00AD7BF2" w:rsidRDefault="00B73EDA" w:rsidP="00D94637">
          <w:pPr>
            <w:pStyle w:val="FooterText"/>
            <w:jc w:val="center"/>
          </w:pPr>
        </w:p>
      </w:tc>
      <w:tc>
        <w:tcPr>
          <w:tcW w:w="1287" w:type="pct"/>
          <w:gridSpan w:val="3"/>
          <w:shd w:val="clear" w:color="auto" w:fill="auto"/>
          <w:tcMar>
            <w:top w:w="0" w:type="dxa"/>
          </w:tcMar>
        </w:tcPr>
        <w:p w:rsidR="00B73EDA" w:rsidRPr="002511D8" w:rsidRDefault="00B73EDA" w:rsidP="00D94637">
          <w:pPr>
            <w:pStyle w:val="FooterText"/>
            <w:jc w:val="center"/>
          </w:pPr>
          <w:r>
            <w:t>vat/vv</w:t>
          </w:r>
        </w:p>
      </w:tc>
      <w:tc>
        <w:tcPr>
          <w:tcW w:w="588" w:type="pct"/>
          <w:shd w:val="clear" w:color="auto" w:fill="auto"/>
          <w:tcMar>
            <w:top w:w="0" w:type="dxa"/>
          </w:tcMar>
        </w:tcPr>
        <w:p w:rsidR="00B73EDA" w:rsidRPr="00B310DC" w:rsidRDefault="00B73EDA"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B73EDA" w:rsidRPr="00D94637" w:rsidTr="00B73EDA">
      <w:trPr>
        <w:jc w:val="center"/>
      </w:trPr>
      <w:tc>
        <w:tcPr>
          <w:tcW w:w="1774" w:type="pct"/>
          <w:shd w:val="clear" w:color="auto" w:fill="auto"/>
        </w:tcPr>
        <w:p w:rsidR="00B73EDA" w:rsidRPr="00AD7BF2" w:rsidRDefault="00B73EDA" w:rsidP="00D94637">
          <w:pPr>
            <w:pStyle w:val="FooterText"/>
            <w:spacing w:before="40"/>
          </w:pPr>
        </w:p>
      </w:tc>
      <w:tc>
        <w:tcPr>
          <w:tcW w:w="1455" w:type="pct"/>
          <w:gridSpan w:val="3"/>
          <w:shd w:val="clear" w:color="auto" w:fill="auto"/>
        </w:tcPr>
        <w:p w:rsidR="00B73EDA" w:rsidRPr="00AD7BF2" w:rsidRDefault="00B73EDA" w:rsidP="00D204D6">
          <w:pPr>
            <w:pStyle w:val="FooterText"/>
            <w:spacing w:before="40"/>
            <w:jc w:val="center"/>
          </w:pPr>
          <w:r>
            <w:t>DPG</w:t>
          </w:r>
        </w:p>
      </w:tc>
      <w:tc>
        <w:tcPr>
          <w:tcW w:w="1147" w:type="pct"/>
          <w:shd w:val="clear" w:color="auto" w:fill="auto"/>
        </w:tcPr>
        <w:p w:rsidR="00B73EDA" w:rsidRPr="00D94637" w:rsidRDefault="00B73EDA" w:rsidP="00D94637">
          <w:pPr>
            <w:pStyle w:val="FooterText"/>
            <w:jc w:val="right"/>
            <w:rPr>
              <w:b/>
              <w:position w:val="-4"/>
              <w:sz w:val="36"/>
            </w:rPr>
          </w:pPr>
        </w:p>
      </w:tc>
      <w:tc>
        <w:tcPr>
          <w:tcW w:w="625" w:type="pct"/>
          <w:gridSpan w:val="2"/>
          <w:shd w:val="clear" w:color="auto" w:fill="auto"/>
        </w:tcPr>
        <w:p w:rsidR="00B73EDA" w:rsidRPr="00D94637" w:rsidRDefault="00B73EDA" w:rsidP="00D94637">
          <w:pPr>
            <w:pStyle w:val="FooterText"/>
            <w:jc w:val="right"/>
            <w:rPr>
              <w:sz w:val="16"/>
            </w:rPr>
          </w:pPr>
          <w:r>
            <w:rPr>
              <w:b/>
              <w:position w:val="-4"/>
              <w:sz w:val="36"/>
            </w:rPr>
            <w:t>BG</w:t>
          </w:r>
        </w:p>
      </w:tc>
    </w:tr>
  </w:tbl>
  <w:p w:rsidR="0056642E" w:rsidRPr="00B73EDA" w:rsidRDefault="0056642E" w:rsidP="00B73EDA">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3A" w:rsidRPr="00B73EDA" w:rsidRDefault="00B73EDA" w:rsidP="00B73ED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3A" w:rsidRPr="00B73EDA" w:rsidRDefault="00B73EDA" w:rsidP="00B73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42E" w:rsidRDefault="0056642E" w:rsidP="0056642E">
      <w:pPr>
        <w:spacing w:before="0" w:after="0" w:line="240" w:lineRule="auto"/>
      </w:pPr>
      <w:r>
        <w:separator/>
      </w:r>
    </w:p>
  </w:footnote>
  <w:footnote w:type="continuationSeparator" w:id="0">
    <w:p w:rsidR="0056642E" w:rsidRDefault="0056642E" w:rsidP="0056642E">
      <w:pPr>
        <w:spacing w:before="0" w:after="0" w:line="240" w:lineRule="auto"/>
      </w:pPr>
      <w:r>
        <w:continuationSeparator/>
      </w:r>
    </w:p>
  </w:footnote>
  <w:footnote w:id="1">
    <w:p w:rsidR="0095020C" w:rsidRPr="006731A0" w:rsidRDefault="0095020C" w:rsidP="0095020C">
      <w:pPr>
        <w:pStyle w:val="FootnoteText"/>
        <w:rPr>
          <w:lang w:val="fr-FR"/>
        </w:rPr>
      </w:pPr>
      <w:r>
        <w:rPr>
          <w:b/>
          <w:vertAlign w:val="superscript"/>
        </w:rPr>
        <w:footnoteRef/>
      </w:r>
      <w:r>
        <w:tab/>
        <w:t>Документ 8787/11.</w:t>
      </w:r>
    </w:p>
  </w:footnote>
  <w:footnote w:id="2">
    <w:p w:rsidR="0095020C" w:rsidRPr="006731A0" w:rsidRDefault="0095020C" w:rsidP="0095020C">
      <w:pPr>
        <w:pStyle w:val="FootnoteText"/>
        <w:rPr>
          <w:lang w:val="fr-FR"/>
        </w:rPr>
      </w:pPr>
      <w:r>
        <w:rPr>
          <w:b/>
          <w:vertAlign w:val="superscript"/>
        </w:rPr>
        <w:footnoteRef/>
      </w:r>
      <w:r>
        <w:tab/>
        <w:t>Документ 14448/14 + COR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004" w:rsidRPr="00B73EDA" w:rsidRDefault="00581004" w:rsidP="00B73E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004" w:rsidRPr="00B73EDA" w:rsidRDefault="00581004" w:rsidP="00B73EDA">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004" w:rsidRPr="00B73EDA" w:rsidRDefault="00581004" w:rsidP="00B73EDA">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3A" w:rsidRPr="00B73EDA" w:rsidRDefault="00B73EDA" w:rsidP="00B73ED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3A" w:rsidRPr="00B73EDA" w:rsidRDefault="00B73EDA" w:rsidP="00B73ED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3A" w:rsidRPr="00B73EDA" w:rsidRDefault="00B73EDA" w:rsidP="00B73E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5">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7">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8">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9">
    <w:nsid w:val="38BE1277"/>
    <w:multiLevelType w:val="hybridMultilevel"/>
    <w:tmpl w:val="0B3A17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1">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2">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3">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4">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6">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8">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9">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20">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1">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7"/>
  </w:num>
  <w:num w:numId="2">
    <w:abstractNumId w:val="12"/>
  </w:num>
  <w:num w:numId="3">
    <w:abstractNumId w:val="11"/>
  </w:num>
  <w:num w:numId="4">
    <w:abstractNumId w:val="13"/>
  </w:num>
  <w:num w:numId="5">
    <w:abstractNumId w:val="8"/>
  </w:num>
  <w:num w:numId="6">
    <w:abstractNumId w:val="2"/>
  </w:num>
  <w:num w:numId="7">
    <w:abstractNumId w:val="7"/>
  </w:num>
  <w:num w:numId="8">
    <w:abstractNumId w:val="6"/>
  </w:num>
  <w:num w:numId="9">
    <w:abstractNumId w:val="4"/>
  </w:num>
  <w:num w:numId="10">
    <w:abstractNumId w:val="19"/>
  </w:num>
  <w:num w:numId="11">
    <w:abstractNumId w:val="20"/>
  </w:num>
  <w:num w:numId="12">
    <w:abstractNumId w:val="1"/>
  </w:num>
  <w:num w:numId="13">
    <w:abstractNumId w:val="22"/>
  </w:num>
  <w:num w:numId="14">
    <w:abstractNumId w:val="18"/>
  </w:num>
  <w:num w:numId="15">
    <w:abstractNumId w:val="15"/>
  </w:num>
  <w:num w:numId="16">
    <w:abstractNumId w:val="10"/>
  </w:num>
  <w:num w:numId="17">
    <w:abstractNumId w:val="16"/>
  </w:num>
  <w:num w:numId="18">
    <w:abstractNumId w:val="3"/>
  </w:num>
  <w:num w:numId="19">
    <w:abstractNumId w:val="21"/>
  </w:num>
  <w:num w:numId="20">
    <w:abstractNumId w:val="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33fbfe6c-1ceb-45c1-a44d-b4178c18a40d&quot;&gt;_x000d__x000a_  &lt;metadata key=&quot;md_DocumentLanguages&quot;&gt;_x000d__x000a_    &lt;basicdatatypelist&gt;_x000d__x000a_      &lt;language key=&quot;BG&quot; text=&quot;BG&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0&quot; text=&quot;&amp;#1048;&amp;#1047;&amp;#1051;&amp;#1054;&amp;#1046;&amp;#1045;&amp;#1053;&amp;#1048;&amp;#1045; &amp;#1053;&amp;#1040; &amp;#1052;&amp;#1054;&amp;#1058;&amp;#1048;&amp;#1042;&amp;#1048;&amp;#1058;&amp;#1045; &amp;#1053;&amp;#1040; &amp;#1057;&amp;#1066;&amp;#1042;&amp;#1045;&amp;#1058;&amp;#1040;&quot; /&gt;_x000d__x000a_    &lt;/basicdatatype&gt;_x000d__x000a_  &lt;/metadata&gt;_x000d__x000a_  &lt;metadata key=&quot;md_HeadingText&quot;&gt;_x000d__x000a_    &lt;headingtext text=&quot;&amp;#1048;&amp;#1047;&amp;#1051;&amp;#1054;&amp;#1046;&amp;#1045;&amp;#1053;&amp;#1048;&amp;#1045; &amp;#1053;&amp;#1040; &amp;#1052;&amp;#1054;&amp;#1058;&amp;#1048;&amp;#1042;&amp;#1048;&amp;#1058;&amp;#1045; &amp;#1053;&amp;#1040; &amp;#1057;&amp;#1066;&amp;#1042;&amp;#1045;&amp;#1058;&amp;#1040;&quot;&gt;_x000d__x000a_      &lt;formattedtext&gt;_x000d__x000a_        &lt;xaml text=&quot;&amp;#1048;&amp;#1047;&amp;#1051;&amp;#1054;&amp;#1046;&amp;#1045;&amp;#1053;&amp;#1048;&amp;#1045; &amp;#1053;&amp;#1040; &amp;#1052;&amp;#1054;&amp;#1058;&amp;#1048;&amp;#1042;&amp;#1048;&amp;#1058;&amp;#1045; &amp;#1053;&amp;#1040; &amp;#1057;&amp;#1066;&amp;#1042;&amp;#1045;&amp;#1058;&amp;#1040;&quot;&gt;&amp;lt;FlowDocument xmlns=&quot;http://schemas.microsoft.com/winfx/2006/xaml/presentation&quot;&amp;gt;&amp;lt;Paragraph&amp;gt;&amp;#1048;&amp;#1047;&amp;#1051;&amp;#1054;&amp;#1046;&amp;#1045;&amp;#1053;&amp;#1048;&amp;#1045; &amp;#1053;&amp;#1040; &amp;#1052;&amp;#1054;&amp;#1058;&amp;#1048;&amp;#1042;&amp;#1048;&amp;#1058;&amp;#1045; &amp;#1053;&amp;#1040; &amp;#1057;&amp;#1066;&amp;#1042;&amp;#1045;&amp;#1058;&amp;#1040;&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amp;#1041;&amp;#1088;&amp;#1102;&amp;#1082;&amp;#1089;&amp;#1077;&amp;#1083;&quot; /&gt;_x000d__x000a_    &lt;/basicdatatype&gt;_x000d__x000a_  &lt;/metadata&gt;_x000d__x000a_  &lt;metadata key=&quot;md_DocumentDate&quot;&gt;_x000d__x000a_    &lt;text&gt;2015-06-24&lt;/text&gt;_x000d__x000a_  &lt;/metadata&gt;_x000d__x000a_  &lt;metadata key=&quot;md_Prefix&quot;&gt;_x000d__x000a_    &lt;text&gt;&lt;/text&gt;_x000d__x000a_  &lt;/metadata&gt;_x000d__x000a_  &lt;metadata key=&quot;md_DocumentNumber&quot;&gt;_x000d__x000a_    &lt;text&gt;9375&lt;/text&gt;_x000d__x000a_  &lt;/metadata&gt;_x000d__x000a_  &lt;metadata key=&quot;md_YearDocumentNumber&quot;&gt;_x000d__x000a_    &lt;text&gt;2015&lt;/text&gt;_x000d__x000a_  &lt;/metadata&gt;_x000d__x000a_  &lt;metadata key=&quot;md_Suffixes&quot;&gt;_x000d__x000a_    &lt;text&gt;REV 1 ADD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JUR 341&lt;/text&gt;_x000d__x000a_      &lt;text&gt;COUR 21&lt;/text&gt;_x000d__x000a_      &lt;text&gt;INST 181&lt;/text&gt;_x000d__x000a_      &lt;text&gt;CODEC 797&lt;/text&gt;_x000d__x000a_      &lt;text&gt;PARLNAT 70&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gt;_x000d__x000a_    &lt;text&gt;&lt;/text&gt;_x000d__x000a_  &lt;/metadata&gt;_x000d__x000a_  &lt;metadata key=&quot;md_CouncilConfiguration&quot;&gt;_x000d__x000a_    &lt;basicdatatype&gt;_x000d__x000a_      &lt;configuration key=&quo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gt;_x000d__x000a_    &lt;text&gt;&lt;/text&gt;_x000d__x000a_  &lt;/metadata&gt;_x000d__x000a_  &lt;metadata key=&quot;md_EPQuestionsData&quot; /&gt;_x000d__x000a_  &lt;metadata key=&quot;md_Deadline&quot;&gt;_x000d__x000a_    &lt;textlist /&gt;_x000d__x000a_  &lt;/metadata&gt;_x000d__x000a_  &lt;metadata key=&quot;md_InterinstitutionalFiles&quot;&gt;_x000d__x000a_    &lt;textlist&gt;_x000d__x000a_      &lt;text&gt;2011/0901B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gt;_x000d__x000a_    &lt;text&gt;&lt;/text&gt;_x000d__x000a_  &lt;/metadata&gt;_x000d__x000a_  &lt;metadata key=&quot;md_DWNDCLAuthorization&quot;&gt;_x000d__x000a_    &lt;text&gt;&lt;/text&gt;_x000d__x000a_  &lt;/metadata&gt;_x000d__x000a_  &lt;metadata key=&quot;md_DateOfAuthorization&quot;&gt;_x000d__x000a_    &lt;text&gt;&lt;/text&gt;_x000d__x000a_  &lt;/metadata&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gt;_x000d__x000a_    &lt;text&gt;&lt;/text&gt;_x000d__x000a_  &lt;/metadata&gt;_x000d__x000a_  &lt;metadata key=&quot;md_Subject&quot;&gt;_x000d__x000a_    &lt;xaml text=&quot;&amp;#1055;&amp;#1086;&amp;#1079;&amp;#1080;&amp;#1094;&amp;#1080;&amp;#1103; &amp;#1085;&amp;#1072; &amp;#1057;&amp;#1098;&amp;#1074;&amp;#1077;&amp;#1090;&amp;#1072; &amp;#1085;&amp;#1072; &amp;#1087;&amp;#1098;&amp;#1088;&amp;#1074;&amp;#1086; &amp;#1095;&amp;#1077;&amp;#1090;&amp;#1077;&amp;#1085;&amp;#1077; &amp;#1089; &amp;#1086;&amp;#1075;&amp;#1083;&amp;#1077;&amp;#1076; &amp;#1085;&amp;#1072; &amp;#1087;&amp;#1088;&amp;#1080;&amp;#1077;&amp;#1084;&amp;#1072;&amp;#1085;&amp;#1077;&amp;#1090;&amp;#1086; &amp;#1085;&amp;#1072; &amp;#1056;&amp;#1045;&amp;#1043;&amp;#1051;&amp;#1040;&amp;#1052;&amp;#1045;&amp;#1053;&amp;#1058; &amp;#1053;&amp;#1040; &amp;#1045;&amp;#1042;&amp;#1056;&amp;#1054;&amp;#1055;&amp;#1045;&amp;#1049;&amp;#1057;&amp;#1050;&amp;#1048;&amp;#1071; &amp;#1055;&amp;#1040;&amp;#1056;&amp;#1051;&amp;#1040;&amp;#1052;&amp;#1045;&amp;#1053;&amp;#1058; &amp;#1048; &amp;#1053;&amp;#1040; &amp;#1057;&amp;#1066;&amp;#1042;&amp;#1045;&amp;#1058;&amp;#1040; &amp;#1079;&amp;#1072; &amp;#1080;&amp;#1079;&amp;#1084;&amp;#1077;&amp;#1085;&amp;#1077;&amp;#1085;&amp;#1080;&amp;#1077; &amp;#1085;&amp;#1072; &amp;#1055;&amp;#1088;&amp;#1086;&amp;#1090;&amp;#1086;&amp;#1082;&amp;#1086;&amp;#1083; &amp;#8470; 3 &amp;#1086;&amp;#1090;&amp;#1085;&amp;#1086;&amp;#1089;&amp;#1085;&amp;#1086; &amp;#1089;&amp;#1090;&amp;#1072;&amp;#1090;&amp;#1091;&amp;#1090;&amp;#1072; &amp;#1085;&amp;#1072; &amp;#1057;&amp;#1098;&amp;#1076;&amp;#1072; &amp;#1085;&amp;#1072; &amp;#1045;&amp;#1074;&amp;#1088;&amp;#1086;&amp;#1087;&amp;#1077;&amp;#1081;&amp;#1089;&amp;#1082;&amp;#1080;&amp;#1103; &amp;#1089;&amp;#1098;&amp;#1102;&amp;#1079; &amp;#8212; &amp;#1048;&amp;#1079;&amp;#1083;&amp;#1086;&amp;#1078;&amp;#1077;&amp;#1085;&amp;#1080;&amp;#1077; &amp;#1085;&amp;#1072; &amp;#1084;&amp;#1086;&amp;#1090;&amp;#1080;&amp;#1074;&amp;#1080;&amp;#1090;&amp;#1077; &amp;#1085;&amp;#1072; &amp;#1057;&amp;#1098;&amp;#1074;&amp;#1077;&amp;#1090;&amp;#1072; &amp;#8212; &amp;#1055;&amp;#1088;&amp;#1080;&amp;#1077;&amp;#1090;&amp;#1072; &amp;#1086;&amp;#1090; &amp;#1057;&amp;#1098;&amp;#1074;&amp;#1077;&amp;#1090;&amp;#1072; &amp;#1085;&amp;#1072; 23 &amp;#1102;&amp;#1085;&amp;#1080; 2015 &amp;#1075;.&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FontFamily=&quot;Times New Roman&quot; FontSize=&quot;16&quot; xml:lang=&quot;en-gb&quot;&amp;gt;&amp;#1055;&amp;#1086;&amp;#1079;&amp;#1080;&amp;#1094;&amp;#1080;&amp;#1103; &amp;#1085;&amp;#1072; &amp;#1057;&amp;#1098;&amp;#1074;&amp;#1077;&amp;#1090;&amp;#1072; &amp;#1085;&amp;#1072; &amp;#1087;&amp;#1098;&amp;#1088;&amp;#1074;&amp;#1086; &amp;#1095;&amp;#1077;&amp;#1090;&amp;#1077;&amp;#1085;&amp;#1077; &amp;#1089; &amp;#1086;&amp;#1075;&amp;#1083;&amp;#1077;&amp;#1076; &amp;#1085;&amp;#1072; &amp;#1087;&amp;#1088;&amp;#1080;&amp;#1077;&amp;#1084;&amp;#1072;&amp;#1085;&amp;#1077;&amp;#1090;&amp;#1086; &amp;#1085;&amp;#1072; &amp;#1056;&amp;#1045;&amp;#1043;&amp;#1051;&amp;#1040;&amp;#1052;&amp;#1045;&amp;#1053;&amp;#1058; &amp;#1053;&amp;#1040; &amp;#1045;&amp;#1042;&amp;#1056;&amp;#1054;&amp;#1055;&amp;#1045;&amp;#1049;&amp;#1057;&amp;#1050;&amp;#1048;&amp;#1071; &amp;#1055;&amp;#1040;&amp;#1056;&amp;#1051;&amp;#1040;&amp;#1052;&amp;#1045;&amp;#1053;&amp;#1058; &amp;#1048; &amp;#1053;&amp;#1040; &amp;#1057;&amp;#1066;&amp;#1042;&amp;#1045;&amp;#1058;&amp;#1040; &amp;#1079;&amp;#1072; &amp;#1080;&amp;#1079;&amp;#1084;&amp;#1077;&amp;#1085;&amp;#1077;&amp;#1085;&amp;#1080;&amp;#1077; &amp;#1085;&amp;#1072; &amp;#1055;&amp;#1088;&amp;#1086;&amp;#1090;&amp;#1086;&amp;#1082;&amp;#1086;&amp;#1083; &amp;#8470; 3 &amp;#1086;&amp;#1090;&amp;#1085;&amp;#1086;&amp;#1089;&amp;#1085;&amp;#1086; &amp;#1089;&amp;#1090;&amp;#1072;&amp;#1090;&amp;#1091;&amp;#1090;&amp;#1072; &amp;#1085;&amp;#1072; &amp;#1057;&amp;#1098;&amp;#1076;&amp;#1072; &amp;#1085;&amp;#1072; &amp;#1045;&amp;#1074;&amp;#1088;&amp;#1086;&amp;#1087;&amp;#1077;&amp;#1081;&amp;#1089;&amp;#1082;&amp;#1080;&amp;#1103; &amp;#1089;&amp;#1098;&amp;#1102;&amp;#1079;&amp;lt;/Run&amp;gt;&amp;lt;/Paragraph&amp;gt;&amp;lt;Paragraph&amp;gt;&amp;#8212;&amp;lt;Run xml:lang=&quot;bg-bg&quot; xml:space=&quot;preserve&quot;&amp;gt; &amp;#1048;&amp;lt;/Run&amp;gt;&amp;#1079;&amp;#1083;&amp;#1086;&amp;#1078;&amp;#1077;&amp;#1085;&amp;#1080;&amp;#1077; &amp;#1085;&amp;#1072; &amp;#1084;&amp;#1086;&amp;#1090;&amp;#1080;&amp;#1074;&amp;#1080;&amp;#1090;&amp;#1077; &amp;#1085;&amp;#1072; &amp;#1057;&amp;#1098;&amp;#1074;&amp;#1077;&amp;#1090;&amp;#1072;&amp;lt;/Paragraph&amp;gt;&amp;lt;Paragraph&amp;gt;&amp;#8212; &amp;lt;Run xml:lang=&quot;bg-bg&quot;&amp;gt;&amp;#1055;&amp;#1088;&amp;#1080;&amp;#1077;&amp;#1090;&amp;#1072; &amp;#1086;&amp;#1090; &amp;#1057;&amp;#1098;&amp;#1074;&amp;#1077;&amp;#1090;&amp;#1072; &amp;#1085;&amp;#1072; 23 &amp;#1102;&amp;#1085;&amp;#1080; 2015 &amp;#1075;.&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vat/vv&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lt;/text&gt;_x000d__x000a_  &lt;/metadata&gt;_x000d__x000a_  &lt;metadata key=&quot;md_NB2&quot;&gt;_x000d__x000a_    &lt;text&gt;&lt;/text&gt;_x000d__x000a_  &lt;/metadata&gt;_x000d__x000a_  &lt;metadata key=&quot;md_NB3&quot;&gt;_x000d__x000a_    &lt;text&gt;&lt;/text&gt;_x000d__x000a_  &lt;/metadata&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5.3&quot; technicalblockguid=&quot;a42db809-ec56-4f2f-85d5-50b5aa0997e9&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59&quot; text=&quot;DRAFT STATEMENT OF THE COUNCIL'S REASONS&quot; /&gt;_x000d__x000a_    &lt;/basicdatatype&gt;_x000d__x000a_  &lt;/metadata&gt;_x000d__x000a_  &lt;metadata key=&quot;md_HeadingText&quot;&gt;_x000d__x000a_    &lt;headingtext text=&quot;DRAFT STATEMENT OF THE COUNCIL'S REASONS&quot;&gt;_x000d__x000a_      &lt;formattedtext&gt;_x000d__x000a_        &lt;xaml text=&quot;DRAFT STATEMENT OF THE COUNCIL'S REASONS&quot;&gt;&amp;lt;FlowDocument xmlns=&quot;http://schemas.microsoft.com/winfx/2006/xaml/presentation&quot;&amp;gt;&amp;lt;Paragraph&amp;gt;DRAFT 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6-11&lt;/text&gt;_x000d__x000a_  &lt;/metadata&gt;_x000d__x000a_  &lt;metadata key=&quot;md_Prefix&quot;&gt;_x000d__x000a_    &lt;text&gt;&lt;/text&gt;_x000d__x000a_  &lt;/metadata&gt;_x000d__x000a_  &lt;metadata key=&quot;md_DocumentNumber&quot;&gt;_x000d__x000a_    &lt;text&gt;9375&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2&quot; text=&quot;LIMITE&quot; /&gt;_x000d__x000a_    &lt;/basicdatatype&gt;_x000d__x000a_  &lt;/metadata&gt;_x000d__x000a_  &lt;metadata key=&quot;md_SubjectCodes&quot;&gt;_x000d__x000a_    &lt;textlist&gt;_x000d__x000a_      &lt;text&gt;JUR 341&lt;/text&gt;_x000d__x000a_      &lt;text&gt;COUR 21&lt;/text&gt;_x000d__x000a_      &lt;text&gt;INST 181&lt;/text&gt;_x000d__x000a_      &lt;text&gt;CODEC 79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1/0901 B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a view to the adoption of a REGULATION OF THE EUROPEAN PARLIAMENT AND OF THE COUNCIL amending Protocol No 3 on the Statute of the Court of Justice of the European Union &amp;#8211; Draft Statement of the Council's reasons &quot;&gt;&amp;lt;FlowDocument FontFamily=&quot;Arial Unicode MS&quot; FontSize=&quot;12&quot; PageWidth=&quot;329&quot; PagePadding=&quot;5,0,5,0&quot; AllowDrop=&quot;False&quot; xmlns=&quot;http://schemas.microsoft.com/winfx/2006/xaml/presentation&quot;&amp;gt;&amp;lt;Paragraph&amp;gt;&amp;lt;Span FontFamily=&quot;Times New Roman&quot; FontSize=&quot;16&quot; xml:lang=&quot;en-gb&quot;&amp;gt;Position of the Council at first reading with a view to the adoption of a REGULATION OF THE EUROPEAN PARLIAMENT AND OF THE COUNCIL amending Protocol No 3 on the Statute of the Court of Justice of the European Union&amp;lt;/Span&amp;gt;&amp;lt;/Paragraph&amp;gt;&amp;lt;Paragraph&amp;gt;&amp;#8211; Draft Statement of the Council's reasons&amp;lt;/Paragraph&amp;gt;&amp;lt;Paragraph /&amp;gt;&amp;lt;/FlowDocument&amp;gt;&lt;/xaml&gt;_x000d__x000a_  &lt;/metadata&gt;_x000d__x000a_  &lt;metadata key=&quot;md_SubjectFootnote&quot; /&gt;_x000d__x000a_  &lt;metadata key=&quot;md_DG&quot;&gt;_x000d__x000a_    &lt;text&gt;JUR&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COUNCIL"/>
    <w:docVar w:name="LW_DocType" w:val="DW_COUNCIL"/>
    <w:docVar w:name="VSSDB_IniPath" w:val="\\at100\user\wovo\SEILEG\vss\srcsafe.ini"/>
    <w:docVar w:name="VSSDB_ProjectPath" w:val="$/DocuWrite/DOT/DW_COUNCIL"/>
  </w:docVars>
  <w:rsids>
    <w:rsidRoot w:val="0056642E"/>
    <w:rsid w:val="00055F5E"/>
    <w:rsid w:val="00074540"/>
    <w:rsid w:val="00096B04"/>
    <w:rsid w:val="00130CD9"/>
    <w:rsid w:val="00167557"/>
    <w:rsid w:val="00182F2F"/>
    <w:rsid w:val="001D7BEE"/>
    <w:rsid w:val="002345D5"/>
    <w:rsid w:val="00356F5F"/>
    <w:rsid w:val="00395986"/>
    <w:rsid w:val="00414945"/>
    <w:rsid w:val="004826A5"/>
    <w:rsid w:val="004A5CE6"/>
    <w:rsid w:val="004B1832"/>
    <w:rsid w:val="0056642E"/>
    <w:rsid w:val="00581004"/>
    <w:rsid w:val="00591DEE"/>
    <w:rsid w:val="00625999"/>
    <w:rsid w:val="006351BB"/>
    <w:rsid w:val="00690D1A"/>
    <w:rsid w:val="006D5440"/>
    <w:rsid w:val="006D6C7B"/>
    <w:rsid w:val="007161AD"/>
    <w:rsid w:val="00755B99"/>
    <w:rsid w:val="0089107E"/>
    <w:rsid w:val="00901450"/>
    <w:rsid w:val="0095020C"/>
    <w:rsid w:val="009B07D1"/>
    <w:rsid w:val="00A1689F"/>
    <w:rsid w:val="00A30641"/>
    <w:rsid w:val="00A93207"/>
    <w:rsid w:val="00AD2040"/>
    <w:rsid w:val="00AF3113"/>
    <w:rsid w:val="00B54F86"/>
    <w:rsid w:val="00B73EDA"/>
    <w:rsid w:val="00BB66E0"/>
    <w:rsid w:val="00BE6E3D"/>
    <w:rsid w:val="00C74E65"/>
    <w:rsid w:val="00C96105"/>
    <w:rsid w:val="00D13316"/>
    <w:rsid w:val="00DA00BB"/>
    <w:rsid w:val="00DC5EF5"/>
    <w:rsid w:val="00E42393"/>
    <w:rsid w:val="00E5767B"/>
    <w:rsid w:val="00E80814"/>
    <w:rsid w:val="00F86DEA"/>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bg-B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Footnote Reference Number,Footnote Reference_LVL6,Footnote Reference_LVL61,Footnote Reference_LVL62,Footnote Reference_LVL63,Footnote Reference_LVL64,Fußnotenzeichen3,Footnote symbol,Footnote reference number"/>
    <w:uiPriority w:val="99"/>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581004"/>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56642E"/>
    <w:pPr>
      <w:spacing w:before="0" w:after="440"/>
      <w:ind w:left="-1134" w:right="-1134"/>
    </w:pPr>
    <w:rPr>
      <w:sz w:val="2"/>
      <w:lang w:val="en-GB"/>
    </w:rPr>
  </w:style>
  <w:style w:type="character" w:customStyle="1" w:styleId="TechnicalBlockChar">
    <w:name w:val="Technical Block Char"/>
    <w:basedOn w:val="DefaultParagraphFont"/>
    <w:link w:val="TechnicalBlock"/>
    <w:rsid w:val="0056642E"/>
    <w:rPr>
      <w:sz w:val="24"/>
      <w:szCs w:val="24"/>
      <w:lang w:val="bg-BG" w:eastAsia="en-US"/>
    </w:rPr>
  </w:style>
  <w:style w:type="character" w:customStyle="1" w:styleId="HeaderCouncilLargeChar">
    <w:name w:val="Header Council Large Char"/>
    <w:basedOn w:val="TechnicalBlockChar"/>
    <w:link w:val="HeaderCouncilLarge"/>
    <w:rsid w:val="0056642E"/>
    <w:rPr>
      <w:sz w:val="2"/>
      <w:szCs w:val="24"/>
      <w:lang w:val="en-GB" w:eastAsia="en-US"/>
    </w:rPr>
  </w:style>
  <w:style w:type="paragraph" w:customStyle="1" w:styleId="FooterText">
    <w:name w:val="Footer Text"/>
    <w:basedOn w:val="Normal"/>
    <w:rsid w:val="0056642E"/>
    <w:pPr>
      <w:spacing w:before="0" w:after="0" w:line="240" w:lineRule="auto"/>
    </w:pPr>
  </w:style>
  <w:style w:type="paragraph" w:styleId="BalloonText">
    <w:name w:val="Balloon Text"/>
    <w:basedOn w:val="Normal"/>
    <w:link w:val="BalloonTextChar"/>
    <w:uiPriority w:val="99"/>
    <w:semiHidden/>
    <w:unhideWhenUsed/>
    <w:rsid w:val="00055F5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F5E"/>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bg-B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Footnote Reference Number,Footnote Reference_LVL6,Footnote Reference_LVL61,Footnote Reference_LVL62,Footnote Reference_LVL63,Footnote Reference_LVL64,Fußnotenzeichen3,Footnote symbol,Footnote reference number"/>
    <w:uiPriority w:val="99"/>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581004"/>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56642E"/>
    <w:pPr>
      <w:spacing w:before="0" w:after="440"/>
      <w:ind w:left="-1134" w:right="-1134"/>
    </w:pPr>
    <w:rPr>
      <w:sz w:val="2"/>
      <w:lang w:val="en-GB"/>
    </w:rPr>
  </w:style>
  <w:style w:type="character" w:customStyle="1" w:styleId="TechnicalBlockChar">
    <w:name w:val="Technical Block Char"/>
    <w:basedOn w:val="DefaultParagraphFont"/>
    <w:link w:val="TechnicalBlock"/>
    <w:rsid w:val="0056642E"/>
    <w:rPr>
      <w:sz w:val="24"/>
      <w:szCs w:val="24"/>
      <w:lang w:val="bg-BG" w:eastAsia="en-US"/>
    </w:rPr>
  </w:style>
  <w:style w:type="character" w:customStyle="1" w:styleId="HeaderCouncilLargeChar">
    <w:name w:val="Header Council Large Char"/>
    <w:basedOn w:val="TechnicalBlockChar"/>
    <w:link w:val="HeaderCouncilLarge"/>
    <w:rsid w:val="0056642E"/>
    <w:rPr>
      <w:sz w:val="2"/>
      <w:szCs w:val="24"/>
      <w:lang w:val="en-GB" w:eastAsia="en-US"/>
    </w:rPr>
  </w:style>
  <w:style w:type="paragraph" w:customStyle="1" w:styleId="FooterText">
    <w:name w:val="Footer Text"/>
    <w:basedOn w:val="Normal"/>
    <w:rsid w:val="0056642E"/>
    <w:pPr>
      <w:spacing w:before="0" w:after="0" w:line="240" w:lineRule="auto"/>
    </w:pPr>
  </w:style>
  <w:style w:type="paragraph" w:styleId="BalloonText">
    <w:name w:val="Balloon Text"/>
    <w:basedOn w:val="Normal"/>
    <w:link w:val="BalloonTextChar"/>
    <w:uiPriority w:val="99"/>
    <w:semiHidden/>
    <w:unhideWhenUsed/>
    <w:rsid w:val="00055F5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F5E"/>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DW_Council.dotm</Template>
  <TotalTime>0</TotalTime>
  <Pages>2</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VASILEVA Sokolova Veselina</cp:lastModifiedBy>
  <cp:revision>3</cp:revision>
  <cp:lastPrinted>2015-06-24T08:47:00Z</cp:lastPrinted>
  <dcterms:created xsi:type="dcterms:W3CDTF">2015-06-24T12:07:00Z</dcterms:created>
  <dcterms:modified xsi:type="dcterms:W3CDTF">2015-06-24T12:08:00Z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3.5.3, Build 20150508</vt:lpwstr>
  </property>
</Properties>
</file>