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AE" w:rsidRPr="0076282D" w:rsidRDefault="009A5EBA" w:rsidP="0076282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c77384-1f11-42aa-8957-43fc68a580e6_0" style="width:568.55pt;height:405.5pt">
            <v:imagedata r:id="rId9" o:title=""/>
          </v:shape>
        </w:pict>
      </w:r>
      <w:bookmarkEnd w:id="0"/>
    </w:p>
    <w:p w:rsidR="008B69E4" w:rsidRPr="00C82D7F" w:rsidRDefault="008B69E4" w:rsidP="008B69E4">
      <w:pPr>
        <w:pStyle w:val="TechnicalBlock"/>
        <w:ind w:left="-1134" w:right="-1134"/>
        <w:sectPr w:rsidR="008B69E4" w:rsidRPr="00C82D7F" w:rsidSect="009A5EBA">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C623FA" w:rsidRPr="00BE352E" w:rsidRDefault="00C623FA" w:rsidP="00C623FA">
      <w:pPr>
        <w:spacing w:before="0" w:after="0"/>
        <w:outlineLvl w:val="0"/>
        <w:rPr>
          <w:rFonts w:asciiTheme="majorBidi" w:hAnsiTheme="majorBidi" w:cstheme="majorBidi"/>
          <w:b/>
          <w:u w:val="single"/>
        </w:rPr>
      </w:pPr>
      <w:r w:rsidRPr="00BE352E">
        <w:rPr>
          <w:rFonts w:asciiTheme="majorBidi" w:hAnsiTheme="majorBidi" w:cstheme="majorBidi"/>
          <w:b/>
        </w:rPr>
        <w:lastRenderedPageBreak/>
        <w:t>I.</w:t>
      </w:r>
      <w:r w:rsidRPr="00BE352E">
        <w:tab/>
      </w:r>
      <w:r w:rsidRPr="00BE352E">
        <w:rPr>
          <w:rFonts w:asciiTheme="majorBidi" w:hAnsiTheme="majorBidi" w:cstheme="majorBidi"/>
          <w:b/>
          <w:u w:val="single"/>
        </w:rPr>
        <w:t>ВЪВЕДЕНИЕ</w:t>
      </w:r>
    </w:p>
    <w:p w:rsidR="00C623FA" w:rsidRPr="00BE352E" w:rsidRDefault="00C623FA" w:rsidP="00C623FA">
      <w:pPr>
        <w:spacing w:before="0" w:after="0"/>
        <w:outlineLvl w:val="0"/>
        <w:rPr>
          <w:rFonts w:asciiTheme="majorBidi" w:hAnsiTheme="majorBidi" w:cstheme="majorBidi"/>
        </w:rPr>
      </w:pPr>
    </w:p>
    <w:p w:rsidR="00C623FA" w:rsidRPr="00BE352E" w:rsidRDefault="00C623FA" w:rsidP="00C623FA">
      <w:pPr>
        <w:spacing w:before="0" w:after="0"/>
        <w:ind w:left="567" w:hanging="567"/>
        <w:rPr>
          <w:rFonts w:asciiTheme="majorBidi" w:hAnsiTheme="majorBidi" w:cstheme="majorBidi"/>
        </w:rPr>
      </w:pPr>
      <w:r w:rsidRPr="00BE352E">
        <w:rPr>
          <w:rFonts w:asciiTheme="majorBidi" w:hAnsiTheme="majorBidi" w:cstheme="majorBidi"/>
        </w:rPr>
        <w:t>1.</w:t>
      </w:r>
      <w:r w:rsidRPr="00BE352E">
        <w:tab/>
      </w:r>
      <w:r w:rsidRPr="00BE352E">
        <w:rPr>
          <w:rFonts w:asciiTheme="majorBidi" w:hAnsiTheme="majorBidi" w:cstheme="majorBidi"/>
        </w:rPr>
        <w:t xml:space="preserve">На 26 ноември 2013 г. </w:t>
      </w:r>
      <w:r w:rsidRPr="00BE352E">
        <w:rPr>
          <w:rFonts w:asciiTheme="majorBidi" w:hAnsiTheme="majorBidi" w:cstheme="majorBidi"/>
          <w:u w:val="single"/>
        </w:rPr>
        <w:t>Комисията</w:t>
      </w:r>
      <w:r w:rsidRPr="00BE352E">
        <w:rPr>
          <w:rFonts w:asciiTheme="majorBidi" w:hAnsiTheme="majorBidi" w:cstheme="majorBidi"/>
        </w:rPr>
        <w:t xml:space="preserve"> представи на Съвета посоченото по-горе предложение, което се основава на членове 33 и 325 от Договора за функционирането на Европейския съюз и е насочено към подобряване на функционирането на системата за борба с измамите в митническата област.</w:t>
      </w:r>
    </w:p>
    <w:p w:rsidR="00C623FA" w:rsidRPr="00BE352E" w:rsidRDefault="00C623FA" w:rsidP="00C623FA">
      <w:pPr>
        <w:spacing w:before="0" w:after="0"/>
        <w:ind w:left="567" w:hanging="567"/>
        <w:rPr>
          <w:rFonts w:asciiTheme="majorBidi" w:hAnsiTheme="majorBidi" w:cstheme="majorBidi"/>
        </w:rPr>
      </w:pPr>
    </w:p>
    <w:p w:rsidR="00C623FA" w:rsidRPr="00BE352E" w:rsidRDefault="00C623FA" w:rsidP="00C623FA">
      <w:pPr>
        <w:spacing w:before="0" w:after="0"/>
        <w:ind w:left="567" w:hanging="567"/>
        <w:rPr>
          <w:rFonts w:asciiTheme="majorBidi" w:hAnsiTheme="majorBidi" w:cstheme="majorBidi"/>
        </w:rPr>
      </w:pPr>
      <w:r w:rsidRPr="00BE352E">
        <w:rPr>
          <w:rFonts w:asciiTheme="majorBidi" w:hAnsiTheme="majorBidi" w:cstheme="majorBidi"/>
        </w:rPr>
        <w:t>2.</w:t>
      </w:r>
      <w:r w:rsidRPr="00BE352E">
        <w:tab/>
      </w:r>
      <w:r w:rsidRPr="00BE352E">
        <w:rPr>
          <w:u w:val="single"/>
        </w:rPr>
        <w:t>Европейската сметна палата</w:t>
      </w:r>
      <w:r w:rsidRPr="00BE352E">
        <w:t xml:space="preserve"> даде становището си на 18 март 2014 г.</w:t>
      </w:r>
    </w:p>
    <w:p w:rsidR="00C623FA" w:rsidRPr="00BE352E" w:rsidRDefault="00C623FA" w:rsidP="00C623FA">
      <w:pPr>
        <w:spacing w:before="0" w:after="0"/>
        <w:ind w:left="567" w:hanging="567"/>
        <w:rPr>
          <w:rFonts w:asciiTheme="majorBidi" w:hAnsiTheme="majorBidi" w:cstheme="majorBidi"/>
        </w:rPr>
      </w:pPr>
    </w:p>
    <w:p w:rsidR="00C623FA" w:rsidRPr="00BE352E" w:rsidRDefault="00C623FA" w:rsidP="00C623FA">
      <w:pPr>
        <w:spacing w:before="0" w:after="0"/>
        <w:ind w:left="567" w:hanging="567"/>
        <w:rPr>
          <w:rFonts w:asciiTheme="majorBidi" w:hAnsiTheme="majorBidi" w:cstheme="majorBidi"/>
        </w:rPr>
      </w:pPr>
      <w:r w:rsidRPr="00BE352E">
        <w:rPr>
          <w:rFonts w:asciiTheme="majorBidi" w:hAnsiTheme="majorBidi" w:cstheme="majorBidi"/>
        </w:rPr>
        <w:t>3.</w:t>
      </w:r>
      <w:r w:rsidRPr="00BE352E">
        <w:tab/>
      </w:r>
      <w:r w:rsidRPr="00BE352E">
        <w:rPr>
          <w:rFonts w:asciiTheme="majorBidi" w:hAnsiTheme="majorBidi" w:cstheme="majorBidi"/>
        </w:rPr>
        <w:t xml:space="preserve">На 15 април 2014 г. </w:t>
      </w:r>
      <w:r w:rsidRPr="00BE352E">
        <w:rPr>
          <w:rFonts w:asciiTheme="majorBidi" w:hAnsiTheme="majorBidi" w:cstheme="majorBidi"/>
          <w:u w:val="single"/>
        </w:rPr>
        <w:t>Европейският парламент</w:t>
      </w:r>
      <w:r w:rsidRPr="00BE352E">
        <w:rPr>
          <w:rFonts w:asciiTheme="majorBidi" w:hAnsiTheme="majorBidi" w:cstheme="majorBidi"/>
        </w:rPr>
        <w:t xml:space="preserve"> прие позицията си на първо четене</w:t>
      </w:r>
      <w:r w:rsidRPr="00BE352E">
        <w:rPr>
          <w:rStyle w:val="FootnoteReference"/>
          <w:rFonts w:asciiTheme="majorBidi" w:hAnsiTheme="majorBidi" w:cstheme="majorBidi"/>
        </w:rPr>
        <w:footnoteReference w:id="1"/>
      </w:r>
      <w:r w:rsidRPr="00BE352E">
        <w:rPr>
          <w:rFonts w:asciiTheme="majorBidi" w:hAnsiTheme="majorBidi" w:cstheme="majorBidi"/>
        </w:rPr>
        <w:t>.</w:t>
      </w:r>
    </w:p>
    <w:p w:rsidR="00C623FA" w:rsidRPr="00BE352E" w:rsidRDefault="00C623FA" w:rsidP="00C623FA">
      <w:pPr>
        <w:spacing w:before="0" w:after="0"/>
        <w:ind w:left="567" w:hanging="567"/>
        <w:rPr>
          <w:rFonts w:asciiTheme="majorBidi" w:hAnsiTheme="majorBidi" w:cstheme="majorBidi"/>
        </w:rPr>
      </w:pPr>
    </w:p>
    <w:p w:rsidR="00C623FA" w:rsidRPr="00BE352E" w:rsidRDefault="00C623FA" w:rsidP="00C623FA">
      <w:pPr>
        <w:spacing w:before="0" w:after="0"/>
        <w:ind w:left="567" w:hanging="567"/>
        <w:rPr>
          <w:rFonts w:asciiTheme="majorBidi" w:hAnsiTheme="majorBidi" w:cstheme="majorBidi"/>
        </w:rPr>
      </w:pPr>
      <w:r w:rsidRPr="00BE352E">
        <w:rPr>
          <w:rFonts w:asciiTheme="majorBidi" w:hAnsiTheme="majorBidi" w:cstheme="majorBidi"/>
        </w:rPr>
        <w:t>4.</w:t>
      </w:r>
      <w:r w:rsidRPr="00BE352E">
        <w:tab/>
      </w:r>
      <w:r w:rsidRPr="00BE352E">
        <w:rPr>
          <w:rFonts w:asciiTheme="majorBidi" w:hAnsiTheme="majorBidi" w:cstheme="majorBidi"/>
          <w:u w:val="single"/>
        </w:rPr>
        <w:t>Работна група „Митнически съюз“</w:t>
      </w:r>
      <w:r w:rsidRPr="00BE352E">
        <w:t xml:space="preserve"> разгледа предложението на няколко заседания по време на гръцкото и италианското председателство и на заседанието си от 9 септември 2014 г. постигна широко съгласие по компромисния текст на председателството, изложен в док. 13179/14, като делегациите на Австрия и Германия гласуваха „против“, а делегацията на Испания се въздържа.</w:t>
      </w:r>
    </w:p>
    <w:p w:rsidR="00C623FA" w:rsidRPr="00BE352E" w:rsidRDefault="00C623FA" w:rsidP="00C623FA">
      <w:pPr>
        <w:spacing w:before="0" w:after="0"/>
        <w:ind w:left="567" w:hanging="567"/>
        <w:rPr>
          <w:rFonts w:asciiTheme="majorBidi" w:hAnsiTheme="majorBidi" w:cstheme="majorBidi"/>
        </w:rPr>
      </w:pPr>
    </w:p>
    <w:p w:rsidR="00C623FA" w:rsidRPr="00BE352E" w:rsidRDefault="00C623FA" w:rsidP="00C623FA">
      <w:pPr>
        <w:spacing w:before="0" w:after="0"/>
        <w:ind w:left="567" w:hanging="567"/>
        <w:rPr>
          <w:rFonts w:asciiTheme="majorBidi" w:hAnsiTheme="majorBidi" w:cstheme="majorBidi"/>
        </w:rPr>
      </w:pPr>
      <w:r w:rsidRPr="00BE352E">
        <w:rPr>
          <w:rFonts w:asciiTheme="majorBidi" w:hAnsiTheme="majorBidi" w:cstheme="majorBidi"/>
        </w:rPr>
        <w:t>5.</w:t>
      </w:r>
      <w:r w:rsidRPr="00BE352E">
        <w:tab/>
      </w:r>
      <w:r w:rsidRPr="00BE352E">
        <w:rPr>
          <w:rFonts w:asciiTheme="majorBidi" w:hAnsiTheme="majorBidi" w:cstheme="majorBidi"/>
        </w:rPr>
        <w:t xml:space="preserve">На 23 септември 2014 г. </w:t>
      </w:r>
      <w:r w:rsidRPr="00BE352E">
        <w:rPr>
          <w:rFonts w:asciiTheme="majorBidi" w:hAnsiTheme="majorBidi" w:cstheme="majorBidi"/>
          <w:u w:val="single"/>
        </w:rPr>
        <w:t>Комитетът на постоянните представители</w:t>
      </w:r>
      <w:r w:rsidRPr="00BE352E">
        <w:rPr>
          <w:rFonts w:asciiTheme="majorBidi" w:hAnsiTheme="majorBidi" w:cstheme="majorBidi"/>
        </w:rPr>
        <w:t xml:space="preserve"> даде мандат на председателството за започване на тристранни срещи с Европейския парламент.</w:t>
      </w:r>
    </w:p>
    <w:p w:rsidR="00C623FA" w:rsidRPr="00BE352E" w:rsidRDefault="00C623FA" w:rsidP="00C623FA">
      <w:pPr>
        <w:spacing w:before="0" w:after="0"/>
        <w:ind w:left="567" w:hanging="567"/>
        <w:rPr>
          <w:rFonts w:asciiTheme="majorBidi" w:hAnsiTheme="majorBidi" w:cstheme="majorBidi"/>
        </w:rPr>
      </w:pPr>
    </w:p>
    <w:p w:rsidR="00C623FA" w:rsidRPr="00BE352E" w:rsidRDefault="00C623FA" w:rsidP="00C623FA">
      <w:pPr>
        <w:widowControl w:val="0"/>
        <w:spacing w:before="0" w:after="0"/>
        <w:ind w:left="567" w:hanging="567"/>
        <w:rPr>
          <w:rFonts w:asciiTheme="majorBidi" w:hAnsiTheme="majorBidi" w:cstheme="majorBidi"/>
        </w:rPr>
      </w:pPr>
      <w:r w:rsidRPr="00BE352E">
        <w:rPr>
          <w:rFonts w:asciiTheme="majorBidi" w:hAnsiTheme="majorBidi" w:cstheme="majorBidi"/>
        </w:rPr>
        <w:t>6.</w:t>
      </w:r>
      <w:r w:rsidRPr="00BE352E">
        <w:tab/>
      </w:r>
      <w:r w:rsidRPr="00BE352E">
        <w:rPr>
          <w:rFonts w:asciiTheme="majorBidi" w:hAnsiTheme="majorBidi" w:cstheme="majorBidi"/>
        </w:rPr>
        <w:t>Бяха проведени три тристранни срещи: на 10 ноември, 10 декември и 18 декември 2014 г.</w:t>
      </w:r>
      <w:r w:rsidRPr="00BE352E">
        <w:rPr>
          <w:rStyle w:val="FootnoteReference"/>
          <w:rFonts w:asciiTheme="majorBidi" w:hAnsiTheme="majorBidi" w:cstheme="majorBidi"/>
        </w:rPr>
        <w:footnoteReference w:id="2"/>
      </w:r>
      <w:r w:rsidRPr="00BE352E">
        <w:rPr>
          <w:rFonts w:asciiTheme="majorBidi" w:hAnsiTheme="majorBidi" w:cstheme="majorBidi"/>
        </w:rPr>
        <w:t xml:space="preserve"> Постигнатият при това компромис беше одобрен от </w:t>
      </w:r>
      <w:r w:rsidRPr="00BE352E">
        <w:rPr>
          <w:rFonts w:asciiTheme="majorBidi" w:hAnsiTheme="majorBidi" w:cstheme="majorBidi"/>
          <w:u w:val="single"/>
        </w:rPr>
        <w:t>Комитета на постоянните представители</w:t>
      </w:r>
      <w:r w:rsidRPr="00BE352E">
        <w:rPr>
          <w:rFonts w:asciiTheme="majorBidi" w:hAnsiTheme="majorBidi" w:cstheme="majorBidi"/>
        </w:rPr>
        <w:t xml:space="preserve">. По-късно с писмо от 23 март 2015 г. </w:t>
      </w:r>
      <w:r w:rsidRPr="00BE352E">
        <w:rPr>
          <w:rFonts w:asciiTheme="majorBidi" w:hAnsiTheme="majorBidi" w:cstheme="majorBidi"/>
          <w:u w:val="single"/>
        </w:rPr>
        <w:t>Европейският парламент</w:t>
      </w:r>
      <w:r w:rsidRPr="00BE352E">
        <w:rPr>
          <w:rFonts w:asciiTheme="majorBidi" w:hAnsiTheme="majorBidi" w:cstheme="majorBidi"/>
        </w:rPr>
        <w:t xml:space="preserve"> информира </w:t>
      </w:r>
      <w:r w:rsidRPr="00BE352E">
        <w:rPr>
          <w:rFonts w:asciiTheme="majorBidi" w:hAnsiTheme="majorBidi" w:cstheme="majorBidi"/>
          <w:u w:val="single"/>
        </w:rPr>
        <w:t>Съвета</w:t>
      </w:r>
      <w:r w:rsidRPr="00BE352E">
        <w:rPr>
          <w:rFonts w:asciiTheme="majorBidi" w:hAnsiTheme="majorBidi" w:cstheme="majorBidi"/>
        </w:rPr>
        <w:t>, че ще одобри неговата позиция без изменение на второ четене.</w:t>
      </w:r>
    </w:p>
    <w:p w:rsidR="00C623FA" w:rsidRPr="00BE352E" w:rsidRDefault="00C623FA" w:rsidP="00C623FA">
      <w:pPr>
        <w:widowControl w:val="0"/>
        <w:spacing w:before="0" w:after="0"/>
        <w:ind w:left="567" w:hanging="567"/>
        <w:rPr>
          <w:rFonts w:asciiTheme="majorBidi" w:hAnsiTheme="majorBidi" w:cstheme="majorBidi"/>
        </w:rPr>
      </w:pPr>
      <w:r w:rsidRPr="00BE352E">
        <w:br w:type="page"/>
      </w:r>
      <w:r w:rsidRPr="00BE352E">
        <w:rPr>
          <w:rFonts w:asciiTheme="majorBidi" w:hAnsiTheme="majorBidi" w:cstheme="majorBidi"/>
        </w:rPr>
        <w:lastRenderedPageBreak/>
        <w:t>7.</w:t>
      </w:r>
      <w:r w:rsidRPr="00BE352E">
        <w:tab/>
      </w:r>
      <w:r w:rsidRPr="00BE352E">
        <w:rPr>
          <w:rFonts w:asciiTheme="majorBidi" w:hAnsiTheme="majorBidi" w:cstheme="majorBidi"/>
        </w:rPr>
        <w:t>В този контекст на заседанието си от 20 април 2015 г. Съветът прие политическо споразумение, чийто текст е изложен в док. 7565/15.</w:t>
      </w:r>
    </w:p>
    <w:p w:rsidR="00C623FA" w:rsidRPr="00BE352E" w:rsidRDefault="00C623FA" w:rsidP="00C623FA">
      <w:pPr>
        <w:pStyle w:val="NormalConseil"/>
        <w:spacing w:line="360" w:lineRule="auto"/>
        <w:ind w:left="567" w:hanging="567"/>
        <w:rPr>
          <w:rFonts w:asciiTheme="majorBidi" w:hAnsiTheme="majorBidi" w:cstheme="majorBidi"/>
          <w:color w:val="000000"/>
          <w:szCs w:val="24"/>
        </w:rPr>
      </w:pPr>
    </w:p>
    <w:p w:rsidR="00C623FA" w:rsidRPr="00BE352E" w:rsidRDefault="00C623FA" w:rsidP="00C623FA">
      <w:pPr>
        <w:pStyle w:val="NormalConseil"/>
        <w:spacing w:line="360" w:lineRule="auto"/>
        <w:ind w:left="567" w:hanging="567"/>
        <w:rPr>
          <w:rFonts w:asciiTheme="majorBidi" w:hAnsiTheme="majorBidi" w:cstheme="majorBidi"/>
          <w:b/>
          <w:bCs/>
          <w:color w:val="000000"/>
          <w:szCs w:val="24"/>
        </w:rPr>
      </w:pPr>
      <w:r w:rsidRPr="00BE352E">
        <w:rPr>
          <w:rFonts w:asciiTheme="majorBidi" w:hAnsiTheme="majorBidi" w:cstheme="majorBidi"/>
          <w:b/>
          <w:color w:val="000000"/>
        </w:rPr>
        <w:t>II.</w:t>
      </w:r>
      <w:r w:rsidRPr="00BE352E">
        <w:tab/>
      </w:r>
      <w:r w:rsidRPr="00BE352E">
        <w:rPr>
          <w:rFonts w:asciiTheme="majorBidi" w:hAnsiTheme="majorBidi" w:cstheme="majorBidi"/>
          <w:b/>
          <w:color w:val="000000"/>
          <w:u w:val="single"/>
        </w:rPr>
        <w:t>ЦЕЛ</w:t>
      </w:r>
    </w:p>
    <w:p w:rsidR="00C623FA" w:rsidRPr="00BE352E" w:rsidRDefault="00C623FA" w:rsidP="00C623FA">
      <w:pPr>
        <w:spacing w:before="0" w:after="0"/>
        <w:ind w:left="567" w:hanging="567"/>
        <w:outlineLvl w:val="0"/>
        <w:rPr>
          <w:rFonts w:asciiTheme="majorBidi" w:hAnsiTheme="majorBidi" w:cstheme="majorBidi"/>
          <w:noProof/>
        </w:rPr>
      </w:pPr>
    </w:p>
    <w:p w:rsidR="00C623FA" w:rsidRPr="00BE352E" w:rsidRDefault="00C623FA" w:rsidP="00C623FA">
      <w:pPr>
        <w:spacing w:before="0" w:after="0"/>
        <w:ind w:left="567" w:hanging="567"/>
        <w:outlineLvl w:val="0"/>
        <w:rPr>
          <w:rFonts w:asciiTheme="majorBidi" w:hAnsiTheme="majorBidi" w:cstheme="majorBidi"/>
          <w:noProof/>
        </w:rPr>
      </w:pPr>
      <w:r w:rsidRPr="00BE352E">
        <w:rPr>
          <w:rFonts w:asciiTheme="majorBidi" w:hAnsiTheme="majorBidi" w:cstheme="majorBidi"/>
          <w:noProof/>
        </w:rPr>
        <w:t>8.</w:t>
      </w:r>
      <w:r w:rsidRPr="00BE352E">
        <w:tab/>
      </w:r>
      <w:r w:rsidRPr="00BE352E">
        <w:rPr>
          <w:rFonts w:asciiTheme="majorBidi" w:hAnsiTheme="majorBidi" w:cstheme="majorBidi"/>
          <w:color w:val="000000"/>
        </w:rPr>
        <w:t>С регламента се въвеждат изменения на Регламент (ЕО) № 515/97. Целта на измененията е да се преодолеят пропуските в действащите системи за разкриване на митнически измами и забавянето в разследванията на OLAF, да се рационализира надзорът върху защитата на данните, както и да се пояснят възможността за ограничаване на видимостта на данните и правилата за допустимост на доказателствата, събирани посредством взаимопомощ.</w:t>
      </w:r>
    </w:p>
    <w:p w:rsidR="00C623FA" w:rsidRPr="00BE352E" w:rsidRDefault="00C623FA" w:rsidP="00C623FA">
      <w:pPr>
        <w:spacing w:before="0" w:after="0"/>
        <w:rPr>
          <w:rFonts w:asciiTheme="majorBidi" w:hAnsiTheme="majorBidi" w:cstheme="majorBidi"/>
          <w:b/>
        </w:rPr>
      </w:pPr>
    </w:p>
    <w:p w:rsidR="00C623FA" w:rsidRPr="00BE352E" w:rsidRDefault="00C623FA" w:rsidP="00C623FA">
      <w:pPr>
        <w:spacing w:before="0" w:after="0"/>
        <w:rPr>
          <w:rFonts w:asciiTheme="majorBidi" w:hAnsiTheme="majorBidi" w:cstheme="majorBidi"/>
          <w:b/>
          <w:u w:val="single"/>
        </w:rPr>
      </w:pPr>
      <w:r w:rsidRPr="00BE352E">
        <w:rPr>
          <w:rFonts w:asciiTheme="majorBidi" w:hAnsiTheme="majorBidi" w:cstheme="majorBidi"/>
          <w:b/>
        </w:rPr>
        <w:t>III.</w:t>
      </w:r>
      <w:r w:rsidRPr="00BE352E">
        <w:tab/>
      </w:r>
      <w:r w:rsidRPr="00BE352E">
        <w:rPr>
          <w:rFonts w:asciiTheme="majorBidi" w:hAnsiTheme="majorBidi" w:cstheme="majorBidi"/>
          <w:b/>
          <w:u w:val="single"/>
        </w:rPr>
        <w:t>АНАЛИЗ НА ПОЗИЦИЯТА НА СЪВЕТА НА ПЪРВО ЧЕТЕНЕ</w:t>
      </w:r>
    </w:p>
    <w:p w:rsidR="00C623FA" w:rsidRPr="00BE352E" w:rsidRDefault="00C623FA" w:rsidP="00C623FA">
      <w:pPr>
        <w:spacing w:before="0" w:after="0"/>
        <w:rPr>
          <w:rFonts w:asciiTheme="majorBidi" w:hAnsiTheme="majorBidi" w:cstheme="majorBidi"/>
          <w:b/>
          <w:u w:val="single"/>
        </w:rPr>
      </w:pPr>
    </w:p>
    <w:p w:rsidR="00C623FA" w:rsidRPr="00BE352E" w:rsidRDefault="00C623FA" w:rsidP="00C623FA">
      <w:pPr>
        <w:spacing w:before="0" w:after="0"/>
        <w:rPr>
          <w:rFonts w:asciiTheme="majorBidi" w:hAnsiTheme="majorBidi" w:cstheme="majorBidi"/>
          <w:b/>
          <w:u w:val="single"/>
        </w:rPr>
      </w:pPr>
      <w:r w:rsidRPr="00BE352E">
        <w:rPr>
          <w:rFonts w:asciiTheme="majorBidi" w:hAnsiTheme="majorBidi" w:cstheme="majorBidi"/>
          <w:b/>
        </w:rPr>
        <w:t>A.</w:t>
      </w:r>
      <w:r w:rsidRPr="00BE352E">
        <w:tab/>
      </w:r>
      <w:r w:rsidRPr="00BE352E">
        <w:rPr>
          <w:rFonts w:asciiTheme="majorBidi" w:hAnsiTheme="majorBidi" w:cstheme="majorBidi"/>
          <w:b/>
          <w:u w:val="single"/>
        </w:rPr>
        <w:t>Обща информация</w:t>
      </w:r>
    </w:p>
    <w:p w:rsidR="00C623FA" w:rsidRPr="00BE352E" w:rsidRDefault="00C623FA" w:rsidP="00C623FA">
      <w:pPr>
        <w:spacing w:before="0" w:after="0"/>
        <w:rPr>
          <w:rFonts w:asciiTheme="majorBidi" w:hAnsiTheme="majorBidi" w:cstheme="majorBidi"/>
          <w:bCs/>
        </w:rPr>
      </w:pPr>
    </w:p>
    <w:p w:rsidR="00C623FA" w:rsidRPr="00BE352E" w:rsidRDefault="00C623FA" w:rsidP="00C623FA">
      <w:pPr>
        <w:spacing w:before="0" w:after="0"/>
        <w:ind w:left="567" w:hanging="567"/>
        <w:rPr>
          <w:rFonts w:asciiTheme="majorBidi" w:hAnsiTheme="majorBidi" w:cstheme="majorBidi"/>
          <w:bCs/>
        </w:rPr>
      </w:pPr>
      <w:r w:rsidRPr="00BE352E">
        <w:rPr>
          <w:rFonts w:asciiTheme="majorBidi" w:hAnsiTheme="majorBidi" w:cstheme="majorBidi"/>
        </w:rPr>
        <w:t>9.</w:t>
      </w:r>
      <w:r w:rsidRPr="00BE352E">
        <w:tab/>
      </w:r>
      <w:r w:rsidRPr="00BE352E">
        <w:rPr>
          <w:rFonts w:asciiTheme="majorBidi" w:hAnsiTheme="majorBidi" w:cstheme="majorBidi"/>
        </w:rPr>
        <w:t>Съветът внесе редица изменения в първоначалното предложение и значително промени структурата на текста. Успоредно с това Европейският парламент гласува 53 изменения на предложението на Комисията.</w:t>
      </w:r>
    </w:p>
    <w:p w:rsidR="00C623FA" w:rsidRPr="00BE352E" w:rsidRDefault="00C623FA" w:rsidP="00C623FA">
      <w:pPr>
        <w:spacing w:before="0" w:after="0"/>
        <w:ind w:left="567" w:hanging="567"/>
        <w:rPr>
          <w:rFonts w:asciiTheme="majorBidi" w:hAnsiTheme="majorBidi" w:cstheme="majorBidi"/>
          <w:bCs/>
        </w:rPr>
      </w:pPr>
    </w:p>
    <w:p w:rsidR="00C623FA" w:rsidRPr="00BE352E" w:rsidRDefault="00C623FA" w:rsidP="00C623FA">
      <w:pPr>
        <w:spacing w:before="0" w:after="0"/>
        <w:ind w:left="567"/>
        <w:rPr>
          <w:rFonts w:asciiTheme="majorBidi" w:hAnsiTheme="majorBidi" w:cstheme="majorBidi"/>
          <w:bCs/>
        </w:rPr>
      </w:pPr>
      <w:r w:rsidRPr="00BE352E">
        <w:rPr>
          <w:rFonts w:asciiTheme="majorBidi" w:hAnsiTheme="majorBidi" w:cstheme="majorBidi"/>
        </w:rPr>
        <w:t>Позицията на Съвета на първо четене съответно изменя първоначалното предложение на Комисията, като отчасти го преформулира въз основа на споразумението, постигнато с Европейския парламент.</w:t>
      </w:r>
    </w:p>
    <w:p w:rsidR="00C623FA" w:rsidRPr="00BE352E" w:rsidRDefault="00C623FA" w:rsidP="00C623FA">
      <w:pPr>
        <w:spacing w:before="0" w:after="0"/>
        <w:rPr>
          <w:rFonts w:asciiTheme="majorBidi" w:hAnsiTheme="majorBidi" w:cstheme="majorBidi"/>
          <w:b/>
        </w:rPr>
      </w:pPr>
      <w:r w:rsidRPr="00BE352E">
        <w:br w:type="page"/>
      </w:r>
      <w:r w:rsidRPr="00BE352E">
        <w:rPr>
          <w:rFonts w:asciiTheme="majorBidi" w:hAnsiTheme="majorBidi" w:cstheme="majorBidi"/>
          <w:b/>
        </w:rPr>
        <w:t>Б.</w:t>
      </w:r>
      <w:r w:rsidRPr="00BE352E">
        <w:tab/>
      </w:r>
      <w:r w:rsidRPr="00BE352E">
        <w:rPr>
          <w:rFonts w:asciiTheme="majorBidi" w:hAnsiTheme="majorBidi" w:cstheme="majorBidi"/>
          <w:b/>
          <w:u w:val="single"/>
        </w:rPr>
        <w:t>Основни въпроси на политиката</w:t>
      </w:r>
    </w:p>
    <w:p w:rsidR="00C623FA" w:rsidRPr="00BE352E" w:rsidRDefault="00C623FA" w:rsidP="00C623FA">
      <w:pPr>
        <w:spacing w:before="0" w:after="0"/>
        <w:rPr>
          <w:rFonts w:asciiTheme="majorBidi" w:hAnsiTheme="majorBidi" w:cstheme="majorBidi"/>
          <w:bCs/>
        </w:rPr>
      </w:pPr>
    </w:p>
    <w:p w:rsidR="00C623FA" w:rsidRPr="00BE352E" w:rsidRDefault="00C623FA" w:rsidP="00C623FA">
      <w:pPr>
        <w:pStyle w:val="NormalConseil"/>
        <w:tabs>
          <w:tab w:val="left" w:pos="567"/>
        </w:tabs>
        <w:spacing w:line="360" w:lineRule="auto"/>
        <w:rPr>
          <w:rFonts w:asciiTheme="majorBidi" w:hAnsiTheme="majorBidi" w:cstheme="majorBidi"/>
          <w:color w:val="000000"/>
          <w:szCs w:val="24"/>
        </w:rPr>
      </w:pPr>
      <w:r w:rsidRPr="00BE352E">
        <w:rPr>
          <w:rFonts w:asciiTheme="majorBidi" w:hAnsiTheme="majorBidi" w:cstheme="majorBidi"/>
          <w:color w:val="000000"/>
        </w:rPr>
        <w:t>10.</w:t>
      </w:r>
      <w:r w:rsidRPr="00BE352E">
        <w:tab/>
      </w:r>
      <w:r w:rsidRPr="00BE352E">
        <w:rPr>
          <w:rFonts w:asciiTheme="majorBidi" w:hAnsiTheme="majorBidi" w:cstheme="majorBidi"/>
          <w:color w:val="000000"/>
          <w:u w:val="single"/>
        </w:rPr>
        <w:t>Определения</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Определението за митническо законодателство беше изменено в съответствие с Регламент (ЕС) № 952/2013 и бяха добавени определения за митническа територия на Съюза и за превозвачи.</w:t>
      </w:r>
    </w:p>
    <w:p w:rsidR="00C623FA" w:rsidRPr="00BE352E" w:rsidRDefault="00C623FA" w:rsidP="00C623FA">
      <w:pPr>
        <w:pStyle w:val="NormalConseil"/>
        <w:spacing w:line="360" w:lineRule="auto"/>
        <w:rPr>
          <w:rFonts w:asciiTheme="majorBidi" w:hAnsiTheme="majorBidi" w:cstheme="majorBidi"/>
          <w:color w:val="000000"/>
          <w:szCs w:val="24"/>
        </w:rPr>
      </w:pPr>
    </w:p>
    <w:p w:rsidR="00C623FA" w:rsidRPr="00BE352E" w:rsidRDefault="00C623FA" w:rsidP="00C623FA">
      <w:pPr>
        <w:pStyle w:val="NormalConseil"/>
        <w:spacing w:line="360" w:lineRule="auto"/>
        <w:rPr>
          <w:rFonts w:asciiTheme="majorBidi" w:hAnsiTheme="majorBidi" w:cstheme="majorBidi"/>
          <w:color w:val="000000"/>
          <w:szCs w:val="24"/>
        </w:rPr>
      </w:pPr>
      <w:r w:rsidRPr="00BE352E">
        <w:rPr>
          <w:rFonts w:asciiTheme="majorBidi" w:hAnsiTheme="majorBidi" w:cstheme="majorBidi"/>
          <w:color w:val="000000"/>
        </w:rPr>
        <w:t>11.</w:t>
      </w:r>
      <w:r w:rsidRPr="00BE352E">
        <w:tab/>
      </w:r>
      <w:r w:rsidRPr="00BE352E">
        <w:rPr>
          <w:rFonts w:asciiTheme="majorBidi" w:hAnsiTheme="majorBidi" w:cstheme="majorBidi"/>
          <w:color w:val="000000"/>
          <w:u w:val="single"/>
        </w:rPr>
        <w:t>Допустими доказателства</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Съветът изясни правилата за допустимостта на доказателствата в рамките на административните и съдебните производства.</w:t>
      </w:r>
    </w:p>
    <w:p w:rsidR="00C623FA" w:rsidRPr="00BE352E" w:rsidRDefault="00C623FA" w:rsidP="00C623FA">
      <w:pPr>
        <w:pStyle w:val="NormalConseil"/>
        <w:spacing w:line="360" w:lineRule="auto"/>
        <w:ind w:left="567"/>
        <w:rPr>
          <w:rFonts w:asciiTheme="majorBidi" w:hAnsiTheme="majorBidi" w:cstheme="majorBidi"/>
          <w:color w:val="000000"/>
          <w:szCs w:val="24"/>
        </w:rPr>
      </w:pPr>
    </w:p>
    <w:p w:rsidR="00C623FA" w:rsidRPr="00BE352E" w:rsidRDefault="00C623FA" w:rsidP="00C623FA">
      <w:pPr>
        <w:pStyle w:val="NormalConseil"/>
        <w:spacing w:line="360" w:lineRule="auto"/>
        <w:ind w:left="567" w:hanging="567"/>
        <w:rPr>
          <w:rFonts w:asciiTheme="majorBidi" w:hAnsiTheme="majorBidi" w:cstheme="majorBidi"/>
          <w:color w:val="000000"/>
          <w:szCs w:val="24"/>
          <w:u w:val="single"/>
        </w:rPr>
      </w:pPr>
      <w:r w:rsidRPr="00BE352E">
        <w:rPr>
          <w:rFonts w:asciiTheme="majorBidi" w:hAnsiTheme="majorBidi" w:cstheme="majorBidi"/>
          <w:color w:val="000000"/>
        </w:rPr>
        <w:t>12.</w:t>
      </w:r>
      <w:r w:rsidRPr="00BE352E">
        <w:tab/>
      </w:r>
      <w:r w:rsidRPr="00BE352E">
        <w:rPr>
          <w:rFonts w:asciiTheme="majorBidi" w:hAnsiTheme="majorBidi" w:cstheme="majorBidi"/>
          <w:color w:val="000000"/>
          <w:u w:val="single"/>
        </w:rPr>
        <w:t>Регистри</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Изяснени бяха целите, съдържанието и използването на регистрите, които се създават с регламента. Съветът предвиди държавите членки да имат същото ниво на достъп до регистъра на ССК като Комисията и данните за износа на пратки с чувствителни стоки като тютюн и тютюневи изделия, алкохол и алкохолни напитки и енергийни продукти да се подават от превозвачите в регистъра за статуса на контейнерите (ССК). Възможността за прехвърляне на избрани данни от регистъра за внос, износ и транзит към международни организации или агенции на ЕС беше оттеглена.</w:t>
      </w:r>
    </w:p>
    <w:p w:rsidR="00C623FA" w:rsidRPr="00BE352E" w:rsidRDefault="00C623FA" w:rsidP="00C623FA">
      <w:pPr>
        <w:pStyle w:val="NormalConseil"/>
        <w:spacing w:line="360" w:lineRule="auto"/>
        <w:ind w:left="567"/>
        <w:rPr>
          <w:rFonts w:asciiTheme="majorBidi" w:hAnsiTheme="majorBidi" w:cstheme="majorBidi"/>
          <w:color w:val="000000"/>
          <w:szCs w:val="24"/>
        </w:rPr>
      </w:pPr>
    </w:p>
    <w:p w:rsidR="00C623FA" w:rsidRPr="00BE352E" w:rsidRDefault="00C623FA" w:rsidP="00C623FA">
      <w:pPr>
        <w:pStyle w:val="NormalConseil"/>
        <w:spacing w:line="360" w:lineRule="auto"/>
        <w:rPr>
          <w:rFonts w:asciiTheme="majorBidi" w:hAnsiTheme="majorBidi" w:cstheme="majorBidi"/>
          <w:color w:val="000000"/>
          <w:szCs w:val="24"/>
          <w:u w:val="single"/>
        </w:rPr>
      </w:pPr>
      <w:r w:rsidRPr="00BE352E">
        <w:rPr>
          <w:rFonts w:asciiTheme="majorBidi" w:hAnsiTheme="majorBidi" w:cstheme="majorBidi"/>
          <w:color w:val="000000"/>
        </w:rPr>
        <w:t>13.</w:t>
      </w:r>
      <w:r w:rsidRPr="00BE352E">
        <w:tab/>
      </w:r>
      <w:r w:rsidRPr="00BE352E">
        <w:rPr>
          <w:rFonts w:asciiTheme="majorBidi" w:hAnsiTheme="majorBidi" w:cstheme="majorBidi"/>
          <w:color w:val="000000"/>
          <w:u w:val="single"/>
        </w:rPr>
        <w:t>Движение на контейнери между трети страни</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Съветът предвиди изясняване на правилата за този вид движения на контейнери, които не следва да се отбелязват в регистъра за ССК.</w:t>
      </w:r>
    </w:p>
    <w:p w:rsidR="00C623FA" w:rsidRPr="00BE352E" w:rsidRDefault="00C623FA" w:rsidP="00C623FA">
      <w:pPr>
        <w:pStyle w:val="NormalConseil"/>
        <w:spacing w:line="360" w:lineRule="auto"/>
        <w:rPr>
          <w:rFonts w:asciiTheme="majorBidi" w:hAnsiTheme="majorBidi" w:cstheme="majorBidi"/>
          <w:color w:val="000000"/>
          <w:szCs w:val="24"/>
        </w:rPr>
      </w:pPr>
      <w:r w:rsidRPr="00BE352E">
        <w:br w:type="page"/>
      </w:r>
      <w:r w:rsidRPr="00BE352E">
        <w:rPr>
          <w:rFonts w:asciiTheme="majorBidi" w:hAnsiTheme="majorBidi" w:cstheme="majorBidi"/>
          <w:color w:val="000000"/>
        </w:rPr>
        <w:t>14.</w:t>
      </w:r>
      <w:r w:rsidRPr="00BE352E">
        <w:tab/>
      </w:r>
      <w:r w:rsidRPr="00BE352E">
        <w:rPr>
          <w:rFonts w:asciiTheme="majorBidi" w:hAnsiTheme="majorBidi" w:cstheme="majorBidi"/>
          <w:color w:val="000000"/>
          <w:u w:val="single"/>
        </w:rPr>
        <w:t>Защита на данните</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Препратките към правилата за защита на данните бяха рационализирани в съответствие с Регламент (ЕО) № 45/2011.</w:t>
      </w:r>
    </w:p>
    <w:p w:rsidR="00C623FA" w:rsidRPr="00BE352E" w:rsidRDefault="00C623FA" w:rsidP="00C623FA">
      <w:pPr>
        <w:pStyle w:val="NormalConseil"/>
        <w:spacing w:line="360" w:lineRule="auto"/>
        <w:rPr>
          <w:rFonts w:asciiTheme="majorBidi" w:hAnsiTheme="majorBidi" w:cstheme="majorBidi"/>
          <w:color w:val="000000"/>
          <w:szCs w:val="24"/>
        </w:rPr>
      </w:pPr>
    </w:p>
    <w:p w:rsidR="00C623FA" w:rsidRPr="00BE352E" w:rsidRDefault="00C623FA" w:rsidP="00C623FA">
      <w:pPr>
        <w:pStyle w:val="NormalConseil"/>
        <w:spacing w:line="360" w:lineRule="auto"/>
        <w:rPr>
          <w:rFonts w:asciiTheme="majorBidi" w:hAnsiTheme="majorBidi" w:cstheme="majorBidi"/>
          <w:color w:val="000000"/>
          <w:szCs w:val="24"/>
        </w:rPr>
      </w:pPr>
      <w:r w:rsidRPr="00BE352E">
        <w:rPr>
          <w:rFonts w:asciiTheme="majorBidi" w:hAnsiTheme="majorBidi" w:cstheme="majorBidi"/>
          <w:color w:val="000000"/>
        </w:rPr>
        <w:t>15.</w:t>
      </w:r>
      <w:r w:rsidRPr="00BE352E">
        <w:tab/>
      </w:r>
      <w:r w:rsidRPr="00BE352E">
        <w:rPr>
          <w:rFonts w:asciiTheme="majorBidi" w:hAnsiTheme="majorBidi" w:cstheme="majorBidi"/>
          <w:color w:val="000000"/>
          <w:u w:val="single"/>
        </w:rPr>
        <w:t>Искане на документи, отправено от Комисията към държавите членки</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Съветът поясни, че документите, придружаващи декларациите за внос и износ, следва да се предоставят от държавите членки при поискване от Комисията и че на такива искания следва да се отговаря в срок от четири седмици.</w:t>
      </w:r>
    </w:p>
    <w:p w:rsidR="00C623FA" w:rsidRPr="00BE352E" w:rsidRDefault="00C623FA" w:rsidP="00C623FA">
      <w:pPr>
        <w:pStyle w:val="NormalConseil"/>
        <w:spacing w:line="360" w:lineRule="auto"/>
        <w:ind w:left="1134" w:hanging="567"/>
        <w:rPr>
          <w:rFonts w:asciiTheme="majorBidi" w:hAnsiTheme="majorBidi" w:cstheme="majorBidi"/>
          <w:color w:val="000000"/>
          <w:szCs w:val="24"/>
        </w:rPr>
      </w:pPr>
    </w:p>
    <w:p w:rsidR="00C623FA" w:rsidRPr="00BE352E" w:rsidRDefault="00C623FA" w:rsidP="00C623FA">
      <w:pPr>
        <w:pStyle w:val="NormalConseil"/>
        <w:spacing w:line="360" w:lineRule="auto"/>
        <w:ind w:left="567" w:hanging="567"/>
        <w:rPr>
          <w:rFonts w:asciiTheme="majorBidi" w:hAnsiTheme="majorBidi" w:cstheme="majorBidi"/>
          <w:color w:val="000000"/>
          <w:szCs w:val="24"/>
        </w:rPr>
      </w:pPr>
      <w:r w:rsidRPr="00BE352E">
        <w:rPr>
          <w:rFonts w:asciiTheme="majorBidi" w:hAnsiTheme="majorBidi" w:cstheme="majorBidi"/>
          <w:color w:val="000000"/>
        </w:rPr>
        <w:t>16.</w:t>
      </w:r>
      <w:r w:rsidRPr="00BE352E">
        <w:tab/>
      </w:r>
      <w:r w:rsidRPr="00BE352E">
        <w:rPr>
          <w:rFonts w:asciiTheme="majorBidi" w:hAnsiTheme="majorBidi" w:cstheme="majorBidi"/>
          <w:color w:val="000000"/>
          <w:u w:val="single"/>
        </w:rPr>
        <w:t>Съхранение на данни</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Данните, включени в Митническата информационна система (МИС), следва да се съхраняват за срок от максимум пет години и допълнителен период от две години, ако това е оправдано.</w:t>
      </w:r>
    </w:p>
    <w:p w:rsidR="00C623FA" w:rsidRPr="00BE352E" w:rsidRDefault="00C623FA" w:rsidP="00C623FA">
      <w:pPr>
        <w:pStyle w:val="NormalConseil"/>
        <w:spacing w:line="360" w:lineRule="auto"/>
        <w:rPr>
          <w:rFonts w:asciiTheme="majorBidi" w:hAnsiTheme="majorBidi" w:cstheme="majorBidi"/>
          <w:color w:val="000000"/>
          <w:szCs w:val="24"/>
        </w:rPr>
      </w:pPr>
    </w:p>
    <w:p w:rsidR="00C623FA" w:rsidRPr="00BE352E" w:rsidRDefault="00C623FA" w:rsidP="00C623FA">
      <w:pPr>
        <w:pStyle w:val="NormalConseil"/>
        <w:spacing w:line="360" w:lineRule="auto"/>
        <w:rPr>
          <w:rFonts w:asciiTheme="majorBidi" w:hAnsiTheme="majorBidi" w:cstheme="majorBidi"/>
          <w:color w:val="000000"/>
          <w:szCs w:val="24"/>
          <w:u w:val="single"/>
        </w:rPr>
      </w:pPr>
      <w:r w:rsidRPr="00BE352E">
        <w:rPr>
          <w:rFonts w:asciiTheme="majorBidi" w:hAnsiTheme="majorBidi" w:cstheme="majorBidi"/>
          <w:color w:val="000000"/>
        </w:rPr>
        <w:t>17.</w:t>
      </w:r>
      <w:r w:rsidRPr="00BE352E">
        <w:tab/>
      </w:r>
      <w:r w:rsidRPr="00BE352E">
        <w:rPr>
          <w:rFonts w:asciiTheme="majorBidi" w:hAnsiTheme="majorBidi" w:cstheme="majorBidi"/>
          <w:color w:val="000000"/>
          <w:u w:val="single"/>
        </w:rPr>
        <w:t>Оценка</w:t>
      </w:r>
    </w:p>
    <w:p w:rsidR="00C623FA" w:rsidRPr="00BE352E" w:rsidRDefault="00C623FA" w:rsidP="00C623FA">
      <w:pPr>
        <w:pStyle w:val="NormalConseil"/>
        <w:spacing w:line="360" w:lineRule="auto"/>
        <w:rPr>
          <w:rFonts w:asciiTheme="majorBidi" w:hAnsiTheme="majorBidi" w:cstheme="majorBidi"/>
          <w:color w:val="000000"/>
          <w:szCs w:val="24"/>
          <w:u w:val="single"/>
        </w:rPr>
      </w:pP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Съветът предвиди две години след влизането в сила на регламента Комисията да направи оценка на необходимостта от включване на допълнителни данни за износа и данни за движението на стоки по земя и въздух в съответните регистри.</w:t>
      </w:r>
    </w:p>
    <w:p w:rsidR="00C623FA" w:rsidRPr="00BE352E" w:rsidRDefault="00C623FA" w:rsidP="00C623FA">
      <w:pPr>
        <w:pStyle w:val="NormalConseil"/>
        <w:spacing w:line="360" w:lineRule="auto"/>
        <w:ind w:left="567" w:hanging="567"/>
        <w:rPr>
          <w:rFonts w:asciiTheme="majorBidi" w:hAnsiTheme="majorBidi" w:cstheme="majorBidi"/>
          <w:color w:val="000000"/>
          <w:szCs w:val="24"/>
        </w:rPr>
      </w:pPr>
    </w:p>
    <w:p w:rsidR="00C623FA" w:rsidRPr="00BE352E" w:rsidRDefault="00C623FA" w:rsidP="00C623FA">
      <w:pPr>
        <w:pStyle w:val="NormalConseil"/>
        <w:spacing w:line="360" w:lineRule="auto"/>
        <w:ind w:left="567" w:hanging="567"/>
        <w:rPr>
          <w:rFonts w:asciiTheme="majorBidi" w:hAnsiTheme="majorBidi" w:cstheme="majorBidi"/>
          <w:color w:val="000000"/>
          <w:szCs w:val="24"/>
          <w:u w:val="single"/>
        </w:rPr>
      </w:pPr>
      <w:r w:rsidRPr="00BE352E">
        <w:rPr>
          <w:rFonts w:asciiTheme="majorBidi" w:hAnsiTheme="majorBidi" w:cstheme="majorBidi"/>
          <w:color w:val="000000"/>
        </w:rPr>
        <w:t>18.</w:t>
      </w:r>
      <w:r w:rsidRPr="00BE352E">
        <w:tab/>
      </w:r>
      <w:r w:rsidRPr="00BE352E">
        <w:rPr>
          <w:rFonts w:asciiTheme="majorBidi" w:hAnsiTheme="majorBidi" w:cstheme="majorBidi"/>
          <w:color w:val="000000"/>
          <w:u w:val="single"/>
        </w:rPr>
        <w:t>Дата на прилагане</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color w:val="000000"/>
        </w:rPr>
        <w:t>За дата на прилагане беше определена 1 септември 2016 г. предвид на делегираните актове и актовете за изпълнение, които трябва да бъдат приети, както и на подготвителната работа, която трябва да бъде извършена от държавите членки.</w:t>
      </w:r>
    </w:p>
    <w:p w:rsidR="00C623FA" w:rsidRPr="00BE352E" w:rsidRDefault="00C623FA" w:rsidP="00C623FA">
      <w:pPr>
        <w:pStyle w:val="NormalConseil"/>
        <w:spacing w:line="360" w:lineRule="auto"/>
        <w:rPr>
          <w:rFonts w:asciiTheme="majorBidi" w:hAnsiTheme="majorBidi" w:cstheme="majorBidi"/>
          <w:color w:val="000000"/>
          <w:szCs w:val="24"/>
        </w:rPr>
      </w:pPr>
      <w:r w:rsidRPr="00BE352E">
        <w:br w:type="page"/>
      </w:r>
      <w:r w:rsidRPr="00BE352E">
        <w:rPr>
          <w:rFonts w:asciiTheme="majorBidi" w:hAnsiTheme="majorBidi" w:cstheme="majorBidi"/>
          <w:color w:val="000000"/>
        </w:rPr>
        <w:t>19.</w:t>
      </w:r>
      <w:r w:rsidRPr="00BE352E">
        <w:tab/>
      </w:r>
      <w:r w:rsidRPr="00BE352E">
        <w:rPr>
          <w:rFonts w:asciiTheme="majorBidi" w:hAnsiTheme="majorBidi" w:cstheme="majorBidi"/>
          <w:color w:val="000000"/>
          <w:u w:val="single"/>
        </w:rPr>
        <w:t>Съображения</w:t>
      </w:r>
    </w:p>
    <w:p w:rsidR="00C623FA" w:rsidRPr="00BE352E" w:rsidRDefault="00C623FA" w:rsidP="00C623FA">
      <w:pPr>
        <w:pStyle w:val="NormalConseil"/>
        <w:spacing w:line="360" w:lineRule="auto"/>
        <w:ind w:left="567"/>
        <w:rPr>
          <w:rFonts w:asciiTheme="majorBidi" w:hAnsiTheme="majorBidi" w:cstheme="majorBidi"/>
          <w:color w:val="000000"/>
          <w:szCs w:val="24"/>
        </w:rPr>
      </w:pPr>
      <w:r w:rsidRPr="00BE352E">
        <w:rPr>
          <w:rFonts w:asciiTheme="majorBidi" w:hAnsiTheme="majorBidi" w:cstheme="majorBidi"/>
        </w:rPr>
        <w:t>Съветът измени съображенията, така че да съответстват на изменената постановителна част на регламента и да се вземат предвид някои резерви, изразени от Европейския парламент.</w:t>
      </w:r>
    </w:p>
    <w:p w:rsidR="00C623FA" w:rsidRPr="00BE352E" w:rsidRDefault="00C623FA" w:rsidP="00C623FA">
      <w:pPr>
        <w:pStyle w:val="EntInstit"/>
        <w:spacing w:line="360" w:lineRule="auto"/>
        <w:jc w:val="left"/>
        <w:rPr>
          <w:rFonts w:asciiTheme="majorBidi" w:hAnsiTheme="majorBidi" w:cstheme="majorBidi"/>
          <w:szCs w:val="24"/>
        </w:rPr>
      </w:pPr>
    </w:p>
    <w:p w:rsidR="00C623FA" w:rsidRPr="00BE352E" w:rsidRDefault="00C623FA" w:rsidP="00C623FA">
      <w:pPr>
        <w:pStyle w:val="EntInstit"/>
        <w:spacing w:line="360" w:lineRule="auto"/>
        <w:jc w:val="left"/>
        <w:rPr>
          <w:rFonts w:asciiTheme="majorBidi" w:hAnsiTheme="majorBidi" w:cstheme="majorBidi"/>
          <w:szCs w:val="24"/>
        </w:rPr>
      </w:pPr>
      <w:r w:rsidRPr="00BE352E">
        <w:rPr>
          <w:rFonts w:asciiTheme="majorBidi" w:hAnsiTheme="majorBidi" w:cstheme="majorBidi"/>
        </w:rPr>
        <w:t>IV.</w:t>
      </w:r>
      <w:r w:rsidRPr="00BE352E">
        <w:tab/>
      </w:r>
      <w:r w:rsidRPr="00BE352E">
        <w:rPr>
          <w:rFonts w:asciiTheme="majorBidi" w:hAnsiTheme="majorBidi" w:cstheme="majorBidi"/>
          <w:u w:val="single"/>
        </w:rPr>
        <w:t>ЗАКЛЮЧЕНИЕ</w:t>
      </w:r>
    </w:p>
    <w:p w:rsidR="00C623FA" w:rsidRPr="00BE352E" w:rsidRDefault="00C623FA" w:rsidP="00C623FA">
      <w:pPr>
        <w:spacing w:before="0" w:after="0"/>
        <w:rPr>
          <w:rFonts w:asciiTheme="majorBidi" w:hAnsiTheme="majorBidi" w:cstheme="majorBidi"/>
        </w:rPr>
      </w:pPr>
    </w:p>
    <w:p w:rsidR="00C623FA" w:rsidRPr="00BE352E" w:rsidRDefault="00C623FA" w:rsidP="00C623FA">
      <w:pPr>
        <w:spacing w:before="0" w:after="0"/>
        <w:ind w:left="567"/>
        <w:rPr>
          <w:rFonts w:asciiTheme="majorBidi" w:hAnsiTheme="majorBidi" w:cstheme="majorBidi"/>
        </w:rPr>
      </w:pPr>
      <w:r w:rsidRPr="00BE352E">
        <w:rPr>
          <w:rFonts w:asciiTheme="majorBidi" w:hAnsiTheme="majorBidi" w:cstheme="majorBidi"/>
        </w:rPr>
        <w:t>При определянето на своята позиция Съветът взе изцяло предвид предложението на Комисията и позицията на Европейския парламент на първо четене.</w:t>
      </w:r>
    </w:p>
    <w:p w:rsidR="00C623FA" w:rsidRPr="00BE352E" w:rsidRDefault="00C623FA" w:rsidP="00C623FA">
      <w:pPr>
        <w:spacing w:before="0" w:after="0"/>
        <w:rPr>
          <w:rFonts w:asciiTheme="majorBidi" w:hAnsiTheme="majorBidi" w:cstheme="majorBidi"/>
        </w:rPr>
      </w:pPr>
    </w:p>
    <w:p w:rsidR="00C623FA" w:rsidRPr="001E6BDD" w:rsidRDefault="00C623FA" w:rsidP="00C623FA">
      <w:pPr>
        <w:pStyle w:val="FinalLine"/>
        <w:spacing w:before="0" w:after="0"/>
        <w:rPr>
          <w:rFonts w:asciiTheme="majorBidi" w:hAnsiTheme="majorBidi" w:cstheme="majorBidi"/>
        </w:rPr>
      </w:pPr>
    </w:p>
    <w:p w:rsidR="00231C53" w:rsidRPr="00C82D7F" w:rsidRDefault="00231C53" w:rsidP="00C623FA">
      <w:pPr>
        <w:spacing w:before="0" w:after="0"/>
        <w:outlineLvl w:val="0"/>
        <w:rPr>
          <w:rFonts w:asciiTheme="majorBidi" w:hAnsiTheme="majorBidi" w:cstheme="majorBidi"/>
        </w:rPr>
      </w:pPr>
    </w:p>
    <w:sectPr w:rsidR="00231C53" w:rsidRPr="00C82D7F" w:rsidSect="009A5EBA">
      <w:headerReference w:type="even" r:id="rId16"/>
      <w:headerReference w:type="default" r:id="rId17"/>
      <w:footerReference w:type="even" r:id="rId18"/>
      <w:headerReference w:type="first" r:id="rId19"/>
      <w:footerReference w:type="first" r:id="rId20"/>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2D" w:rsidRPr="009A5EBA" w:rsidRDefault="0076282D" w:rsidP="009A5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A5EBA" w:rsidRPr="00D94637" w:rsidTr="009A5EBA">
      <w:trPr>
        <w:jc w:val="center"/>
      </w:trPr>
      <w:tc>
        <w:tcPr>
          <w:tcW w:w="5000" w:type="pct"/>
          <w:gridSpan w:val="7"/>
          <w:shd w:val="clear" w:color="auto" w:fill="auto"/>
          <w:tcMar>
            <w:top w:w="57" w:type="dxa"/>
          </w:tcMar>
        </w:tcPr>
        <w:p w:rsidR="009A5EBA" w:rsidRPr="00D94637" w:rsidRDefault="009A5EBA" w:rsidP="00D94637">
          <w:pPr>
            <w:pStyle w:val="FooterText"/>
            <w:pBdr>
              <w:top w:val="single" w:sz="4" w:space="1" w:color="auto"/>
            </w:pBdr>
            <w:spacing w:before="200"/>
            <w:rPr>
              <w:sz w:val="2"/>
              <w:szCs w:val="2"/>
            </w:rPr>
          </w:pPr>
          <w:bookmarkStart w:id="2" w:name="FOOTER_STANDARD"/>
        </w:p>
      </w:tc>
    </w:tr>
    <w:tr w:rsidR="009A5EBA" w:rsidRPr="00B310DC" w:rsidTr="009A5EBA">
      <w:trPr>
        <w:jc w:val="center"/>
      </w:trPr>
      <w:tc>
        <w:tcPr>
          <w:tcW w:w="2500" w:type="pct"/>
          <w:gridSpan w:val="2"/>
          <w:shd w:val="clear" w:color="auto" w:fill="auto"/>
          <w:tcMar>
            <w:top w:w="0" w:type="dxa"/>
          </w:tcMar>
        </w:tcPr>
        <w:p w:rsidR="009A5EBA" w:rsidRPr="00AD7BF2" w:rsidRDefault="009A5EBA" w:rsidP="004F54B2">
          <w:pPr>
            <w:pStyle w:val="FooterText"/>
          </w:pPr>
          <w:r>
            <w:t>8257/3/15</w:t>
          </w:r>
          <w:r w:rsidRPr="002511D8">
            <w:t xml:space="preserve"> </w:t>
          </w:r>
          <w:r>
            <w:t>REV 3 ADD 1</w:t>
          </w:r>
        </w:p>
      </w:tc>
      <w:tc>
        <w:tcPr>
          <w:tcW w:w="625" w:type="pct"/>
          <w:shd w:val="clear" w:color="auto" w:fill="auto"/>
          <w:tcMar>
            <w:top w:w="0" w:type="dxa"/>
          </w:tcMar>
        </w:tcPr>
        <w:p w:rsidR="009A5EBA" w:rsidRPr="00AD7BF2" w:rsidRDefault="009A5EBA" w:rsidP="00D94637">
          <w:pPr>
            <w:pStyle w:val="FooterText"/>
            <w:jc w:val="center"/>
          </w:pPr>
        </w:p>
      </w:tc>
      <w:tc>
        <w:tcPr>
          <w:tcW w:w="1287" w:type="pct"/>
          <w:gridSpan w:val="3"/>
          <w:shd w:val="clear" w:color="auto" w:fill="auto"/>
          <w:tcMar>
            <w:top w:w="0" w:type="dxa"/>
          </w:tcMar>
        </w:tcPr>
        <w:p w:rsidR="009A5EBA" w:rsidRPr="002511D8" w:rsidRDefault="009A5EBA" w:rsidP="00D94637">
          <w:pPr>
            <w:pStyle w:val="FooterText"/>
            <w:jc w:val="center"/>
          </w:pPr>
          <w:r>
            <w:t>mgt/vv</w:t>
          </w:r>
        </w:p>
      </w:tc>
      <w:tc>
        <w:tcPr>
          <w:tcW w:w="588" w:type="pct"/>
          <w:shd w:val="clear" w:color="auto" w:fill="auto"/>
          <w:tcMar>
            <w:top w:w="0" w:type="dxa"/>
          </w:tcMar>
        </w:tcPr>
        <w:p w:rsidR="009A5EBA" w:rsidRPr="00B310DC" w:rsidRDefault="009A5EBA"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9A5EBA" w:rsidRPr="00D94637" w:rsidTr="009A5EBA">
      <w:trPr>
        <w:jc w:val="center"/>
      </w:trPr>
      <w:tc>
        <w:tcPr>
          <w:tcW w:w="1774" w:type="pct"/>
          <w:shd w:val="clear" w:color="auto" w:fill="auto"/>
        </w:tcPr>
        <w:p w:rsidR="009A5EBA" w:rsidRPr="00AD7BF2" w:rsidRDefault="009A5EBA" w:rsidP="00D94637">
          <w:pPr>
            <w:pStyle w:val="FooterText"/>
            <w:spacing w:before="40"/>
          </w:pPr>
        </w:p>
      </w:tc>
      <w:tc>
        <w:tcPr>
          <w:tcW w:w="1455" w:type="pct"/>
          <w:gridSpan w:val="3"/>
          <w:shd w:val="clear" w:color="auto" w:fill="auto"/>
        </w:tcPr>
        <w:p w:rsidR="009A5EBA" w:rsidRPr="00AD7BF2" w:rsidRDefault="009A5EBA" w:rsidP="00D204D6">
          <w:pPr>
            <w:pStyle w:val="FooterText"/>
            <w:spacing w:before="40"/>
            <w:jc w:val="center"/>
          </w:pPr>
          <w:r>
            <w:t>DPG</w:t>
          </w:r>
        </w:p>
      </w:tc>
      <w:tc>
        <w:tcPr>
          <w:tcW w:w="1147" w:type="pct"/>
          <w:shd w:val="clear" w:color="auto" w:fill="auto"/>
        </w:tcPr>
        <w:p w:rsidR="009A5EBA" w:rsidRPr="00D94637" w:rsidRDefault="009A5EBA" w:rsidP="00D94637">
          <w:pPr>
            <w:pStyle w:val="FooterText"/>
            <w:jc w:val="right"/>
            <w:rPr>
              <w:b/>
              <w:position w:val="-4"/>
              <w:sz w:val="36"/>
            </w:rPr>
          </w:pPr>
        </w:p>
      </w:tc>
      <w:tc>
        <w:tcPr>
          <w:tcW w:w="625" w:type="pct"/>
          <w:gridSpan w:val="2"/>
          <w:shd w:val="clear" w:color="auto" w:fill="auto"/>
        </w:tcPr>
        <w:p w:rsidR="009A5EBA" w:rsidRPr="00D94637" w:rsidRDefault="009A5EBA" w:rsidP="00D94637">
          <w:pPr>
            <w:pStyle w:val="FooterText"/>
            <w:jc w:val="right"/>
            <w:rPr>
              <w:sz w:val="16"/>
            </w:rPr>
          </w:pPr>
          <w:r>
            <w:rPr>
              <w:b/>
              <w:position w:val="-4"/>
              <w:sz w:val="36"/>
            </w:rPr>
            <w:t>BG</w:t>
          </w:r>
        </w:p>
      </w:tc>
    </w:tr>
    <w:bookmarkEnd w:id="2"/>
  </w:tbl>
  <w:p w:rsidR="00467531" w:rsidRPr="009A5EBA" w:rsidRDefault="009A5EBA" w:rsidP="009A5EB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A5EBA" w:rsidRPr="00D94637" w:rsidTr="009A5EBA">
      <w:trPr>
        <w:jc w:val="center"/>
      </w:trPr>
      <w:tc>
        <w:tcPr>
          <w:tcW w:w="5000" w:type="pct"/>
          <w:gridSpan w:val="7"/>
          <w:shd w:val="clear" w:color="auto" w:fill="auto"/>
          <w:tcMar>
            <w:top w:w="57" w:type="dxa"/>
          </w:tcMar>
        </w:tcPr>
        <w:p w:rsidR="009A5EBA" w:rsidRPr="00D94637" w:rsidRDefault="009A5EBA" w:rsidP="00D94637">
          <w:pPr>
            <w:pStyle w:val="FooterText"/>
            <w:pBdr>
              <w:top w:val="single" w:sz="4" w:space="1" w:color="auto"/>
            </w:pBdr>
            <w:spacing w:before="200"/>
            <w:rPr>
              <w:sz w:val="2"/>
              <w:szCs w:val="2"/>
            </w:rPr>
          </w:pPr>
        </w:p>
      </w:tc>
    </w:tr>
    <w:tr w:rsidR="009A5EBA" w:rsidRPr="00B310DC" w:rsidTr="009A5EBA">
      <w:trPr>
        <w:jc w:val="center"/>
      </w:trPr>
      <w:tc>
        <w:tcPr>
          <w:tcW w:w="2500" w:type="pct"/>
          <w:gridSpan w:val="2"/>
          <w:shd w:val="clear" w:color="auto" w:fill="auto"/>
          <w:tcMar>
            <w:top w:w="0" w:type="dxa"/>
          </w:tcMar>
        </w:tcPr>
        <w:p w:rsidR="009A5EBA" w:rsidRPr="00AD7BF2" w:rsidRDefault="009A5EBA" w:rsidP="004F54B2">
          <w:pPr>
            <w:pStyle w:val="FooterText"/>
          </w:pPr>
          <w:r>
            <w:t>8257/3/15</w:t>
          </w:r>
          <w:r w:rsidRPr="002511D8">
            <w:t xml:space="preserve"> </w:t>
          </w:r>
          <w:r>
            <w:t>REV 3 ADD 1</w:t>
          </w:r>
        </w:p>
      </w:tc>
      <w:tc>
        <w:tcPr>
          <w:tcW w:w="625" w:type="pct"/>
          <w:shd w:val="clear" w:color="auto" w:fill="auto"/>
          <w:tcMar>
            <w:top w:w="0" w:type="dxa"/>
          </w:tcMar>
        </w:tcPr>
        <w:p w:rsidR="009A5EBA" w:rsidRPr="00AD7BF2" w:rsidRDefault="009A5EBA" w:rsidP="00D94637">
          <w:pPr>
            <w:pStyle w:val="FooterText"/>
            <w:jc w:val="center"/>
          </w:pPr>
        </w:p>
      </w:tc>
      <w:tc>
        <w:tcPr>
          <w:tcW w:w="1287" w:type="pct"/>
          <w:gridSpan w:val="3"/>
          <w:shd w:val="clear" w:color="auto" w:fill="auto"/>
          <w:tcMar>
            <w:top w:w="0" w:type="dxa"/>
          </w:tcMar>
        </w:tcPr>
        <w:p w:rsidR="009A5EBA" w:rsidRPr="002511D8" w:rsidRDefault="009A5EBA" w:rsidP="00D94637">
          <w:pPr>
            <w:pStyle w:val="FooterText"/>
            <w:jc w:val="center"/>
          </w:pPr>
          <w:r>
            <w:t>mgt/vv</w:t>
          </w:r>
        </w:p>
      </w:tc>
      <w:tc>
        <w:tcPr>
          <w:tcW w:w="588" w:type="pct"/>
          <w:shd w:val="clear" w:color="auto" w:fill="auto"/>
          <w:tcMar>
            <w:top w:w="0" w:type="dxa"/>
          </w:tcMar>
        </w:tcPr>
        <w:p w:rsidR="009A5EBA" w:rsidRPr="00B310DC" w:rsidRDefault="009A5EB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A5EBA" w:rsidRPr="00D94637" w:rsidTr="009A5EBA">
      <w:trPr>
        <w:jc w:val="center"/>
      </w:trPr>
      <w:tc>
        <w:tcPr>
          <w:tcW w:w="1774" w:type="pct"/>
          <w:shd w:val="clear" w:color="auto" w:fill="auto"/>
        </w:tcPr>
        <w:p w:rsidR="009A5EBA" w:rsidRPr="00AD7BF2" w:rsidRDefault="009A5EBA" w:rsidP="00D94637">
          <w:pPr>
            <w:pStyle w:val="FooterText"/>
            <w:spacing w:before="40"/>
          </w:pPr>
        </w:p>
      </w:tc>
      <w:tc>
        <w:tcPr>
          <w:tcW w:w="1455" w:type="pct"/>
          <w:gridSpan w:val="3"/>
          <w:shd w:val="clear" w:color="auto" w:fill="auto"/>
        </w:tcPr>
        <w:p w:rsidR="009A5EBA" w:rsidRPr="00AD7BF2" w:rsidRDefault="009A5EBA" w:rsidP="00D204D6">
          <w:pPr>
            <w:pStyle w:val="FooterText"/>
            <w:spacing w:before="40"/>
            <w:jc w:val="center"/>
          </w:pPr>
          <w:r>
            <w:t>DPG</w:t>
          </w:r>
        </w:p>
      </w:tc>
      <w:tc>
        <w:tcPr>
          <w:tcW w:w="1147" w:type="pct"/>
          <w:shd w:val="clear" w:color="auto" w:fill="auto"/>
        </w:tcPr>
        <w:p w:rsidR="009A5EBA" w:rsidRPr="00D94637" w:rsidRDefault="009A5EBA" w:rsidP="00D94637">
          <w:pPr>
            <w:pStyle w:val="FooterText"/>
            <w:jc w:val="right"/>
            <w:rPr>
              <w:b/>
              <w:position w:val="-4"/>
              <w:sz w:val="36"/>
            </w:rPr>
          </w:pPr>
        </w:p>
      </w:tc>
      <w:tc>
        <w:tcPr>
          <w:tcW w:w="625" w:type="pct"/>
          <w:gridSpan w:val="2"/>
          <w:shd w:val="clear" w:color="auto" w:fill="auto"/>
        </w:tcPr>
        <w:p w:rsidR="009A5EBA" w:rsidRPr="00D94637" w:rsidRDefault="009A5EBA" w:rsidP="00D94637">
          <w:pPr>
            <w:pStyle w:val="FooterText"/>
            <w:jc w:val="right"/>
            <w:rPr>
              <w:sz w:val="16"/>
            </w:rPr>
          </w:pPr>
          <w:r>
            <w:rPr>
              <w:b/>
              <w:position w:val="-4"/>
              <w:sz w:val="36"/>
            </w:rPr>
            <w:t>BG</w:t>
          </w:r>
        </w:p>
      </w:tc>
    </w:tr>
  </w:tbl>
  <w:p w:rsidR="00B00693" w:rsidRPr="009A5EBA" w:rsidRDefault="00B00693" w:rsidP="009A5EB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9A5EBA" w:rsidRDefault="009A5EBA" w:rsidP="009A5E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2" w:rsidRPr="009A5EBA" w:rsidRDefault="009A5EBA" w:rsidP="009A5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C623FA" w:rsidRDefault="00C623FA" w:rsidP="00C623FA">
      <w:pPr>
        <w:pStyle w:val="FootnoteText"/>
        <w:ind w:left="567" w:hanging="567"/>
        <w:rPr>
          <w:lang w:val="fr-BE"/>
        </w:rPr>
      </w:pPr>
      <w:r>
        <w:rPr>
          <w:rStyle w:val="FootnoteReference"/>
        </w:rPr>
        <w:footnoteRef/>
      </w:r>
      <w:r>
        <w:tab/>
        <w:t>8658/14 CODEC 1023 UD 112 AGRI 294 ENFOCUSTOMS 46 PE 250.</w:t>
      </w:r>
    </w:p>
  </w:footnote>
  <w:footnote w:id="2">
    <w:p w:rsidR="00C623FA" w:rsidRPr="0021716C" w:rsidRDefault="00C623FA" w:rsidP="00C623FA">
      <w:pPr>
        <w:pStyle w:val="FootnoteText"/>
        <w:ind w:left="567" w:hanging="567"/>
      </w:pPr>
      <w:r>
        <w:rPr>
          <w:rStyle w:val="FootnoteReference"/>
        </w:rPr>
        <w:footnoteRef/>
      </w:r>
      <w:r>
        <w:tab/>
        <w:t>Редица нерешени технически въпроси бяха разгледани впоследствие през януари 2015 г. от латвийското председателство.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2D" w:rsidRPr="009A5EBA" w:rsidRDefault="0076282D" w:rsidP="009A5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2D" w:rsidRPr="009A5EBA" w:rsidRDefault="0076282D" w:rsidP="009A5EB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2D" w:rsidRPr="009A5EBA" w:rsidRDefault="0076282D" w:rsidP="009A5EB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9A5EBA" w:rsidRDefault="009A5EBA" w:rsidP="009A5E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9A5EBA" w:rsidRDefault="009A5EBA" w:rsidP="009A5E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9A5EBA" w:rsidRDefault="009A5EBA" w:rsidP="009A5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5"/>
  </w:num>
  <w:num w:numId="2">
    <w:abstractNumId w:val="10"/>
  </w:num>
  <w:num w:numId="3">
    <w:abstractNumId w:val="9"/>
  </w:num>
  <w:num w:numId="4">
    <w:abstractNumId w:val="11"/>
  </w:num>
  <w:num w:numId="5">
    <w:abstractNumId w:val="7"/>
  </w:num>
  <w:num w:numId="6">
    <w:abstractNumId w:val="1"/>
  </w:num>
  <w:num w:numId="7">
    <w:abstractNumId w:val="6"/>
  </w:num>
  <w:num w:numId="8">
    <w:abstractNumId w:val="5"/>
  </w:num>
  <w:num w:numId="9">
    <w:abstractNumId w:val="3"/>
  </w:num>
  <w:num w:numId="10">
    <w:abstractNumId w:val="17"/>
  </w:num>
  <w:num w:numId="11">
    <w:abstractNumId w:val="18"/>
  </w:num>
  <w:num w:numId="12">
    <w:abstractNumId w:val="0"/>
  </w:num>
  <w:num w:numId="13">
    <w:abstractNumId w:val="20"/>
  </w:num>
  <w:num w:numId="14">
    <w:abstractNumId w:val="16"/>
  </w:num>
  <w:num w:numId="15">
    <w:abstractNumId w:val="12"/>
  </w:num>
  <w:num w:numId="16">
    <w:abstractNumId w:val="8"/>
  </w:num>
  <w:num w:numId="17">
    <w:abstractNumId w:val="14"/>
  </w:num>
  <w:num w:numId="18">
    <w:abstractNumId w:val="2"/>
  </w:num>
  <w:num w:numId="19">
    <w:abstractNumId w:val="19"/>
  </w:num>
  <w:num w:numId="20">
    <w:abstractNumId w:val="4"/>
  </w:num>
  <w:num w:numId="21">
    <w:abstractNumId w:val="13"/>
  </w:num>
  <w:num w:numId="22">
    <w:abstractNumId w:val="15"/>
  </w:num>
  <w:num w:numId="23">
    <w:abstractNumId w:val="10"/>
  </w:num>
  <w:num w:numId="24">
    <w:abstractNumId w:val="9"/>
  </w:num>
  <w:num w:numId="25">
    <w:abstractNumId w:val="11"/>
  </w:num>
  <w:num w:numId="26">
    <w:abstractNumId w:val="7"/>
  </w:num>
  <w:num w:numId="27">
    <w:abstractNumId w:val="1"/>
  </w:num>
  <w:num w:numId="28">
    <w:abstractNumId w:val="6"/>
  </w:num>
  <w:num w:numId="29">
    <w:abstractNumId w:val="5"/>
  </w:num>
  <w:num w:numId="30">
    <w:abstractNumId w:val="3"/>
  </w:num>
  <w:num w:numId="31">
    <w:abstractNumId w:val="17"/>
  </w:num>
  <w:num w:numId="32">
    <w:abstractNumId w:val="18"/>
  </w:num>
  <w:num w:numId="33">
    <w:abstractNumId w:val="0"/>
  </w:num>
  <w:num w:numId="34">
    <w:abstractNumId w:val="20"/>
  </w:num>
  <w:num w:numId="35">
    <w:abstractNumId w:val="16"/>
  </w:num>
  <w:num w:numId="36">
    <w:abstractNumId w:val="12"/>
  </w:num>
  <w:num w:numId="37">
    <w:abstractNumId w:val="8"/>
  </w:num>
  <w:num w:numId="38">
    <w:abstractNumId w:val="14"/>
  </w:num>
  <w:num w:numId="39">
    <w:abstractNumId w:val="2"/>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19c77384-1f11-42aa-8957-43fc68a580e6&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6-16&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REV 3 ADD 1&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gt;PARLNAT 6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6;&amp;#1077;&amp;#1075;&amp;#1083;&amp;#1072;&amp;#1084;&amp;#1077;&amp;#1085;&amp;#1090; (&amp;#1045;&amp;#1054;) &amp;#8470; 515/97 &amp;#1085;&amp;#1072; &amp;#1057;&amp;#1098;&amp;#1074;&amp;#1077;&amp;#1090;&amp;#1072; &amp;#1086;&amp;#1090;&amp;#1085;&amp;#1086;&amp;#1089;&amp;#1085;&amp;#1086; &amp;#1074;&amp;#1079;&amp;#1072;&amp;#1080;&amp;#1084;&amp;#1086;&amp;#1087;&amp;#1086;&amp;#1084;&amp;#1086;&amp;#1097;&amp;#1090;&amp;#1072; &amp;#1084;&amp;#1077;&amp;#1078;&amp;#1076;&amp;#1091; &amp;#1072;&amp;#1076;&amp;#1084;&amp;#1080;&amp;#1085;&amp;#1080;&amp;#1089;&amp;#1090;&amp;#1088;&amp;#1072;&amp;#1090;&amp;#1080;&amp;#1074;&amp;#1085;&amp;#1080;&amp;#1090;&amp;#1077; &amp;#1086;&amp;#1088;&amp;#1075;&amp;#1072;&amp;#1085;&amp;#1080; &amp;#1085;&amp;#1072; &amp;#1076;&amp;#1098;&amp;#1088;&amp;#1078;&amp;#1072;&amp;#1074;&amp;#1080;&amp;#1090;&amp;#1077; &amp;#1095;&amp;#1083;&amp;#1077;&amp;#1085;&amp;#1082;&amp;#1080; &amp;#1080; &amp;#1089;&amp;#1098;&amp;#1090;&amp;#1088;&amp;#1091;&amp;#1076;&amp;#1085;&amp;#1080;&amp;#1095;&amp;#1077;&amp;#1089;&amp;#1090;&amp;#1074;&amp;#1086;&amp;#1090;&amp;#1086; &amp;#1084;&amp;#1077;&amp;#1078;&amp;#1076;&amp;#1091; &amp;#1087;&amp;#1086;&amp;#1089;&amp;#1083;&amp;#1077;&amp;#1076;&amp;#1085;&amp;#1080;&amp;#1090;&amp;#1077; &amp;#1080; &amp;#1050;&amp;#1086;&amp;#1084;&amp;#1080;&amp;#1089;&amp;#1080;&amp;#1103;&amp;#1090;&amp;#1072; &amp;#1087;&amp;#1086; &amp;#1075;&amp;#1072;&amp;#1088;&amp;#1072;&amp;#1085;&amp;#1090;&amp;#1080;&amp;#1088;&amp;#1072;&amp;#1085;&amp;#1077; &amp;#1085;&amp;#1072; &amp;#1087;&amp;#1088;&amp;#1072;&amp;#1074;&amp;#1080;&amp;#1083;&amp;#1085;&amp;#1086;&amp;#1090;&amp;#1086; &amp;#1087;&amp;#1088;&amp;#1080;&amp;#1083;&amp;#1072;&amp;#1075;&amp;#1072;&amp;#1085;&amp;#1077; &amp;#1085;&amp;#1072; &amp;#1079;&amp;#1072;&amp;#1082;&amp;#1086;&amp;#1085;&amp;#1086;&amp;#1076;&amp;#1072;&amp;#1090;&amp;#1077;&amp;#1083;&amp;#1089;&amp;#1090;&amp;#1074;&amp;#1086;&amp;#1090;&amp;#1086; &amp;#1074; &amp;#1086;&amp;#1073;&amp;#1083;&amp;#1072;&amp;#1089;&amp;#1090;&amp;#1090;&amp;#1072; &amp;#1085;&amp;#1072; &amp;#1084;&amp;#1080;&amp;#1090;&amp;#1085;&amp;#1080;&amp;#1095;&amp;#1077;&amp;#1089;&amp;#1082;&amp;#1080;&amp;#1090;&amp;#1077; &amp;#1080; &amp;#1079;&amp;#1077;&amp;#1084;&amp;#1077;&amp;#1076;&amp;#1077;&amp;#1083;&amp;#1089;&amp;#1082;&amp;#1080;&amp;#1090;&amp;#1077; &amp;#1074;&amp;#1098;&amp;#1087;&amp;#1088;&amp;#1086;&amp;#1089;&amp;#1080;  &amp;#8212; &amp;#1048;&amp;#1079;&amp;#1083;&amp;#1086;&amp;#1078;&amp;#1077;&amp;#1085;&amp;#1080;&amp;#1077; &amp;#1085;&amp;#1072; &amp;#1084;&amp;#1086;&amp;#1090;&amp;#1080;&amp;#1074;&amp;#1080;&amp;#1090;&amp;#1077; &amp;#1085;&amp;#1072; &amp;#1057;&amp;#1098;&amp;#1074;&amp;#1077;&amp;#1090;&amp;#1072; &amp;#8212; &amp;#1055;&amp;#1088;&amp;#1080;&amp;#1077;&amp;#1090;&amp;#1080; &amp;#1086;&amp;#1090; &amp;#1057;&amp;#1098;&amp;#1074;&amp;#1077;&amp;#1090;&amp;#1072; &amp;#1085;&amp;#1072; 15 &amp;#1102;&amp;#1085;&amp;#1080; 2015 &amp;#107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amp;gt;&amp;lt;Run FontFamily=&quot;Times New Roman&quot;&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lt;/Run&amp;gt;&amp;lt;Run FontFamily=&quot;Times New Roman&quot; xml:lang=&quot;en-gb&quot;&amp;gt;&amp;#1045;&amp;#1043;&amp;#1051;&amp;#1040;&amp;#1052;&amp;#1045;&amp;#1053;&amp;#1058; &amp;#1053;&amp;#1040;&amp;lt;/Run&amp;gt;&amp;lt;Run FontFamily=&quot;Times New Roman&quot; xml:space=&quot;preserve&quot;&amp;gt; &amp;#1045;&amp;lt;/Run&amp;gt;&amp;lt;Run FontFamily=&quot;Times New Roman&quot; xml:lang=&quot;en-gb&quot; xml:space=&quot;preserve&quot;&amp;gt;&amp;#1042;&amp;#1056;&amp;#1054;&amp;#1055;&amp;#1045;&amp;#1049;&amp;#1057;&amp;#1050;&amp;#1048;&amp;#1071; &amp;lt;/Run&amp;gt;&amp;lt;Run FontFamily=&quot;Times New Roman&quot;&amp;gt;&amp;#1055;&amp;lt;/Run&amp;gt;&amp;lt;Run FontFamily=&quot;Times New Roman&quot; xml:lang=&quot;en-gb&quot; xml:space=&quot;preserve&quot;&amp;gt;&amp;#1040;&amp;#1056;&amp;#1051;&amp;#1040;&amp;#1052;&amp;#1045;&amp;#1053;&amp;#1058; &amp;#1048; &amp;#1053;&amp;#1040; &amp;#1057;&amp;#1066;&amp;#1042;&amp;#1045;&amp;#1058;&amp;#1040; &amp;lt;/Run&amp;gt;&amp;lt;Run FontFamily=&quot;Times New Roman&quot; xml:space=&quot;preserve&quot;&amp;gt;&amp;#1079;&amp;#1072; &amp;#1080;&amp;#1079;&amp;#1084;&amp;#1077;&amp;#1085;&amp;#1077;&amp;#1085;&amp;#1080;&amp;#1077; &amp;lt;/Run&amp;gt;&amp;lt;Run FontFamily=&quot;Times New Roman&quot; xml:lang=&quot;en-gb&quot;&amp;gt;&amp;#1085;&amp;#1072; &amp;#1056;&amp;#1077;&amp;#1075;&amp;#1083;&amp;#1072;&amp;#1084;&amp;#1077;&amp;#1085;&amp;#1090;&amp;lt;/Run&amp;gt;&amp;lt;Run FontFamily=&quot;Times New Roman&quot; xml:space=&quot;preserve&quot;&amp;gt; (&amp;#1045;&amp;#1054;) &amp;#8470; 515/97 &amp;#1085;&amp;#1072; &amp;#1057;&amp;#1098;&amp;#1074;&amp;#1077;&amp;#1090;&amp;#1072; &amp;#1086;&amp;#1090;&amp;#1085;&amp;#1086;&amp;#1089;&amp;#1085;&amp;#1086; &amp;#1074;&amp;#1079;&amp;#1072;&amp;#1080;&amp;#1084;&amp;#1086;&amp;#1087;&amp;#1086;&amp;#1084;&amp;#1086;&amp;#1097;&amp;#1090;&amp;#1072; &amp;#1084;&amp;#1077;&amp;#1078;&amp;#1076;&amp;#1091; &amp;#1072;&amp;#1076;&amp;#1084;&amp;#1080;&amp;#1085;&amp;#1080;&amp;#1089;&amp;#1090;&amp;#1088;&amp;#1072;&amp;#1090;&amp;#1080;&amp;#1074;&amp;#1085;&amp;#1080;&amp;#1090;&amp;#1077; &amp;#1086;&amp;#1088;&amp;#1075;&amp;#1072;&amp;#1085;&amp;#1080; &amp;#1085;&amp;#1072; &amp;#1076;&amp;#1098;&amp;#1088;&amp;#1078;&amp;#1072;&amp;#1074;&amp;#1080;&amp;#1090;&amp;#1077; &amp;#1095;&amp;#1083;&amp;#1077;&amp;#1085;&amp;#1082;&amp;#1080; &amp;#1080; &amp;#1089;&amp;#1098;&amp;#1090;&amp;#1088;&amp;#1091;&amp;#1076;&amp;#1085;&amp;#1080;&amp;#1095;&amp;#1077;&amp;#1089;&amp;#1090;&amp;#1074;&amp;#1086;&amp;#1090;&amp;#1086; &amp;#1084;&amp;#1077;&amp;#1078;&amp;#1076;&amp;#1091; &amp;#1087;&amp;#1086;&amp;#1089;&amp;#1083;&amp;#1077;&amp;#1076;&amp;#1085;&amp;#1080;&amp;#1090;&amp;#1077; &amp;#1080; &amp;#1050;&amp;#1086;&amp;#1084;&amp;#1080;&amp;#1089;&amp;#1080;&amp;#1103;&amp;#1090;&amp;#1072; &amp;#1087;&amp;#1086; &amp;#1075;&amp;#1072;&amp;#1088;&amp;#1072;&amp;#1085;&amp;#1090;&amp;#1080;&amp;#1088;&amp;#1072;&amp;#1085;&amp;#1077; &amp;#1085;&amp;#1072; &amp;#1087;&amp;#1088;&amp;#1072;&amp;#1074;&amp;#1080;&amp;#1083;&amp;#1085;&amp;#1086;&amp;#1090;&amp;#1086; &amp;#1087;&amp;#1088;&amp;#1080;&amp;#1083;&amp;#1072;&amp;#1075;&amp;#1072;&amp;#1085;&amp;#1077; &amp;#1085;&amp;#1072; &amp;#1079;&amp;#1072;&amp;#1082;&amp;#1086;&amp;#1085;&amp;#1086;&amp;#1076;&amp;#1072;&amp;#1090;&amp;#1077;&amp;#1083;&amp;#1089;&amp;#1090;&amp;#1074;&amp;#1086;&amp;#1090;&amp;#1086; &amp;#1074; &amp;#1086;&amp;#1073;&amp;#1083;&amp;#1072;&amp;#1089;&amp;#1090;&amp;#1090;&amp;#1072; &amp;#1085;&amp;#1072; &amp;#1084;&amp;#1080;&amp;#1090;&amp;#1085;&amp;#1080;&amp;#1095;&amp;#1077;&amp;#1089;&amp;#1082;&amp;#1080;&amp;#1090;&amp;#1077; &amp;#1080; &amp;#1079;&amp;#1077;&amp;#1084;&amp;#1077;&amp;#1076;&amp;#1077;&amp;#1083;&amp;#1089;&amp;#1082;&amp;#1080;&amp;#1090;&amp;#1077; &amp;#1074;&amp;#1098;&amp;#1087;&amp;#1088;&amp;#1086;&amp;#1089;&amp;#1080; &amp;lt;/Run&amp;gt;&amp;lt;/Paragraph&amp;gt;&amp;lt;Paragraph FontFamily=&quot;Georgia&quot;&amp;gt;&amp;lt;Run FontFamily=&quot;Times New Roman&quot; xml:space=&quot;preserve&quot;&amp;gt;&amp;#8212; &amp;lt;/Run&amp;gt;&amp;lt;Run FontFamily=&quot;Times New Roman&quot; xml:lang=&quot;bg-bg&quot;&amp;gt;&amp;#1048;&amp;lt;/Run&amp;gt;&amp;lt;Run FontFamily=&quot;Times New Roman&quot;&amp;gt;&amp;#1079;&amp;#1083;&amp;#1086;&amp;#1078;&amp;#1077;&amp;#1085;&amp;#1080;&amp;#1077; &amp;#1085;&amp;#1072; &amp;#1084;&amp;#1086;&amp;#1090;&amp;#1080;&amp;#1074;&amp;#1080;&amp;#1090;&amp;#1077; &amp;#1085;&amp;#1072; &amp;#1057;&amp;#1098;&amp;#1074;&amp;#1077;&amp;#1090;&amp;#1072;&amp;lt;/Run&amp;gt;&amp;lt;/Paragraph&amp;gt;&amp;lt;Paragraph FontFamily=&quot;Georgia&quot;&amp;gt;&amp;lt;Run FontFamily=&quot;Times New Roman&quot;&amp;gt;&amp;#8212;&amp;lt;/Run&amp;gt;&amp;lt;Run FontFamily=&quot;Times New Roman&quot; xml:lang=&quot;bg-bg&quot; xml:space=&quot;preserve&quot;&amp;gt; &amp;#1055;&amp;#1088;&amp;#1080;&amp;#1077;&amp;#1090;&amp;#1080; &amp;#1086;&amp;#1090; &amp;#1057;&amp;#1098;&amp;#1074;&amp;#1077;&amp;#1090;&amp;#1072; &amp;#1085;&amp;#1072; 15 &amp;#1102;&amp;#1085;&amp;#1080; 2015 &amp;#107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gt/v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07aa30fc-67df-4dba-8ba9-9d7e2c2f004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04&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amp;#8211; Draft Statement of the Council's reasons&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of the Council at first reading with view to the adoption of a  R&amp;lt;/Run&amp;gt;&amp;lt;Run FontFamily=&quot;Times New Roman&quot; xml:lang=&quot;en-gb&quot;&amp;gt;EGULATION OF THE&amp;lt;/Run&amp;gt;&amp;lt;Run FontFamily=&quot;Times New Roman&quot; xml:space=&quot;preserve&quot;&amp;gt; E&amp;lt;/Run&amp;gt;&amp;lt;Run FontFamily=&quot;Times New Roman&quot; xml:lang=&quot;en-gb&quot; xml:space=&quot;preserve&quot;&amp;gt;UROPEAN &amp;lt;/Run&amp;gt;&amp;lt;Run FontFamily=&quot;Times New Roman&quot;&amp;gt;P&amp;lt;/Run&amp;gt;&amp;lt;Run FontFamily=&quot;Times New Roman&quot; xml:lang=&quot;en-gb&quot; xml:space=&quot;preserve&quot;&amp;gt;ARLIAMENT AND OF THE COUNCIL &amp;lt;/Run&amp;gt;&amp;lt;Run FontFamily=&quot;Times New Roman&quot; xml:space=&quot;preserve&quot;&amp;gt;amending &amp;lt;/Run&amp;gt;&amp;lt;Run FontFamily=&quot;Times New Roman&quot; xml:lang=&quot;en-gb&quot; xml:space=&quot;preserve&quot;&amp;gt;Council &amp;lt;/Run&amp;gt;&amp;lt;Run FontFamily=&quot;Times New Roman&quot; xml:space=&quot;preserve&quot;&amp;gt;Regulation (EC) No 515/97 on mutual assistance between the administrative authorities of the Member States and cooperation between the latter and the Commission to ensure the correct application of the law on customs and agricultural matters &amp;lt;/Run&amp;gt;&amp;lt;/Paragraph&amp;gt;&amp;lt;Paragraph FontFamily=&quot;Georgia&quot;&amp;gt;&amp;lt;Run FontFamily=&quot;Times New Roman&quot;&amp;gt;&amp;#8211; Draft Statement of the Council's reasons&amp;lt;/Run&amp;gt;&amp;lt;/Paragraph&amp;gt;&amp;lt;/FlowDocument&amp;gt;&lt;/xaml&gt;_x000d__x000a_  &lt;/metadata&gt;_x000d__x000a_  &lt;metadata key=&quot;md_SubjectFootnote&quot; /&gt;_x000d__x000a_  &lt;metadata key=&quot;md_DG&quot;&gt;_x000d__x000a_    &lt;text&gt;DGG 3 B&lt;/text&gt;_x000d__x000a_  &lt;/metadata&gt;_x000d__x000a_  &lt;metadata key=&quot;md_Initials&quot;&gt;_x000d__x000a_    &lt;text&gt;PhL/a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Footnote Text;Footnote Text;"/>
    <w:docVar w:name="DW_AutoOpen" w:val="True"/>
    <w:docVar w:name="DW_DocType" w:val="DW_COUNCIL"/>
    <w:docVar w:name="LW_DocType" w:val="DW_COUNCIL"/>
    <w:docVar w:name="VSSDB_IniPath" w:val="\\at100\user\wovo\SEILEG\vss\srcsafe.ini"/>
    <w:docVar w:name="VSSDB_ProjectPath" w:val="$/DocuWrite/DOT/DW_COUNCIL"/>
  </w:docVars>
  <w:rsids>
    <w:rsidRoot w:val="008A3BFE"/>
    <w:rsid w:val="0001568D"/>
    <w:rsid w:val="000307C2"/>
    <w:rsid w:val="00061F51"/>
    <w:rsid w:val="00061F52"/>
    <w:rsid w:val="0007556A"/>
    <w:rsid w:val="00096B04"/>
    <w:rsid w:val="000C72B2"/>
    <w:rsid w:val="000F59C3"/>
    <w:rsid w:val="00130CD9"/>
    <w:rsid w:val="00182F2F"/>
    <w:rsid w:val="00204186"/>
    <w:rsid w:val="00231C53"/>
    <w:rsid w:val="00267F0D"/>
    <w:rsid w:val="002F0549"/>
    <w:rsid w:val="003437A5"/>
    <w:rsid w:val="00356F5F"/>
    <w:rsid w:val="00412725"/>
    <w:rsid w:val="00414945"/>
    <w:rsid w:val="004A5CE6"/>
    <w:rsid w:val="004F4BDD"/>
    <w:rsid w:val="00524131"/>
    <w:rsid w:val="005B6963"/>
    <w:rsid w:val="005F0C4F"/>
    <w:rsid w:val="00625999"/>
    <w:rsid w:val="006351BB"/>
    <w:rsid w:val="00651E76"/>
    <w:rsid w:val="00683FE5"/>
    <w:rsid w:val="007046BF"/>
    <w:rsid w:val="007161AD"/>
    <w:rsid w:val="0076282D"/>
    <w:rsid w:val="0076613A"/>
    <w:rsid w:val="00773F66"/>
    <w:rsid w:val="00847AAE"/>
    <w:rsid w:val="008738AD"/>
    <w:rsid w:val="008A3BFE"/>
    <w:rsid w:val="008B69E4"/>
    <w:rsid w:val="008E4B50"/>
    <w:rsid w:val="00901450"/>
    <w:rsid w:val="00984B6A"/>
    <w:rsid w:val="009A5EBA"/>
    <w:rsid w:val="009B07D1"/>
    <w:rsid w:val="00A30641"/>
    <w:rsid w:val="00A47C16"/>
    <w:rsid w:val="00A7778D"/>
    <w:rsid w:val="00A93207"/>
    <w:rsid w:val="00AE613C"/>
    <w:rsid w:val="00AF3113"/>
    <w:rsid w:val="00B00693"/>
    <w:rsid w:val="00B54F86"/>
    <w:rsid w:val="00BA2221"/>
    <w:rsid w:val="00BE6E3D"/>
    <w:rsid w:val="00C623FA"/>
    <w:rsid w:val="00C82D7F"/>
    <w:rsid w:val="00D13316"/>
    <w:rsid w:val="00E5767B"/>
    <w:rsid w:val="00E80814"/>
    <w:rsid w:val="00E810D5"/>
    <w:rsid w:val="00EC0613"/>
    <w:rsid w:val="00F36022"/>
    <w:rsid w:val="00F86DEA"/>
    <w:rsid w:val="00FA145F"/>
    <w:rsid w:val="00FA387C"/>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en-GB" w:eastAsia="en-US"/>
    </w:rPr>
  </w:style>
  <w:style w:type="paragraph" w:customStyle="1" w:styleId="EntInstit">
    <w:name w:val="EntInstit"/>
    <w:basedOn w:val="Normal"/>
    <w:rsid w:val="00231C53"/>
    <w:pPr>
      <w:widowControl w:val="0"/>
      <w:spacing w:before="0" w:after="0" w:line="240" w:lineRule="auto"/>
      <w:jc w:val="right"/>
    </w:pPr>
    <w:rPr>
      <w:b/>
      <w:szCs w:val="20"/>
      <w:lang w:eastAsia="fr-BE"/>
    </w:rPr>
  </w:style>
  <w:style w:type="paragraph" w:customStyle="1" w:styleId="NormalConseil">
    <w:name w:val="NormalConseil"/>
    <w:basedOn w:val="Normal"/>
    <w:rsid w:val="00231C53"/>
    <w:pPr>
      <w:spacing w:before="0" w:after="0" w:line="240" w:lineRule="auto"/>
    </w:pPr>
    <w:rPr>
      <w:szCs w:val="20"/>
      <w:lang w:eastAsia="fr-BE"/>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76282D"/>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en-GB" w:eastAsia="en-US"/>
    </w:rPr>
  </w:style>
  <w:style w:type="paragraph" w:customStyle="1" w:styleId="EntInstit">
    <w:name w:val="EntInstit"/>
    <w:basedOn w:val="Normal"/>
    <w:rsid w:val="00231C53"/>
    <w:pPr>
      <w:widowControl w:val="0"/>
      <w:spacing w:before="0" w:after="0" w:line="240" w:lineRule="auto"/>
      <w:jc w:val="right"/>
    </w:pPr>
    <w:rPr>
      <w:b/>
      <w:szCs w:val="20"/>
      <w:lang w:eastAsia="fr-BE"/>
    </w:rPr>
  </w:style>
  <w:style w:type="paragraph" w:customStyle="1" w:styleId="NormalConseil">
    <w:name w:val="NormalConseil"/>
    <w:basedOn w:val="Normal"/>
    <w:rsid w:val="00231C53"/>
    <w:pPr>
      <w:spacing w:before="0" w:after="0" w:line="240" w:lineRule="auto"/>
    </w:pPr>
    <w:rPr>
      <w:szCs w:val="20"/>
      <w:lang w:eastAsia="fr-BE"/>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76282D"/>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606-A2E8-487D-8387-FAF31471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VASILEVA Sokolova Veselina</cp:lastModifiedBy>
  <cp:revision>3</cp:revision>
  <cp:lastPrinted>2015-06-16T08:04:00Z</cp:lastPrinted>
  <dcterms:created xsi:type="dcterms:W3CDTF">2015-06-17T08:39:00Z</dcterms:created>
  <dcterms:modified xsi:type="dcterms:W3CDTF">2015-06-17T08:41:00Z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