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01" w:rsidRPr="00D540B1" w:rsidRDefault="00E90CE6" w:rsidP="00D540B1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297a531-654b-4bc5-99c6-627cd5146151_0" style="width:568.45pt;height:490.6pt">
            <v:imagedata r:id="rId8" o:title=""/>
          </v:shape>
        </w:pict>
      </w:r>
      <w:bookmarkEnd w:id="0"/>
    </w:p>
    <w:p w:rsidR="007B7F93" w:rsidRPr="00D540B1" w:rsidRDefault="007B7F93" w:rsidP="007B7F93">
      <w:pPr>
        <w:pStyle w:val="PointManual"/>
      </w:pPr>
      <w:r w:rsidRPr="00D540B1">
        <w:t>—</w:t>
      </w:r>
      <w:r w:rsidRPr="00D540B1">
        <w:tab/>
        <w:t>Приемане на предварителния дневен ред</w:t>
      </w:r>
    </w:p>
    <w:p w:rsidR="007B7F93" w:rsidRPr="00D540B1" w:rsidRDefault="007B7F93" w:rsidP="007B7F93">
      <w:pPr>
        <w:pStyle w:val="Title"/>
        <w:spacing w:after="0"/>
        <w:outlineLvl w:val="0"/>
      </w:pPr>
      <w:r w:rsidRPr="00D540B1">
        <w:t>Обсъждания на законодателни актове</w:t>
      </w:r>
    </w:p>
    <w:p w:rsidR="007B7F93" w:rsidRPr="00D540B1" w:rsidRDefault="007B7F93" w:rsidP="007B7F93">
      <w:pPr>
        <w:pStyle w:val="Title"/>
        <w:spacing w:before="0"/>
        <w:rPr>
          <w:u w:val="none"/>
        </w:rPr>
      </w:pPr>
      <w:r w:rsidRPr="00D540B1">
        <w:rPr>
          <w:u w:val="none"/>
        </w:rPr>
        <w:t>(открито обсъждане съгласно член 16, параграф 8 от Договора за Европейския съюз)</w:t>
      </w:r>
    </w:p>
    <w:p w:rsidR="007B7F93" w:rsidRPr="00D540B1" w:rsidRDefault="007B7F93" w:rsidP="007B7F93">
      <w:pPr>
        <w:pStyle w:val="PointManual"/>
        <w:spacing w:before="120"/>
      </w:pPr>
      <w:r w:rsidRPr="00D540B1">
        <w:t>—</w:t>
      </w:r>
      <w:r w:rsidRPr="00D540B1">
        <w:tab/>
        <w:t>(евентуално) Одобряване на списъка на точки А</w:t>
      </w:r>
    </w:p>
    <w:p w:rsidR="007B7F93" w:rsidRPr="00D540B1" w:rsidRDefault="007B7F93" w:rsidP="007B7F93">
      <w:pPr>
        <w:pStyle w:val="PointManual"/>
        <w:spacing w:before="360"/>
      </w:pPr>
      <w:r w:rsidRPr="00D540B1">
        <w:t>—</w:t>
      </w:r>
      <w:r w:rsidRPr="00D540B1">
        <w:tab/>
        <w:t>(евентуално) Данъчно третиране на ваучери</w:t>
      </w:r>
    </w:p>
    <w:p w:rsidR="007B7F93" w:rsidRPr="00D540B1" w:rsidRDefault="007B7F93" w:rsidP="007B7F93">
      <w:pPr>
        <w:pStyle w:val="Dash1"/>
        <w:numPr>
          <w:ilvl w:val="0"/>
          <w:numId w:val="20"/>
        </w:numPr>
      </w:pPr>
      <w:r w:rsidRPr="00D540B1">
        <w:t>Предложение за директива на Съвета за изменение на Директива 2006/112/ЕО относно общата система на данъка върху добавената стойност по отношение на данъчното третиране на ваучери</w:t>
      </w:r>
    </w:p>
    <w:p w:rsidR="007B7F93" w:rsidRPr="00D540B1" w:rsidRDefault="007B7F93" w:rsidP="007B7F93">
      <w:pPr>
        <w:pStyle w:val="Dash2"/>
        <w:numPr>
          <w:ilvl w:val="0"/>
          <w:numId w:val="21"/>
        </w:numPr>
      </w:pPr>
      <w:r w:rsidRPr="00D540B1">
        <w:t>Политическо споразумение</w:t>
      </w:r>
    </w:p>
    <w:p w:rsidR="007B7F93" w:rsidRPr="00D540B1" w:rsidRDefault="007B7F93" w:rsidP="007B7F93">
      <w:pPr>
        <w:pStyle w:val="PointManual"/>
        <w:spacing w:before="360"/>
      </w:pPr>
      <w:r w:rsidRPr="00D540B1">
        <w:br w:type="page"/>
      </w:r>
      <w:r w:rsidRPr="00D540B1">
        <w:lastRenderedPageBreak/>
        <w:t>—</w:t>
      </w:r>
      <w:r w:rsidRPr="00D540B1">
        <w:tab/>
        <w:t xml:space="preserve">(евентуално) Стандартна справка-декларация за ДДС </w:t>
      </w:r>
    </w:p>
    <w:p w:rsidR="007B7F93" w:rsidRPr="00D540B1" w:rsidRDefault="007B7F93" w:rsidP="007B7F93">
      <w:pPr>
        <w:pStyle w:val="Dash1"/>
        <w:numPr>
          <w:ilvl w:val="0"/>
          <w:numId w:val="20"/>
        </w:numPr>
      </w:pPr>
      <w:r w:rsidRPr="00D540B1">
        <w:t>Предложение за директива на Съвета за изменение на Директива 2006/112/ЕО относно общата система на данъка върху добавената стойност по отношение на стандартната справка-декларация за ДДС</w:t>
      </w:r>
    </w:p>
    <w:p w:rsidR="007B7F93" w:rsidRPr="00D540B1" w:rsidRDefault="0060332A" w:rsidP="007B7F93">
      <w:pPr>
        <w:pStyle w:val="Dash2"/>
        <w:numPr>
          <w:ilvl w:val="0"/>
          <w:numId w:val="21"/>
        </w:numPr>
      </w:pPr>
      <w:r w:rsidRPr="00D540B1">
        <w:t>Ориентационен дебат</w:t>
      </w:r>
    </w:p>
    <w:p w:rsidR="007B7F93" w:rsidRPr="00D540B1" w:rsidRDefault="007B7F93" w:rsidP="007B7F93">
      <w:pPr>
        <w:pStyle w:val="PointManual"/>
        <w:spacing w:before="360"/>
      </w:pPr>
      <w:r w:rsidRPr="00D540B1">
        <w:t>—</w:t>
      </w:r>
      <w:r w:rsidRPr="00D540B1">
        <w:tab/>
        <w:t>Административно сътрудничество</w:t>
      </w:r>
    </w:p>
    <w:p w:rsidR="007B7F93" w:rsidRPr="00D540B1" w:rsidRDefault="007B7F93" w:rsidP="001130B7">
      <w:pPr>
        <w:pStyle w:val="Dash1"/>
        <w:numPr>
          <w:ilvl w:val="0"/>
          <w:numId w:val="20"/>
        </w:numPr>
      </w:pPr>
      <w:r w:rsidRPr="00D540B1">
        <w:t>Предложение за директива относно задължителния автоматичен обмен на информация в областта на трансграничните данъчни становища</w:t>
      </w:r>
    </w:p>
    <w:p w:rsidR="007B7F93" w:rsidRPr="00D540B1" w:rsidRDefault="007B7F93" w:rsidP="007B7F93">
      <w:pPr>
        <w:pStyle w:val="Dash2"/>
        <w:numPr>
          <w:ilvl w:val="0"/>
          <w:numId w:val="21"/>
        </w:numPr>
      </w:pPr>
      <w:r w:rsidRPr="00D540B1">
        <w:t>Актуално състояние</w:t>
      </w:r>
    </w:p>
    <w:p w:rsidR="007B7F93" w:rsidRPr="00D540B1" w:rsidRDefault="007B7F93" w:rsidP="007B7F93">
      <w:pPr>
        <w:pStyle w:val="PointManual"/>
        <w:spacing w:before="360"/>
      </w:pPr>
      <w:r w:rsidRPr="00D540B1">
        <w:t>—</w:t>
      </w:r>
      <w:r w:rsidRPr="00D540B1">
        <w:tab/>
        <w:t>Директива относно лихвите и авторските и лицензионните възнаграждения</w:t>
      </w:r>
    </w:p>
    <w:p w:rsidR="007B7F93" w:rsidRPr="00D540B1" w:rsidRDefault="007B7F93" w:rsidP="007B7F93">
      <w:pPr>
        <w:pStyle w:val="Dash1"/>
        <w:numPr>
          <w:ilvl w:val="0"/>
          <w:numId w:val="20"/>
        </w:numPr>
      </w:pPr>
      <w:r w:rsidRPr="00D540B1">
        <w:t>Предложение за директива на Съвета относно общата система на данъчно облагане на плащанията на лихви и авторски и лицензионни възнаграждения между свързани дружества от различни държави членки (преработка)</w:t>
      </w:r>
    </w:p>
    <w:p w:rsidR="007B7F93" w:rsidRPr="00D540B1" w:rsidRDefault="007B7F93" w:rsidP="007B7F93">
      <w:pPr>
        <w:pStyle w:val="Dash2"/>
        <w:numPr>
          <w:ilvl w:val="0"/>
          <w:numId w:val="21"/>
        </w:numPr>
      </w:pPr>
      <w:r w:rsidRPr="00D540B1">
        <w:t>Политическо споразумение</w:t>
      </w:r>
    </w:p>
    <w:p w:rsidR="007B7F93" w:rsidRPr="00D540B1" w:rsidRDefault="007B7F93" w:rsidP="007B7F93">
      <w:pPr>
        <w:pStyle w:val="PointManual"/>
        <w:spacing w:before="360"/>
        <w:rPr>
          <w:szCs w:val="20"/>
        </w:rPr>
      </w:pPr>
      <w:r w:rsidRPr="00D540B1">
        <w:t>—</w:t>
      </w:r>
      <w:r w:rsidRPr="00D540B1">
        <w:tab/>
        <w:t>План за инвестиции за Европа</w:t>
      </w:r>
    </w:p>
    <w:p w:rsidR="007B7F93" w:rsidRPr="00D540B1" w:rsidRDefault="007B7F93" w:rsidP="007B7F93">
      <w:pPr>
        <w:pStyle w:val="Dash1"/>
        <w:numPr>
          <w:ilvl w:val="0"/>
          <w:numId w:val="20"/>
        </w:numPr>
        <w:rPr>
          <w:szCs w:val="20"/>
        </w:rPr>
      </w:pPr>
      <w:r w:rsidRPr="00D540B1">
        <w:t xml:space="preserve">Предложение на Комисията за регламент на </w:t>
      </w:r>
      <w:proofErr w:type="spellStart"/>
      <w:r w:rsidRPr="00D540B1">
        <w:t>Eвропейския</w:t>
      </w:r>
      <w:proofErr w:type="spellEnd"/>
      <w:r w:rsidRPr="00D540B1">
        <w:t xml:space="preserve"> парламент и на Съвета относно Европейския фонд за стратегически инвестиции и за изменение на регламенти (ЕС) № 1291/2013 и (ЕС) № 1316/2013 </w:t>
      </w:r>
      <w:r w:rsidRPr="00D540B1">
        <w:rPr>
          <w:b/>
        </w:rPr>
        <w:t>(първо четене)</w:t>
      </w:r>
    </w:p>
    <w:p w:rsidR="007B7F93" w:rsidRPr="00D540B1" w:rsidRDefault="007B7F93" w:rsidP="007B7F93">
      <w:pPr>
        <w:pStyle w:val="Dash2"/>
        <w:numPr>
          <w:ilvl w:val="0"/>
          <w:numId w:val="21"/>
        </w:numPr>
        <w:rPr>
          <w:szCs w:val="20"/>
        </w:rPr>
      </w:pPr>
      <w:r w:rsidRPr="00D540B1">
        <w:t>Информация от председателството</w:t>
      </w:r>
    </w:p>
    <w:p w:rsidR="007B7F93" w:rsidRPr="00D540B1" w:rsidRDefault="007B7F93" w:rsidP="007B7F93">
      <w:pPr>
        <w:pStyle w:val="PointManual"/>
        <w:spacing w:before="360"/>
      </w:pPr>
      <w:r w:rsidRPr="00D540B1">
        <w:t>—</w:t>
      </w:r>
      <w:r w:rsidRPr="00D540B1">
        <w:tab/>
        <w:t>(евентуално) Структурна реформа в банковата сфера</w:t>
      </w:r>
    </w:p>
    <w:p w:rsidR="007B7F93" w:rsidRPr="00D540B1" w:rsidRDefault="007B7F93" w:rsidP="007B7F93">
      <w:pPr>
        <w:pStyle w:val="Dash1"/>
        <w:numPr>
          <w:ilvl w:val="0"/>
          <w:numId w:val="20"/>
        </w:numPr>
      </w:pPr>
      <w:r w:rsidRPr="00D540B1">
        <w:t xml:space="preserve">Предложение за регламент на Европейския парламент и на Съвета относно структурните мерки за повишаване на устойчивостта на кредитните институции в ЕС </w:t>
      </w:r>
      <w:r w:rsidRPr="00D540B1">
        <w:rPr>
          <w:b/>
        </w:rPr>
        <w:t>(първо четене)</w:t>
      </w:r>
    </w:p>
    <w:p w:rsidR="007B7F93" w:rsidRPr="00D540B1" w:rsidRDefault="007B7F93" w:rsidP="007B7F93">
      <w:pPr>
        <w:pStyle w:val="Dash2"/>
        <w:numPr>
          <w:ilvl w:val="0"/>
          <w:numId w:val="21"/>
        </w:numPr>
      </w:pPr>
      <w:r w:rsidRPr="00D540B1">
        <w:t>Общ подход</w:t>
      </w:r>
    </w:p>
    <w:p w:rsidR="007B7F93" w:rsidRPr="00D540B1" w:rsidRDefault="007B7F93" w:rsidP="007B7F93">
      <w:pPr>
        <w:pStyle w:val="PointManual"/>
        <w:spacing w:before="360"/>
      </w:pPr>
      <w:r w:rsidRPr="00D540B1">
        <w:t>—</w:t>
      </w:r>
      <w:r w:rsidRPr="00D540B1">
        <w:tab/>
        <w:t>Други въпроси</w:t>
      </w:r>
    </w:p>
    <w:p w:rsidR="007B7F93" w:rsidRPr="00D540B1" w:rsidRDefault="007B7F93" w:rsidP="007B7F93">
      <w:pPr>
        <w:pStyle w:val="Dash1"/>
        <w:numPr>
          <w:ilvl w:val="0"/>
          <w:numId w:val="20"/>
        </w:numPr>
      </w:pPr>
      <w:r w:rsidRPr="00D540B1">
        <w:t>Текущи законодателни предложения</w:t>
      </w:r>
    </w:p>
    <w:p w:rsidR="007B7F93" w:rsidRPr="00D540B1" w:rsidRDefault="007B7F93" w:rsidP="007B7F93">
      <w:pPr>
        <w:pStyle w:val="Dash2"/>
        <w:numPr>
          <w:ilvl w:val="0"/>
          <w:numId w:val="21"/>
        </w:numPr>
      </w:pPr>
      <w:r w:rsidRPr="00D540B1">
        <w:t>Информация от председателството</w:t>
      </w:r>
    </w:p>
    <w:p w:rsidR="007B7F93" w:rsidRPr="00D540B1" w:rsidRDefault="007B7F93" w:rsidP="007B7F93">
      <w:pPr>
        <w:pStyle w:val="Title"/>
      </w:pPr>
      <w:r w:rsidRPr="00D540B1">
        <w:t>Незаконодателни дейности</w:t>
      </w:r>
    </w:p>
    <w:p w:rsidR="007B7F93" w:rsidRPr="00D540B1" w:rsidRDefault="007B7F93" w:rsidP="007B7F93">
      <w:pPr>
        <w:pStyle w:val="PointManual"/>
        <w:spacing w:before="120"/>
      </w:pPr>
      <w:r w:rsidRPr="00D540B1">
        <w:t>—</w:t>
      </w:r>
      <w:r w:rsidRPr="00D540B1">
        <w:tab/>
        <w:t>Одобряване на списъка на точки А</w:t>
      </w:r>
    </w:p>
    <w:p w:rsidR="007B7F93" w:rsidRPr="00D540B1" w:rsidRDefault="007B7F93" w:rsidP="007B7F93">
      <w:pPr>
        <w:pStyle w:val="PointManual"/>
        <w:spacing w:before="360"/>
      </w:pPr>
      <w:bookmarkStart w:id="1" w:name="_Toc309385852"/>
      <w:bookmarkStart w:id="2" w:name="_Toc309385762"/>
      <w:r w:rsidRPr="00D540B1">
        <w:t>—</w:t>
      </w:r>
      <w:r w:rsidRPr="00D540B1">
        <w:tab/>
        <w:t>Изграждане на банковия съюз</w:t>
      </w:r>
    </w:p>
    <w:p w:rsidR="007B7F93" w:rsidRPr="00D540B1" w:rsidRDefault="007B7F93" w:rsidP="007B7F93">
      <w:pPr>
        <w:pStyle w:val="Dash1"/>
        <w:numPr>
          <w:ilvl w:val="0"/>
          <w:numId w:val="20"/>
        </w:numPr>
      </w:pPr>
      <w:r w:rsidRPr="00D540B1">
        <w:t>Актуално състояние</w:t>
      </w:r>
    </w:p>
    <w:p w:rsidR="007B7F93" w:rsidRPr="00D540B1" w:rsidRDefault="007B7F93" w:rsidP="007B7F93">
      <w:pPr>
        <w:pStyle w:val="PointManual"/>
        <w:spacing w:before="360"/>
      </w:pPr>
      <w:r w:rsidRPr="00D540B1">
        <w:t>—</w:t>
      </w:r>
      <w:r w:rsidRPr="00D540B1">
        <w:tab/>
        <w:t>Съюз на капиталовите пазари</w:t>
      </w:r>
    </w:p>
    <w:p w:rsidR="007B7F93" w:rsidRPr="00D540B1" w:rsidRDefault="007B7F93" w:rsidP="007B7F93">
      <w:pPr>
        <w:pStyle w:val="Dash1"/>
        <w:numPr>
          <w:ilvl w:val="0"/>
          <w:numId w:val="20"/>
        </w:numPr>
      </w:pPr>
      <w:r w:rsidRPr="00D540B1">
        <w:t>Приемане на заключения на Съвета</w:t>
      </w:r>
    </w:p>
    <w:p w:rsidR="007B7F93" w:rsidRPr="00D540B1" w:rsidRDefault="007B7F93" w:rsidP="007B7F93">
      <w:pPr>
        <w:pStyle w:val="PointManual"/>
        <w:spacing w:before="360"/>
      </w:pPr>
      <w:r w:rsidRPr="00D540B1">
        <w:t>—</w:t>
      </w:r>
      <w:r w:rsidRPr="00D540B1">
        <w:tab/>
        <w:t>(евентуално) Доклад от Съвета по икономически и финансови въпроси до Европейския съвет относно данъчните въпроси</w:t>
      </w:r>
    </w:p>
    <w:p w:rsidR="007B7F93" w:rsidRPr="00D540B1" w:rsidRDefault="007B7F93" w:rsidP="007B7F93">
      <w:pPr>
        <w:pStyle w:val="Dash1"/>
        <w:numPr>
          <w:ilvl w:val="0"/>
          <w:numId w:val="20"/>
        </w:numPr>
      </w:pPr>
      <w:r w:rsidRPr="00D540B1">
        <w:t>Одобряване</w:t>
      </w:r>
    </w:p>
    <w:p w:rsidR="007B7F93" w:rsidRPr="00D540B1" w:rsidRDefault="007B7F93" w:rsidP="007B7F93">
      <w:pPr>
        <w:pStyle w:val="PointManual"/>
        <w:spacing w:before="360"/>
      </w:pPr>
      <w:r w:rsidRPr="00D540B1">
        <w:br w:type="page"/>
      </w:r>
      <w:r w:rsidRPr="00D540B1">
        <w:lastRenderedPageBreak/>
        <w:t>—</w:t>
      </w:r>
      <w:r w:rsidRPr="00D540B1">
        <w:tab/>
        <w:t>(евентуално) Доклад от министрите на финансите относно данъчните въпроси в рамките на пакта „Евро плюс“</w:t>
      </w:r>
    </w:p>
    <w:p w:rsidR="007B7F93" w:rsidRPr="00D540B1" w:rsidRDefault="007B7F93" w:rsidP="007B7F93">
      <w:pPr>
        <w:pStyle w:val="Dash1"/>
        <w:numPr>
          <w:ilvl w:val="0"/>
          <w:numId w:val="20"/>
        </w:numPr>
      </w:pPr>
      <w:r w:rsidRPr="00D540B1">
        <w:t>Одобряване</w:t>
      </w:r>
    </w:p>
    <w:p w:rsidR="007B7F93" w:rsidRPr="00D540B1" w:rsidRDefault="007B7F93" w:rsidP="007B7F93">
      <w:pPr>
        <w:pStyle w:val="PointManual"/>
        <w:spacing w:before="360"/>
      </w:pPr>
      <w:r w:rsidRPr="00D540B1">
        <w:t>—</w:t>
      </w:r>
      <w:r w:rsidRPr="00D540B1">
        <w:tab/>
        <w:t>(евентуално) Кодекс за поведение (Данъчно облагане на предприятия)</w:t>
      </w:r>
    </w:p>
    <w:p w:rsidR="007B7F93" w:rsidRPr="00D540B1" w:rsidRDefault="007B7F93" w:rsidP="007B7F93">
      <w:pPr>
        <w:pStyle w:val="Dash1"/>
        <w:numPr>
          <w:ilvl w:val="0"/>
          <w:numId w:val="20"/>
        </w:numPr>
      </w:pPr>
      <w:r w:rsidRPr="00D540B1">
        <w:t>Доклад до Съвета</w:t>
      </w:r>
    </w:p>
    <w:p w:rsidR="007B7F93" w:rsidRPr="00D540B1" w:rsidRDefault="007B7F93" w:rsidP="007B7F93">
      <w:pPr>
        <w:pStyle w:val="Dash1"/>
        <w:numPr>
          <w:ilvl w:val="0"/>
          <w:numId w:val="20"/>
        </w:numPr>
      </w:pPr>
      <w:r w:rsidRPr="00D540B1">
        <w:t>Проект за заключения на Съвета</w:t>
      </w:r>
    </w:p>
    <w:p w:rsidR="007B7F93" w:rsidRPr="00D540B1" w:rsidRDefault="007B7F93" w:rsidP="007B7F93">
      <w:pPr>
        <w:pStyle w:val="Dash2"/>
        <w:numPr>
          <w:ilvl w:val="0"/>
          <w:numId w:val="21"/>
        </w:numPr>
      </w:pPr>
      <w:r w:rsidRPr="00D540B1">
        <w:t>Одобряване</w:t>
      </w:r>
    </w:p>
    <w:p w:rsidR="007B7F93" w:rsidRPr="00D540B1" w:rsidRDefault="007B7F93" w:rsidP="007B7F93">
      <w:pPr>
        <w:pStyle w:val="PointManual"/>
        <w:spacing w:before="360"/>
      </w:pPr>
      <w:r w:rsidRPr="00D540B1">
        <w:t>—</w:t>
      </w:r>
      <w:r w:rsidRPr="00D540B1">
        <w:tab/>
        <w:t>Принос към заседанието на Европейския съвет на 25—26 юни 2015 г.</w:t>
      </w:r>
    </w:p>
    <w:p w:rsidR="007B7F93" w:rsidRPr="00D540B1" w:rsidRDefault="007B7F93" w:rsidP="007B7F93">
      <w:pPr>
        <w:pStyle w:val="PointManual1"/>
        <w:spacing w:before="120"/>
      </w:pPr>
      <w:r w:rsidRPr="00D540B1">
        <w:t>а)</w:t>
      </w:r>
      <w:r w:rsidRPr="00D540B1">
        <w:tab/>
        <w:t>Европейски семестър 2015 г.:</w:t>
      </w:r>
    </w:p>
    <w:p w:rsidR="007B7F93" w:rsidRPr="00D540B1" w:rsidRDefault="007B7F93" w:rsidP="007B7F93">
      <w:pPr>
        <w:pStyle w:val="PointManual2"/>
      </w:pPr>
      <w:r w:rsidRPr="00D540B1">
        <w:t>i)</w:t>
      </w:r>
      <w:r w:rsidRPr="00D540B1">
        <w:tab/>
        <w:t>Проекти за препоръки на Съвета относно националните програми за реформи за 2015 г. на всяка държава членка и проекти за становища на Съвета относно актуализираните програми за стабилност или за конвергенция</w:t>
      </w:r>
    </w:p>
    <w:p w:rsidR="007B7F93" w:rsidRPr="00D540B1" w:rsidRDefault="007B7F93" w:rsidP="007B7F93">
      <w:pPr>
        <w:pStyle w:val="Dash3"/>
      </w:pPr>
      <w:r w:rsidRPr="00D540B1">
        <w:t>Одобряване</w:t>
      </w:r>
    </w:p>
    <w:p w:rsidR="007B7F93" w:rsidRPr="00D540B1" w:rsidRDefault="007B7F93" w:rsidP="007B7F93">
      <w:pPr>
        <w:pStyle w:val="PointManual2"/>
      </w:pPr>
      <w:r w:rsidRPr="00D540B1">
        <w:t>ii)</w:t>
      </w:r>
      <w:r w:rsidRPr="00D540B1">
        <w:tab/>
        <w:t>Проект за препоръка на Съвета относно прилагането на общите насоки за икономическите политики на държавите членки, чиято парична единица е еврото</w:t>
      </w:r>
    </w:p>
    <w:p w:rsidR="007B7F93" w:rsidRPr="00D540B1" w:rsidRDefault="007B7F93" w:rsidP="007B7F93">
      <w:pPr>
        <w:pStyle w:val="Dash3"/>
      </w:pPr>
      <w:r w:rsidRPr="00D540B1">
        <w:tab/>
        <w:t>Одобряване</w:t>
      </w:r>
    </w:p>
    <w:p w:rsidR="007B7F93" w:rsidRPr="00D540B1" w:rsidRDefault="007B7F93" w:rsidP="007B7F93">
      <w:pPr>
        <w:pStyle w:val="PointManual1"/>
        <w:spacing w:before="120"/>
      </w:pPr>
      <w:r w:rsidRPr="00D540B1">
        <w:t xml:space="preserve">б) </w:t>
      </w:r>
      <w:r w:rsidRPr="00D540B1">
        <w:tab/>
        <w:t>Доклад относно подготовката за следващите стъпки към по-добро икономическо управление в еврозоната</w:t>
      </w:r>
    </w:p>
    <w:p w:rsidR="007B7F93" w:rsidRPr="00D540B1" w:rsidRDefault="007B7F93" w:rsidP="007B7F93">
      <w:pPr>
        <w:pStyle w:val="Dash2"/>
      </w:pPr>
      <w:r w:rsidRPr="00D540B1">
        <w:t>Обмен на мнения</w:t>
      </w:r>
    </w:p>
    <w:p w:rsidR="007B7F93" w:rsidRPr="00D540B1" w:rsidRDefault="007B7F93" w:rsidP="007B7F93">
      <w:pPr>
        <w:pStyle w:val="PointManual"/>
        <w:spacing w:before="360"/>
      </w:pPr>
      <w:r w:rsidRPr="00D540B1">
        <w:t>—</w:t>
      </w:r>
      <w:r w:rsidRPr="00D540B1">
        <w:tab/>
        <w:t>Общи насоки на икономическите политики</w:t>
      </w:r>
    </w:p>
    <w:p w:rsidR="007B7F93" w:rsidRPr="00D540B1" w:rsidRDefault="007B7F93" w:rsidP="007B7F93">
      <w:pPr>
        <w:pStyle w:val="Dash1"/>
        <w:numPr>
          <w:ilvl w:val="0"/>
          <w:numId w:val="20"/>
        </w:numPr>
      </w:pPr>
      <w:r w:rsidRPr="00D540B1">
        <w:t>Доклад до Европейския съвет</w:t>
      </w:r>
    </w:p>
    <w:p w:rsidR="007B7F93" w:rsidRPr="00D540B1" w:rsidRDefault="007B7F93" w:rsidP="007B7F93">
      <w:pPr>
        <w:pStyle w:val="PointManual"/>
        <w:spacing w:before="360"/>
      </w:pPr>
      <w:r w:rsidRPr="00D540B1">
        <w:t>—</w:t>
      </w:r>
      <w:r w:rsidRPr="00D540B1">
        <w:tab/>
        <w:t>Прилагане на Пакта за стабилност и растеж (*)</w:t>
      </w:r>
    </w:p>
    <w:p w:rsidR="007B7F93" w:rsidRPr="00D540B1" w:rsidRDefault="007B7F93" w:rsidP="007B7F93">
      <w:pPr>
        <w:pStyle w:val="Dash1"/>
        <w:numPr>
          <w:ilvl w:val="0"/>
          <w:numId w:val="20"/>
        </w:numPr>
      </w:pPr>
      <w:r w:rsidRPr="00D540B1">
        <w:t>Приемане на решението / препоръката на Съвета</w:t>
      </w:r>
    </w:p>
    <w:p w:rsidR="007B7F93" w:rsidRPr="00D540B1" w:rsidRDefault="007B7F93" w:rsidP="007B7F93">
      <w:pPr>
        <w:pStyle w:val="PointManual"/>
        <w:spacing w:before="360"/>
      </w:pPr>
      <w:r w:rsidRPr="00D540B1">
        <w:t>—</w:t>
      </w:r>
      <w:r w:rsidRPr="00D540B1">
        <w:tab/>
        <w:t>Други въпроси</w:t>
      </w:r>
    </w:p>
    <w:p w:rsidR="007B7F93" w:rsidRPr="00D540B1" w:rsidRDefault="007B7F93" w:rsidP="00E435EA">
      <w:pPr>
        <w:spacing w:before="960"/>
      </w:pPr>
      <w:r w:rsidRPr="00D540B1">
        <w:t>____________________</w:t>
      </w:r>
    </w:p>
    <w:p w:rsidR="007B7F93" w:rsidRPr="00D540B1" w:rsidRDefault="007B7F93" w:rsidP="00E435EA">
      <w:pPr>
        <w:spacing w:before="40"/>
      </w:pPr>
      <w:r w:rsidRPr="00D540B1">
        <w:t>(*)</w:t>
      </w:r>
      <w:r w:rsidRPr="00D540B1">
        <w:tab/>
        <w:t>Точка, по която може да бъде поискано гласуване</w:t>
      </w:r>
    </w:p>
    <w:bookmarkEnd w:id="1"/>
    <w:bookmarkEnd w:id="2"/>
    <w:p w:rsidR="007B7F93" w:rsidRPr="00D540B1" w:rsidRDefault="007B7F93" w:rsidP="007B7F93">
      <w:pPr>
        <w:spacing w:before="720"/>
        <w:jc w:val="center"/>
        <w:rPr>
          <w:snapToGrid w:val="0"/>
        </w:rPr>
      </w:pPr>
      <w:r w:rsidRPr="00D540B1">
        <w:t>o</w:t>
      </w:r>
    </w:p>
    <w:p w:rsidR="007B7F93" w:rsidRPr="00D540B1" w:rsidRDefault="007B7F93" w:rsidP="007B7F93">
      <w:pPr>
        <w:spacing w:before="120"/>
        <w:jc w:val="center"/>
        <w:rPr>
          <w:snapToGrid w:val="0"/>
        </w:rPr>
      </w:pPr>
      <w:r w:rsidRPr="00D540B1">
        <w:t>o</w:t>
      </w:r>
      <w:r w:rsidRPr="00D540B1">
        <w:tab/>
      </w:r>
      <w:proofErr w:type="spellStart"/>
      <w:r w:rsidRPr="00D540B1">
        <w:t>o</w:t>
      </w:r>
      <w:proofErr w:type="spellEnd"/>
    </w:p>
    <w:p w:rsidR="007B7F93" w:rsidRPr="00D540B1" w:rsidRDefault="007B7F93" w:rsidP="007B7F93">
      <w:pPr>
        <w:spacing w:before="200"/>
        <w:rPr>
          <w:b/>
          <w:bCs/>
        </w:rPr>
      </w:pPr>
      <w:r w:rsidRPr="00D540B1">
        <w:br w:type="page"/>
      </w:r>
      <w:r w:rsidRPr="00D540B1">
        <w:rPr>
          <w:b/>
        </w:rPr>
        <w:lastRenderedPageBreak/>
        <w:t>p.m.:</w:t>
      </w:r>
    </w:p>
    <w:p w:rsidR="007B7F93" w:rsidRPr="00D540B1" w:rsidRDefault="007B7F93" w:rsidP="007B7F93">
      <w:pPr>
        <w:spacing w:before="240"/>
        <w:rPr>
          <w:b/>
          <w:u w:val="single"/>
        </w:rPr>
      </w:pPr>
      <w:r w:rsidRPr="00D540B1">
        <w:rPr>
          <w:b/>
          <w:u w:val="single"/>
        </w:rPr>
        <w:t>Четвъртък, 18 юни 2015 г.</w:t>
      </w:r>
    </w:p>
    <w:p w:rsidR="007B7F93" w:rsidRPr="00D540B1" w:rsidRDefault="007B7F93" w:rsidP="007B7F93">
      <w:pPr>
        <w:spacing w:before="200"/>
        <w:ind w:left="1134" w:hanging="1134"/>
        <w:rPr>
          <w:bCs/>
        </w:rPr>
      </w:pPr>
      <w:r w:rsidRPr="00D540B1">
        <w:t>15,00 ч.</w:t>
      </w:r>
      <w:r w:rsidRPr="00D540B1">
        <w:tab/>
      </w:r>
      <w:proofErr w:type="spellStart"/>
      <w:r w:rsidRPr="00D540B1">
        <w:t>Еврогрупа</w:t>
      </w:r>
      <w:proofErr w:type="spellEnd"/>
    </w:p>
    <w:p w:rsidR="007B7F93" w:rsidRPr="00D540B1" w:rsidRDefault="007B7F93" w:rsidP="007B7F93">
      <w:pPr>
        <w:spacing w:before="240"/>
        <w:ind w:left="1134" w:hanging="1134"/>
        <w:rPr>
          <w:b/>
          <w:bCs/>
          <w:u w:val="single"/>
        </w:rPr>
      </w:pPr>
      <w:r w:rsidRPr="00D540B1">
        <w:rPr>
          <w:b/>
          <w:u w:val="single"/>
        </w:rPr>
        <w:t>Петък, 19 юни 2015 г.</w:t>
      </w:r>
    </w:p>
    <w:p w:rsidR="007B7F93" w:rsidRPr="00D540B1" w:rsidRDefault="007B7F93" w:rsidP="007B7F93">
      <w:pPr>
        <w:spacing w:before="200"/>
        <w:ind w:left="1134" w:hanging="1134"/>
      </w:pPr>
      <w:r w:rsidRPr="00D540B1">
        <w:t>08,30 ч.</w:t>
      </w:r>
      <w:r w:rsidRPr="00D540B1">
        <w:tab/>
        <w:t>Годишно заседание на Съвета на гуверньорите на ЕИБ</w:t>
      </w:r>
    </w:p>
    <w:p w:rsidR="007B7F93" w:rsidRPr="00D540B1" w:rsidRDefault="00EF0426" w:rsidP="007B7F93">
      <w:pPr>
        <w:spacing w:before="200"/>
        <w:ind w:left="1134" w:hanging="1134"/>
      </w:pPr>
      <w:r w:rsidRPr="00D540B1">
        <w:t>09,30 ч.</w:t>
      </w:r>
      <w:r w:rsidRPr="00D540B1">
        <w:tab/>
        <w:t>Закуска</w:t>
      </w:r>
    </w:p>
    <w:p w:rsidR="007B7F93" w:rsidRPr="00D540B1" w:rsidRDefault="007B7F93" w:rsidP="004F1DF6">
      <w:pPr>
        <w:spacing w:before="200"/>
        <w:ind w:left="1134" w:hanging="1134"/>
      </w:pPr>
      <w:r w:rsidRPr="00D540B1">
        <w:t>10,30 ч.</w:t>
      </w:r>
      <w:r w:rsidRPr="00D540B1">
        <w:tab/>
        <w:t>Съвет (Икономически и финансови въпроси)</w:t>
      </w:r>
    </w:p>
    <w:p w:rsidR="001E4E01" w:rsidRPr="00D540B1" w:rsidRDefault="001E4E01" w:rsidP="007B7F93">
      <w:pPr>
        <w:pStyle w:val="FinalLine"/>
        <w:spacing w:before="720"/>
      </w:pPr>
    </w:p>
    <w:p w:rsidR="001E4E01" w:rsidRPr="00E90CE6" w:rsidRDefault="00C06F88" w:rsidP="00C06F88">
      <w:pPr>
        <w:pStyle w:val="NB"/>
        <w:rPr>
          <w:b/>
          <w:bCs/>
          <w:i/>
          <w:iCs/>
        </w:rPr>
      </w:pPr>
      <w:r w:rsidRPr="00E90CE6">
        <w:rPr>
          <w:b/>
          <w:bCs/>
          <w:i/>
          <w:iCs/>
        </w:rPr>
        <w:t>NB:</w:t>
      </w:r>
      <w:r w:rsidRPr="00E90CE6">
        <w:rPr>
          <w:b/>
          <w:bCs/>
          <w:i/>
          <w:iCs/>
        </w:rPr>
        <w:tab/>
        <w:t xml:space="preserve">Моля изпратете до служба „Протокол“ във възможно най-кратък срок списък на делегатите, които ще участват в заседанието, на адрес </w:t>
      </w:r>
      <w:proofErr w:type="spellStart"/>
      <w:r w:rsidRPr="00E90CE6">
        <w:rPr>
          <w:b/>
          <w:bCs/>
          <w:i/>
          <w:iCs/>
        </w:rPr>
        <w:t>protocole</w:t>
      </w:r>
      <w:proofErr w:type="spellEnd"/>
      <w:r w:rsidRPr="00E90CE6">
        <w:rPr>
          <w:b/>
          <w:bCs/>
          <w:i/>
          <w:iCs/>
        </w:rPr>
        <w:t>.</w:t>
      </w:r>
      <w:proofErr w:type="spellStart"/>
      <w:r w:rsidRPr="00E90CE6">
        <w:rPr>
          <w:b/>
          <w:bCs/>
          <w:i/>
          <w:iCs/>
        </w:rPr>
        <w:t>participants@consilium</w:t>
      </w:r>
      <w:proofErr w:type="spellEnd"/>
      <w:r w:rsidRPr="00E90CE6">
        <w:rPr>
          <w:b/>
          <w:bCs/>
          <w:i/>
          <w:iCs/>
        </w:rPr>
        <w:t>.</w:t>
      </w:r>
      <w:proofErr w:type="spellStart"/>
      <w:r w:rsidRPr="00E90CE6">
        <w:rPr>
          <w:b/>
          <w:bCs/>
          <w:i/>
          <w:iCs/>
        </w:rPr>
        <w:t>europa</w:t>
      </w:r>
      <w:proofErr w:type="spellEnd"/>
      <w:r w:rsidRPr="00E90CE6">
        <w:rPr>
          <w:b/>
          <w:bCs/>
          <w:i/>
          <w:iCs/>
        </w:rPr>
        <w:t>.</w:t>
      </w:r>
      <w:proofErr w:type="spellStart"/>
      <w:r w:rsidRPr="00E90CE6">
        <w:rPr>
          <w:b/>
          <w:bCs/>
          <w:i/>
          <w:iCs/>
        </w:rPr>
        <w:t>eu</w:t>
      </w:r>
      <w:proofErr w:type="spellEnd"/>
      <w:r w:rsidRPr="00E90CE6">
        <w:rPr>
          <w:b/>
          <w:bCs/>
          <w:i/>
          <w:iCs/>
        </w:rPr>
        <w:t>.</w:t>
      </w:r>
    </w:p>
    <w:p w:rsidR="00FC4670" w:rsidRPr="00E90CE6" w:rsidRDefault="00C06F88" w:rsidP="00C06F88">
      <w:pPr>
        <w:pStyle w:val="NB"/>
        <w:rPr>
          <w:b/>
          <w:bCs/>
          <w:i/>
          <w:iCs/>
        </w:rPr>
      </w:pPr>
      <w:r w:rsidRPr="00E90CE6">
        <w:rPr>
          <w:b/>
          <w:bCs/>
          <w:i/>
          <w:iCs/>
        </w:rPr>
        <w:t>NB:</w:t>
      </w:r>
      <w:r w:rsidRPr="00E90CE6">
        <w:rPr>
          <w:b/>
          <w:bCs/>
          <w:i/>
          <w:iCs/>
        </w:rPr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</w:t>
      </w:r>
      <w:bookmarkStart w:id="3" w:name="_GoBack"/>
      <w:bookmarkEnd w:id="3"/>
      <w:r w:rsidRPr="00E90CE6">
        <w:rPr>
          <w:b/>
          <w:bCs/>
          <w:i/>
          <w:iCs/>
        </w:rPr>
        <w:t>ачина за получаването им.</w:t>
      </w:r>
    </w:p>
    <w:sectPr w:rsidR="00FC4670" w:rsidRPr="00E90CE6" w:rsidSect="00D540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E01" w:rsidRDefault="001E4E01" w:rsidP="001E4E01">
      <w:r>
        <w:separator/>
      </w:r>
    </w:p>
  </w:endnote>
  <w:endnote w:type="continuationSeparator" w:id="0">
    <w:p w:rsidR="001E4E01" w:rsidRDefault="001E4E01" w:rsidP="001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21" w:rsidRPr="00D540B1" w:rsidRDefault="00EE0521" w:rsidP="00D540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540B1" w:rsidRPr="00D94637" w:rsidTr="00D540B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540B1" w:rsidRPr="00D94637" w:rsidRDefault="00D540B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D540B1" w:rsidRPr="00B310DC" w:rsidTr="00D540B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540B1" w:rsidRPr="00AD7BF2" w:rsidRDefault="00D540B1" w:rsidP="004F54B2">
          <w:pPr>
            <w:pStyle w:val="FooterText"/>
          </w:pPr>
          <w:r>
            <w:t>CM 2904/15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540B1" w:rsidRPr="00AD7BF2" w:rsidRDefault="00D540B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540B1" w:rsidRPr="002511D8" w:rsidRDefault="00D540B1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540B1" w:rsidRPr="00B310DC" w:rsidRDefault="00D540B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90CE6">
            <w:rPr>
              <w:noProof/>
            </w:rPr>
            <w:t>4</w:t>
          </w:r>
          <w:r>
            <w:fldChar w:fldCharType="end"/>
          </w:r>
        </w:p>
      </w:tc>
    </w:tr>
    <w:tr w:rsidR="00D540B1" w:rsidRPr="00D94637" w:rsidTr="00D540B1">
      <w:trPr>
        <w:jc w:val="center"/>
      </w:trPr>
      <w:tc>
        <w:tcPr>
          <w:tcW w:w="1774" w:type="pct"/>
          <w:shd w:val="clear" w:color="auto" w:fill="auto"/>
        </w:tcPr>
        <w:p w:rsidR="00D540B1" w:rsidRPr="00AD7BF2" w:rsidRDefault="00D540B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540B1" w:rsidRPr="00AD7BF2" w:rsidRDefault="00D540B1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D540B1" w:rsidRPr="00D94637" w:rsidRDefault="00D540B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540B1" w:rsidRPr="00D94637" w:rsidRDefault="00D540B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4"/>
  </w:tbl>
  <w:p w:rsidR="001E4E01" w:rsidRPr="00D540B1" w:rsidRDefault="001E4E01" w:rsidP="00D540B1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540B1" w:rsidRPr="00D94637" w:rsidTr="00D540B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540B1" w:rsidRPr="00D94637" w:rsidRDefault="00D540B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D540B1" w:rsidRPr="00B310DC" w:rsidTr="00D540B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540B1" w:rsidRPr="00AD7BF2" w:rsidRDefault="00D540B1" w:rsidP="004F54B2">
          <w:pPr>
            <w:pStyle w:val="FooterText"/>
          </w:pPr>
          <w:r>
            <w:t>CM 2904/15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540B1" w:rsidRPr="00AD7BF2" w:rsidRDefault="00D540B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540B1" w:rsidRPr="002511D8" w:rsidRDefault="00D540B1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540B1" w:rsidRPr="00B310DC" w:rsidRDefault="00D540B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90CE6">
            <w:rPr>
              <w:noProof/>
            </w:rPr>
            <w:t>1</w:t>
          </w:r>
          <w:r>
            <w:fldChar w:fldCharType="end"/>
          </w:r>
        </w:p>
      </w:tc>
    </w:tr>
    <w:tr w:rsidR="00D540B1" w:rsidRPr="00D94637" w:rsidTr="00D540B1">
      <w:trPr>
        <w:jc w:val="center"/>
      </w:trPr>
      <w:tc>
        <w:tcPr>
          <w:tcW w:w="1774" w:type="pct"/>
          <w:shd w:val="clear" w:color="auto" w:fill="auto"/>
        </w:tcPr>
        <w:p w:rsidR="00D540B1" w:rsidRPr="00AD7BF2" w:rsidRDefault="00D540B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540B1" w:rsidRPr="00AD7BF2" w:rsidRDefault="00D540B1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D540B1" w:rsidRPr="00D94637" w:rsidRDefault="00D540B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540B1" w:rsidRPr="00D94637" w:rsidRDefault="00D540B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1E4E01" w:rsidRPr="00D540B1" w:rsidRDefault="001E4E01" w:rsidP="00D540B1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E01" w:rsidRDefault="001E4E01" w:rsidP="001E4E01">
      <w:r>
        <w:separator/>
      </w:r>
    </w:p>
  </w:footnote>
  <w:footnote w:type="continuationSeparator" w:id="0">
    <w:p w:rsidR="001E4E01" w:rsidRDefault="001E4E01" w:rsidP="001E4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21" w:rsidRPr="00D540B1" w:rsidRDefault="00EE0521" w:rsidP="00D540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21" w:rsidRPr="00D540B1" w:rsidRDefault="00EE0521" w:rsidP="00D540B1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21" w:rsidRPr="00D540B1" w:rsidRDefault="00EE0521" w:rsidP="00D540B1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9AA5C63"/>
    <w:multiLevelType w:val="singleLevel"/>
    <w:tmpl w:val="F8B4BAC6"/>
    <w:lvl w:ilvl="0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8">
    <w:nsid w:val="6C0B397A"/>
    <w:multiLevelType w:val="singleLevel"/>
    <w:tmpl w:val="39D2B61E"/>
    <w:lvl w:ilvl="0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9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0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1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2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3"/>
  </w:num>
  <w:num w:numId="2">
    <w:abstractNumId w:val="21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2"/>
  </w:num>
  <w:num w:numId="8">
    <w:abstractNumId w:val="14"/>
  </w:num>
  <w:num w:numId="9">
    <w:abstractNumId w:val="17"/>
  </w:num>
  <w:num w:numId="10">
    <w:abstractNumId w:val="11"/>
  </w:num>
  <w:num w:numId="11">
    <w:abstractNumId w:val="1"/>
  </w:num>
  <w:num w:numId="12">
    <w:abstractNumId w:val="19"/>
  </w:num>
  <w:num w:numId="13">
    <w:abstractNumId w:val="10"/>
  </w:num>
  <w:num w:numId="14">
    <w:abstractNumId w:val="5"/>
  </w:num>
  <w:num w:numId="15">
    <w:abstractNumId w:val="20"/>
  </w:num>
  <w:num w:numId="16">
    <w:abstractNumId w:val="7"/>
  </w:num>
  <w:num w:numId="17">
    <w:abstractNumId w:val="0"/>
  </w:num>
  <w:num w:numId="18">
    <w:abstractNumId w:val="2"/>
  </w:num>
  <w:num w:numId="19">
    <w:abstractNumId w:val="8"/>
  </w:num>
  <w:num w:numId="20">
    <w:abstractNumId w:val="9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d297a531-654b-4bc5-99c6-627cd5146151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6-04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2904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ECOFIN&lt;/text&gt;_x000d__x000a_    &lt;/textlist&gt;_x000d__x000a_  &lt;/metadata&gt;_x000d__x000a_  &lt;metadata key=&quot;md_Contact&quot; translate=&quot;false&quot;&gt;_x000d__x000a_    &lt;text&gt;Mr Hans GILBERS_x000d__x000a_hans.gilbers@consilium.europa.eu&lt;/text&gt;_x000d__x000a_  &lt;/metadata&gt;_x000d__x000a_  &lt;metadata key=&quot;md_ContactPhoneFax&quot; translate=&quot;false&quot;&gt;_x000d__x000a_    &lt;text&gt;+32.2-281.9891/6685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9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8;&amp;#1082;&amp;#1086;&amp;#1085;&amp;#1086;&amp;#1084;&amp;#1080;&amp;#1095;&amp;#1077;&amp;#1089;&amp;#1082;&amp;#1080; &amp;#1080; &amp;#1092;&amp;#1080;&amp;#1085;&amp;#1072;&amp;#1085;&amp;#1089;&amp;#1086;&amp;#1074;&amp;#1080; &amp;#1074;&amp;#1098;&amp;#1087;&amp;#1088;&amp;#1086;&amp;#1089;&amp;#1080;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3399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8;&amp;#1082;&amp;#1086;&amp;#1085;&amp;#1086;&amp;#1084;&amp;#1080;&amp;#1095;&amp;#1077;&amp;#1089;&amp;#1082;&amp;#1080; &amp;#1080; &amp;#1092;&amp;#1080;&amp;#1085;&amp;#1072;&amp;#1085;&amp;#1089;&amp;#1086;&amp;#1074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06-19T10:3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1E4E01"/>
    <w:rsid w:val="00010C1D"/>
    <w:rsid w:val="0009656C"/>
    <w:rsid w:val="001130B7"/>
    <w:rsid w:val="00165755"/>
    <w:rsid w:val="00182F2F"/>
    <w:rsid w:val="001C1958"/>
    <w:rsid w:val="001E4E01"/>
    <w:rsid w:val="00213F1F"/>
    <w:rsid w:val="002A2AE8"/>
    <w:rsid w:val="003C6E8B"/>
    <w:rsid w:val="004F1DF6"/>
    <w:rsid w:val="005157F5"/>
    <w:rsid w:val="0060332A"/>
    <w:rsid w:val="0063379B"/>
    <w:rsid w:val="006A38C5"/>
    <w:rsid w:val="006C1AD4"/>
    <w:rsid w:val="006E33E2"/>
    <w:rsid w:val="006F4741"/>
    <w:rsid w:val="0075756A"/>
    <w:rsid w:val="007B7F93"/>
    <w:rsid w:val="00825503"/>
    <w:rsid w:val="008826F8"/>
    <w:rsid w:val="00A469D7"/>
    <w:rsid w:val="00B14919"/>
    <w:rsid w:val="00BE1373"/>
    <w:rsid w:val="00C06F88"/>
    <w:rsid w:val="00D451E4"/>
    <w:rsid w:val="00D540B1"/>
    <w:rsid w:val="00DE1297"/>
    <w:rsid w:val="00E435EA"/>
    <w:rsid w:val="00E90CE6"/>
    <w:rsid w:val="00EE0521"/>
    <w:rsid w:val="00EF0426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540B1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E4E01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1E4E01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1E4E01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1E4E01"/>
  </w:style>
  <w:style w:type="character" w:customStyle="1" w:styleId="TitleChar">
    <w:name w:val="Title Char"/>
    <w:basedOn w:val="DefaultParagraphFont"/>
    <w:link w:val="Title"/>
    <w:rsid w:val="007B7F93"/>
    <w:rPr>
      <w:b/>
      <w:bCs/>
      <w:i/>
      <w:sz w:val="24"/>
      <w:szCs w:val="32"/>
      <w:u w:val="single"/>
      <w:lang w:val="bg-BG" w:eastAsia="bg-BG"/>
    </w:rPr>
  </w:style>
  <w:style w:type="character" w:customStyle="1" w:styleId="PointManualChar">
    <w:name w:val="Point Manual Char"/>
    <w:link w:val="PointManual"/>
    <w:rsid w:val="007B7F93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2A"/>
    <w:rPr>
      <w:rFonts w:ascii="Tahoma" w:hAnsi="Tahoma" w:cs="Tahoma"/>
      <w:sz w:val="16"/>
      <w:szCs w:val="16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540B1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E4E01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1E4E01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1E4E01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1E4E01"/>
  </w:style>
  <w:style w:type="character" w:customStyle="1" w:styleId="TitleChar">
    <w:name w:val="Title Char"/>
    <w:basedOn w:val="DefaultParagraphFont"/>
    <w:link w:val="Title"/>
    <w:rsid w:val="007B7F93"/>
    <w:rPr>
      <w:b/>
      <w:bCs/>
      <w:i/>
      <w:sz w:val="24"/>
      <w:szCs w:val="32"/>
      <w:u w:val="single"/>
      <w:lang w:val="bg-BG" w:eastAsia="bg-BG"/>
    </w:rPr>
  </w:style>
  <w:style w:type="character" w:customStyle="1" w:styleId="PointManualChar">
    <w:name w:val="Point Manual Char"/>
    <w:link w:val="PointManual"/>
    <w:rsid w:val="007B7F93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2A"/>
    <w:rPr>
      <w:rFonts w:ascii="Tahoma" w:hAnsi="Tahoma" w:cs="Tahoma"/>
      <w:sz w:val="16"/>
      <w:szCs w:val="16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16</TotalTime>
  <Pages>4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DOURJANOVA Gergana</cp:lastModifiedBy>
  <cp:revision>13</cp:revision>
  <cp:lastPrinted>2015-06-04T16:01:00Z</cp:lastPrinted>
  <dcterms:created xsi:type="dcterms:W3CDTF">2015-06-04T09:10:00Z</dcterms:created>
  <dcterms:modified xsi:type="dcterms:W3CDTF">2015-06-05T14:34:00Z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