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01" w:rsidRPr="00B3392E" w:rsidRDefault="002B74E3" w:rsidP="00B3392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d8bcf7b-9e7f-453b-9e50-84ade5b1fd10_0" style="width:568.5pt;height:490pt">
            <v:imagedata r:id="rId8" o:title=""/>
          </v:shape>
        </w:pict>
      </w:r>
      <w:bookmarkEnd w:id="0"/>
    </w:p>
    <w:p w:rsidR="007B7F93" w:rsidRPr="00BC04BC" w:rsidRDefault="007B7F93" w:rsidP="007B7F93">
      <w:pPr>
        <w:pStyle w:val="PointManual"/>
      </w:pPr>
      <w:r w:rsidRPr="00BC04BC">
        <w:t>-</w:t>
      </w:r>
      <w:r w:rsidRPr="00BC04BC">
        <w:tab/>
        <w:t>Adoption de l'ordre du jour</w:t>
      </w:r>
    </w:p>
    <w:p w:rsidR="007B7F93" w:rsidRPr="00BC04BC" w:rsidRDefault="007B7F93" w:rsidP="008034A1">
      <w:pPr>
        <w:pStyle w:val="Title"/>
        <w:spacing w:before="360" w:after="0"/>
        <w:outlineLvl w:val="0"/>
      </w:pPr>
      <w:r w:rsidRPr="00BC04BC">
        <w:t>Délibérations législatives</w:t>
      </w:r>
    </w:p>
    <w:p w:rsidR="007B7F93" w:rsidRPr="00BC04BC" w:rsidRDefault="007B7F93" w:rsidP="008034A1">
      <w:pPr>
        <w:pStyle w:val="Title"/>
        <w:spacing w:before="120"/>
        <w:rPr>
          <w:u w:val="none"/>
        </w:rPr>
      </w:pPr>
      <w:r w:rsidRPr="00BC04BC">
        <w:rPr>
          <w:u w:val="none"/>
        </w:rPr>
        <w:t xml:space="preserve">(Délibération publique conformément à l'article 16, paragraphe 8, </w:t>
      </w:r>
      <w:r w:rsidR="008034A1">
        <w:rPr>
          <w:u w:val="none"/>
        </w:rPr>
        <w:br/>
      </w:r>
      <w:r w:rsidRPr="00BC04BC">
        <w:rPr>
          <w:u w:val="none"/>
        </w:rPr>
        <w:t>du traité sur l'Union européenne)</w:t>
      </w:r>
    </w:p>
    <w:p w:rsidR="007B7F93" w:rsidRPr="00BC04BC" w:rsidRDefault="007B7F93" w:rsidP="007B7F93">
      <w:pPr>
        <w:pStyle w:val="PointManual"/>
        <w:spacing w:before="120"/>
      </w:pPr>
      <w:r w:rsidRPr="00BC04BC">
        <w:t>-</w:t>
      </w:r>
      <w:r w:rsidRPr="00BC04BC">
        <w:tab/>
        <w:t>(évent.) Approbation de la liste des points "A"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(évent.) Traitement des bons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Proposition de directive du Conseil modifiant la directive 2006/112/CE relative au système commun de taxe sur la valeur ajoutée en ce qui concerne le traitement des bons</w:t>
      </w:r>
    </w:p>
    <w:p w:rsidR="007B7F93" w:rsidRPr="00BC04BC" w:rsidRDefault="007B7F93" w:rsidP="007B7F93">
      <w:pPr>
        <w:pStyle w:val="Dash2"/>
        <w:numPr>
          <w:ilvl w:val="0"/>
          <w:numId w:val="21"/>
        </w:numPr>
      </w:pPr>
      <w:r w:rsidRPr="00BC04BC">
        <w:t>Accord politique</w:t>
      </w:r>
    </w:p>
    <w:p w:rsidR="005F7180" w:rsidRPr="00BC04BC" w:rsidRDefault="007B7F93" w:rsidP="007B7F93">
      <w:pPr>
        <w:pStyle w:val="PointManual"/>
        <w:spacing w:before="360"/>
      </w:pPr>
      <w:r w:rsidRPr="00BC04BC">
        <w:br w:type="page"/>
      </w:r>
      <w:r w:rsidRPr="00BC04BC">
        <w:lastRenderedPageBreak/>
        <w:t>-</w:t>
      </w:r>
      <w:r w:rsidRPr="00BC04BC">
        <w:tab/>
        <w:t>(évent.) Déclaration de TVA normalisée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Proposition de directive du Conseil modifiant la directive 2006/112/CE relative au système commun de taxe sur la valeur ajoutée en ce qui concerne une déclaration de TVA normalisée</w:t>
      </w:r>
    </w:p>
    <w:p w:rsidR="007B7F93" w:rsidRPr="00BC04BC" w:rsidRDefault="0060332A" w:rsidP="007B7F93">
      <w:pPr>
        <w:pStyle w:val="Dash2"/>
        <w:numPr>
          <w:ilvl w:val="0"/>
          <w:numId w:val="21"/>
        </w:numPr>
      </w:pPr>
      <w:r w:rsidRPr="00BC04BC">
        <w:t>Débat d'orientation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Coopération administrative</w:t>
      </w:r>
    </w:p>
    <w:p w:rsidR="007B7F93" w:rsidRPr="00BC04BC" w:rsidRDefault="007B7F93" w:rsidP="001130B7">
      <w:pPr>
        <w:pStyle w:val="Dash1"/>
        <w:numPr>
          <w:ilvl w:val="0"/>
          <w:numId w:val="20"/>
        </w:numPr>
      </w:pPr>
      <w:r w:rsidRPr="00BC04BC">
        <w:t>Proposition de directive relative à l'échange obligatoire et automatique d'informations en matière de rulings fiscaux transfrontières</w:t>
      </w:r>
    </w:p>
    <w:p w:rsidR="007B7F93" w:rsidRPr="00BC04BC" w:rsidRDefault="007B7F93" w:rsidP="007B7F93">
      <w:pPr>
        <w:pStyle w:val="Dash2"/>
        <w:numPr>
          <w:ilvl w:val="0"/>
          <w:numId w:val="21"/>
        </w:numPr>
      </w:pPr>
      <w:r w:rsidRPr="00BC04BC">
        <w:t>État d'avancement des travaux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Directive relative aux intérêts et redevances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Proposition de directive du Conseil concernant un régime fiscal commun applicable aux paiements d'intérêts et de redevances effectués entre des sociétés associées d'États membres différents (Refonte)</w:t>
      </w:r>
    </w:p>
    <w:p w:rsidR="007B7F93" w:rsidRPr="00BC04BC" w:rsidRDefault="007B7F93" w:rsidP="007B7F93">
      <w:pPr>
        <w:pStyle w:val="Dash2"/>
        <w:numPr>
          <w:ilvl w:val="0"/>
          <w:numId w:val="21"/>
        </w:numPr>
      </w:pPr>
      <w:r w:rsidRPr="00BC04BC">
        <w:t>Accord politique</w:t>
      </w:r>
    </w:p>
    <w:p w:rsidR="007B7F93" w:rsidRPr="00BC04BC" w:rsidRDefault="007B7F93" w:rsidP="007B7F93">
      <w:pPr>
        <w:pStyle w:val="PointManual"/>
        <w:spacing w:before="360"/>
        <w:rPr>
          <w:szCs w:val="20"/>
        </w:rPr>
      </w:pPr>
      <w:r w:rsidRPr="00BC04BC">
        <w:t>-</w:t>
      </w:r>
      <w:r w:rsidRPr="00BC04BC">
        <w:tab/>
        <w:t>Plan d'investissement pour l'Europe</w:t>
      </w:r>
    </w:p>
    <w:p w:rsidR="007B7F93" w:rsidRPr="00BC04BC" w:rsidRDefault="007B7F93" w:rsidP="008034A1">
      <w:pPr>
        <w:pStyle w:val="Dash1"/>
        <w:numPr>
          <w:ilvl w:val="0"/>
          <w:numId w:val="20"/>
        </w:numPr>
        <w:rPr>
          <w:szCs w:val="20"/>
        </w:rPr>
      </w:pPr>
      <w:r w:rsidRPr="00BC04BC">
        <w:t>Proposition de règlement du Parlement européen et du Conseil sur le Fonds européen pour les investissements stratégiques et modifiant les règlements (UE) n°</w:t>
      </w:r>
      <w:r w:rsidR="008034A1">
        <w:t> </w:t>
      </w:r>
      <w:r w:rsidRPr="00BC04BC">
        <w:t xml:space="preserve">1291/2013 et (UE) n° 1316/2013, présentée par la Commission </w:t>
      </w:r>
      <w:r w:rsidRPr="00BC04BC">
        <w:rPr>
          <w:b/>
        </w:rPr>
        <w:t>(Première</w:t>
      </w:r>
      <w:r w:rsidR="008034A1">
        <w:rPr>
          <w:b/>
        </w:rPr>
        <w:t> </w:t>
      </w:r>
      <w:r w:rsidRPr="00BC04BC">
        <w:rPr>
          <w:b/>
        </w:rPr>
        <w:t>lecture)</w:t>
      </w:r>
    </w:p>
    <w:p w:rsidR="007B7F93" w:rsidRPr="00BC04BC" w:rsidRDefault="007B7F93" w:rsidP="007B7F93">
      <w:pPr>
        <w:pStyle w:val="Dash2"/>
        <w:numPr>
          <w:ilvl w:val="0"/>
          <w:numId w:val="21"/>
        </w:numPr>
        <w:rPr>
          <w:szCs w:val="20"/>
        </w:rPr>
      </w:pPr>
      <w:r w:rsidRPr="00BC04BC">
        <w:t>Informations communiquées par la présidence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(évent.) Réforme structurelle du secteur bancaire</w:t>
      </w:r>
    </w:p>
    <w:p w:rsidR="007B7F93" w:rsidRPr="00BC04BC" w:rsidRDefault="007B7F93" w:rsidP="008034A1">
      <w:pPr>
        <w:pStyle w:val="Dash1"/>
        <w:numPr>
          <w:ilvl w:val="0"/>
          <w:numId w:val="20"/>
        </w:numPr>
      </w:pPr>
      <w:r w:rsidRPr="00BC04BC">
        <w:t xml:space="preserve">Proposition de règlement du Parlement européen et du Conseil relatif à des mesures structurelles améliorant la résilience des établissements de crédit de l'UE </w:t>
      </w:r>
      <w:r w:rsidRPr="00BC04BC">
        <w:rPr>
          <w:b/>
        </w:rPr>
        <w:t>(Première</w:t>
      </w:r>
      <w:r w:rsidR="008034A1">
        <w:rPr>
          <w:b/>
        </w:rPr>
        <w:t> </w:t>
      </w:r>
      <w:r w:rsidRPr="00BC04BC">
        <w:rPr>
          <w:b/>
        </w:rPr>
        <w:t>lecture)</w:t>
      </w:r>
    </w:p>
    <w:p w:rsidR="007B7F93" w:rsidRPr="00BC04BC" w:rsidRDefault="007B7F93" w:rsidP="007B7F93">
      <w:pPr>
        <w:pStyle w:val="Dash2"/>
        <w:numPr>
          <w:ilvl w:val="0"/>
          <w:numId w:val="21"/>
        </w:numPr>
      </w:pPr>
      <w:r w:rsidRPr="00BC04BC">
        <w:t>Orientation générale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Divers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Propositions législatives en cours d'examen</w:t>
      </w:r>
    </w:p>
    <w:p w:rsidR="007B7F93" w:rsidRPr="00BC04BC" w:rsidRDefault="007B7F93" w:rsidP="007B7F93">
      <w:pPr>
        <w:pStyle w:val="Dash2"/>
        <w:numPr>
          <w:ilvl w:val="0"/>
          <w:numId w:val="21"/>
        </w:numPr>
      </w:pPr>
      <w:r w:rsidRPr="00BC04BC">
        <w:t>Informations communiquées par la présidence</w:t>
      </w:r>
    </w:p>
    <w:p w:rsidR="007B7F93" w:rsidRPr="00BC04BC" w:rsidRDefault="007B7F93" w:rsidP="007B7F93">
      <w:pPr>
        <w:pStyle w:val="Title"/>
      </w:pPr>
      <w:r w:rsidRPr="00BC04BC">
        <w:t>Activités non législatives</w:t>
      </w:r>
    </w:p>
    <w:p w:rsidR="007B7F93" w:rsidRPr="00BC04BC" w:rsidRDefault="007B7F93" w:rsidP="007B7F93">
      <w:pPr>
        <w:pStyle w:val="PointManual"/>
        <w:spacing w:before="120"/>
      </w:pPr>
      <w:r w:rsidRPr="00BC04BC">
        <w:t>-</w:t>
      </w:r>
      <w:r w:rsidRPr="00BC04BC">
        <w:tab/>
        <w:t>Approbation de la liste des points "A"</w:t>
      </w:r>
    </w:p>
    <w:p w:rsidR="007B7F93" w:rsidRPr="00BC04BC" w:rsidRDefault="007B7F93" w:rsidP="007B7F93">
      <w:pPr>
        <w:pStyle w:val="PointManual"/>
        <w:spacing w:before="360"/>
      </w:pPr>
      <w:bookmarkStart w:id="1" w:name="_Toc309385852"/>
      <w:bookmarkStart w:id="2" w:name="_Toc309385762"/>
      <w:r w:rsidRPr="00BC04BC">
        <w:t>-</w:t>
      </w:r>
      <w:r w:rsidRPr="00BC04BC">
        <w:tab/>
        <w:t>Mise en œuvre de l'Union bancaire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État d'avancement des travaux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Union des marchés de capitaux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Adoption de conclusions du Conseil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(évent.) Rapport ECOFIN sur les questions fiscales destiné au Conseil européen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Approbation</w:t>
      </w:r>
    </w:p>
    <w:p w:rsidR="007B7F93" w:rsidRPr="00BC04BC" w:rsidRDefault="007B7F93" w:rsidP="007B7F93">
      <w:pPr>
        <w:pStyle w:val="PointManual"/>
        <w:spacing w:before="360"/>
      </w:pPr>
      <w:r w:rsidRPr="00BC04BC">
        <w:br w:type="page"/>
      </w:r>
      <w:r w:rsidRPr="00BC04BC">
        <w:lastRenderedPageBreak/>
        <w:t>-</w:t>
      </w:r>
      <w:r w:rsidRPr="00BC04BC">
        <w:tab/>
        <w:t>(évent.) Rapport des ministres des finances sur les questions fiscales dans le cadre du pacte pour l'euro plus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Approbation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(évent.) Code de conduite (Fiscalité des entreprises)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Rapport au Conseil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Projet de conclusions du Conseil</w:t>
      </w:r>
    </w:p>
    <w:p w:rsidR="007B7F93" w:rsidRPr="00BC04BC" w:rsidRDefault="007B7F93" w:rsidP="007B7F93">
      <w:pPr>
        <w:pStyle w:val="Dash2"/>
        <w:numPr>
          <w:ilvl w:val="0"/>
          <w:numId w:val="21"/>
        </w:numPr>
      </w:pPr>
      <w:r w:rsidRPr="00BC04BC">
        <w:t>Approbation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Contribution à la réunion du Conseil européen des 25 et 26 juin 2015</w:t>
      </w:r>
    </w:p>
    <w:p w:rsidR="007B7F93" w:rsidRPr="00BC04BC" w:rsidRDefault="007B7F93" w:rsidP="008034A1">
      <w:pPr>
        <w:pStyle w:val="PointManual1"/>
        <w:spacing w:before="120" w:after="120"/>
      </w:pPr>
      <w:r w:rsidRPr="00BC04BC">
        <w:t>a)</w:t>
      </w:r>
      <w:r w:rsidRPr="00BC04BC">
        <w:tab/>
        <w:t>Semestre européen 2015:</w:t>
      </w:r>
    </w:p>
    <w:p w:rsidR="007B7F93" w:rsidRPr="00BC04BC" w:rsidRDefault="007B7F93" w:rsidP="00340076">
      <w:pPr>
        <w:pStyle w:val="PointManual2"/>
      </w:pPr>
      <w:r w:rsidRPr="00BC04BC">
        <w:t>i)</w:t>
      </w:r>
      <w:r w:rsidRPr="00BC04BC">
        <w:tab/>
        <w:t>Projets de recommandations du Conseil concernant les programmes nationaux de</w:t>
      </w:r>
      <w:r w:rsidR="00340076">
        <w:t> </w:t>
      </w:r>
      <w:r w:rsidRPr="00BC04BC">
        <w:t>réforme pour</w:t>
      </w:r>
      <w:r w:rsidR="00340076">
        <w:t> </w:t>
      </w:r>
      <w:r w:rsidRPr="00BC04BC">
        <w:t>2015 à l'intention de chaque État membre et projets d'avis du Conseil concernant les programmes de stabilité ou de convergence actualisés</w:t>
      </w:r>
    </w:p>
    <w:p w:rsidR="007B7F93" w:rsidRPr="00BC04BC" w:rsidRDefault="007B7F93" w:rsidP="007B7F93">
      <w:pPr>
        <w:pStyle w:val="Dash3"/>
      </w:pPr>
      <w:r w:rsidRPr="00BC04BC">
        <w:t>Approbation</w:t>
      </w:r>
    </w:p>
    <w:p w:rsidR="007B7F93" w:rsidRPr="00BC04BC" w:rsidRDefault="007B7F93" w:rsidP="00340076">
      <w:pPr>
        <w:pStyle w:val="PointManual2"/>
        <w:spacing w:before="60"/>
      </w:pPr>
      <w:r w:rsidRPr="00BC04BC">
        <w:t>ii)</w:t>
      </w:r>
      <w:r w:rsidRPr="00BC04BC">
        <w:tab/>
        <w:t>Projet de recommandation du Conseil concernant la mise en œuvre des grandes orientations des politiques économiques des États membres dont la monnaie est l'euro</w:t>
      </w:r>
    </w:p>
    <w:p w:rsidR="007B7F93" w:rsidRPr="00BC04BC" w:rsidRDefault="007B7F93" w:rsidP="007B7F93">
      <w:pPr>
        <w:pStyle w:val="Dash3"/>
      </w:pPr>
      <w:r w:rsidRPr="00BC04BC">
        <w:tab/>
        <w:t>Approbation</w:t>
      </w:r>
    </w:p>
    <w:p w:rsidR="007B7F93" w:rsidRPr="00BC04BC" w:rsidRDefault="007B7F93" w:rsidP="008034A1">
      <w:pPr>
        <w:pStyle w:val="PointManual1"/>
        <w:spacing w:before="120"/>
      </w:pPr>
      <w:r w:rsidRPr="00BC04BC">
        <w:t>b)</w:t>
      </w:r>
      <w:r w:rsidRPr="00BC04BC">
        <w:tab/>
        <w:t>Rapport sur la préparation des prochaines étapes concernant l'amélioration de la gouvernance économique dans la zone euro</w:t>
      </w:r>
    </w:p>
    <w:p w:rsidR="007B7F93" w:rsidRPr="00BC04BC" w:rsidRDefault="007B7F93" w:rsidP="007B7F93">
      <w:pPr>
        <w:pStyle w:val="Dash2"/>
      </w:pPr>
      <w:r w:rsidRPr="00BC04BC">
        <w:t>Échange de vues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Grandes orientations des politiques économiques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Rapport au Conseil européen</w:t>
      </w:r>
    </w:p>
    <w:p w:rsidR="007B7F93" w:rsidRPr="00BC04BC" w:rsidRDefault="007B7F93" w:rsidP="00340076">
      <w:pPr>
        <w:pStyle w:val="PointManual"/>
        <w:spacing w:before="360"/>
      </w:pPr>
      <w:r w:rsidRPr="00BC04BC">
        <w:t>-</w:t>
      </w:r>
      <w:r w:rsidRPr="00BC04BC">
        <w:tab/>
        <w:t>Mise en œuvre du pacte de stabilité et de croissance</w:t>
      </w:r>
      <w:r w:rsidR="00340076">
        <w:t> </w:t>
      </w:r>
      <w:r w:rsidRPr="00BC04BC">
        <w:t>(*)</w:t>
      </w:r>
    </w:p>
    <w:p w:rsidR="007B7F93" w:rsidRPr="00BC04BC" w:rsidRDefault="007B7F93" w:rsidP="007B7F93">
      <w:pPr>
        <w:pStyle w:val="Dash1"/>
        <w:numPr>
          <w:ilvl w:val="0"/>
          <w:numId w:val="20"/>
        </w:numPr>
      </w:pPr>
      <w:r w:rsidRPr="00BC04BC">
        <w:t>Adoption de la décision / recommandation du Conseil</w:t>
      </w:r>
    </w:p>
    <w:p w:rsidR="007B7F93" w:rsidRPr="00BC04BC" w:rsidRDefault="007B7F93" w:rsidP="007B7F93">
      <w:pPr>
        <w:pStyle w:val="PointManual"/>
        <w:spacing w:before="360"/>
      </w:pPr>
      <w:r w:rsidRPr="00BC04BC">
        <w:t>-</w:t>
      </w:r>
      <w:r w:rsidRPr="00BC04BC">
        <w:tab/>
        <w:t>Divers</w:t>
      </w:r>
    </w:p>
    <w:p w:rsidR="007B7F93" w:rsidRPr="00BC04BC" w:rsidRDefault="007B7F93" w:rsidP="00E435EA">
      <w:pPr>
        <w:spacing w:before="960"/>
      </w:pPr>
      <w:r w:rsidRPr="00BC04BC">
        <w:t>____________________</w:t>
      </w:r>
    </w:p>
    <w:p w:rsidR="007B7F93" w:rsidRPr="00BC04BC" w:rsidRDefault="007B7F93" w:rsidP="00E435EA">
      <w:pPr>
        <w:spacing w:before="40"/>
      </w:pPr>
      <w:r w:rsidRPr="00BC04BC">
        <w:t>(*)</w:t>
      </w:r>
      <w:r w:rsidRPr="00BC04BC">
        <w:tab/>
        <w:t>Point sur lequel un vote peut être demandé.</w:t>
      </w:r>
    </w:p>
    <w:bookmarkEnd w:id="1"/>
    <w:bookmarkEnd w:id="2"/>
    <w:p w:rsidR="007B7F93" w:rsidRPr="00BC04BC" w:rsidRDefault="007B7F93" w:rsidP="007B7F93">
      <w:pPr>
        <w:spacing w:before="720"/>
        <w:jc w:val="center"/>
        <w:rPr>
          <w:snapToGrid w:val="0"/>
          <w:lang w:val="pt-PT"/>
        </w:rPr>
      </w:pPr>
      <w:r w:rsidRPr="00BC04BC">
        <w:rPr>
          <w:lang w:val="pt-PT"/>
        </w:rPr>
        <w:t>o</w:t>
      </w:r>
    </w:p>
    <w:p w:rsidR="007B7F93" w:rsidRPr="00BC04BC" w:rsidRDefault="007B7F93" w:rsidP="007B7F93">
      <w:pPr>
        <w:spacing w:before="120"/>
        <w:jc w:val="center"/>
        <w:rPr>
          <w:snapToGrid w:val="0"/>
          <w:lang w:val="pt-PT"/>
        </w:rPr>
      </w:pPr>
      <w:r w:rsidRPr="00BC04BC">
        <w:rPr>
          <w:lang w:val="pt-PT"/>
        </w:rPr>
        <w:t>o</w:t>
      </w:r>
      <w:r w:rsidRPr="00BC04BC">
        <w:rPr>
          <w:lang w:val="pt-PT"/>
        </w:rPr>
        <w:tab/>
        <w:t>o</w:t>
      </w:r>
    </w:p>
    <w:p w:rsidR="007B7F93" w:rsidRPr="008034A1" w:rsidRDefault="007B7F93" w:rsidP="007B7F93">
      <w:pPr>
        <w:spacing w:before="200"/>
        <w:rPr>
          <w:b/>
          <w:bCs/>
          <w:lang w:val="pt-PT"/>
        </w:rPr>
      </w:pPr>
      <w:r w:rsidRPr="00BC04BC">
        <w:rPr>
          <w:lang w:val="pt-PT"/>
        </w:rPr>
        <w:br w:type="page"/>
      </w:r>
      <w:r w:rsidRPr="00BC04BC">
        <w:rPr>
          <w:b/>
          <w:lang w:val="pt-PT"/>
        </w:rPr>
        <w:lastRenderedPageBreak/>
        <w:t>p.m.:</w:t>
      </w:r>
    </w:p>
    <w:p w:rsidR="007B7F93" w:rsidRPr="008034A1" w:rsidRDefault="007B7F93" w:rsidP="00340076">
      <w:pPr>
        <w:spacing w:before="240"/>
        <w:rPr>
          <w:b/>
          <w:u w:val="single"/>
          <w:lang w:val="pt-PT"/>
        </w:rPr>
      </w:pPr>
      <w:r w:rsidRPr="008034A1">
        <w:rPr>
          <w:b/>
          <w:u w:val="single"/>
          <w:lang w:val="fr-BE"/>
        </w:rPr>
        <w:t>Jeudi</w:t>
      </w:r>
      <w:r w:rsidR="00340076">
        <w:rPr>
          <w:b/>
          <w:u w:val="single"/>
          <w:lang w:val="pt-PT"/>
        </w:rPr>
        <w:t> </w:t>
      </w:r>
      <w:r w:rsidRPr="00BC04BC">
        <w:rPr>
          <w:b/>
          <w:u w:val="single"/>
          <w:lang w:val="pt-PT"/>
        </w:rPr>
        <w:t>18</w:t>
      </w:r>
      <w:r w:rsidR="00340076">
        <w:rPr>
          <w:b/>
          <w:u w:val="single"/>
          <w:lang w:val="pt-PT"/>
        </w:rPr>
        <w:t> </w:t>
      </w:r>
      <w:r w:rsidRPr="008034A1">
        <w:rPr>
          <w:b/>
          <w:u w:val="single"/>
          <w:lang w:val="fr-BE"/>
        </w:rPr>
        <w:t>juin</w:t>
      </w:r>
      <w:r w:rsidR="00340076">
        <w:rPr>
          <w:b/>
          <w:u w:val="single"/>
          <w:lang w:val="pt-PT"/>
        </w:rPr>
        <w:t> </w:t>
      </w:r>
      <w:r w:rsidRPr="008034A1">
        <w:rPr>
          <w:b/>
          <w:u w:val="single"/>
          <w:lang w:val="pt-PT"/>
        </w:rPr>
        <w:t>2015</w:t>
      </w:r>
    </w:p>
    <w:p w:rsidR="007B7F93" w:rsidRPr="008034A1" w:rsidRDefault="007B7F93" w:rsidP="007B7F93">
      <w:pPr>
        <w:spacing w:before="200"/>
        <w:ind w:left="1134" w:hanging="1134"/>
        <w:rPr>
          <w:bCs/>
          <w:lang w:val="pt-PT"/>
        </w:rPr>
      </w:pPr>
      <w:r w:rsidRPr="008034A1">
        <w:rPr>
          <w:lang w:val="pt-PT"/>
        </w:rPr>
        <w:t>15 h 00</w:t>
      </w:r>
      <w:r w:rsidRPr="008034A1">
        <w:rPr>
          <w:lang w:val="pt-PT"/>
        </w:rPr>
        <w:tab/>
        <w:t>Eurogroupe</w:t>
      </w:r>
    </w:p>
    <w:p w:rsidR="007B7F93" w:rsidRPr="00BC04BC" w:rsidRDefault="007B7F93" w:rsidP="002B74E3">
      <w:pPr>
        <w:spacing w:before="360"/>
        <w:ind w:left="1134" w:hanging="1134"/>
        <w:rPr>
          <w:b/>
          <w:bCs/>
          <w:u w:val="single"/>
        </w:rPr>
      </w:pPr>
      <w:r w:rsidRPr="00BC04BC">
        <w:rPr>
          <w:b/>
          <w:u w:val="single"/>
        </w:rPr>
        <w:t>Vendredi</w:t>
      </w:r>
      <w:r w:rsidR="00340076">
        <w:rPr>
          <w:b/>
          <w:u w:val="single"/>
        </w:rPr>
        <w:t> </w:t>
      </w:r>
      <w:r w:rsidRPr="00BC04BC">
        <w:rPr>
          <w:b/>
          <w:u w:val="single"/>
        </w:rPr>
        <w:t>19</w:t>
      </w:r>
      <w:r w:rsidR="00340076">
        <w:rPr>
          <w:b/>
          <w:u w:val="single"/>
        </w:rPr>
        <w:t> </w:t>
      </w:r>
      <w:r w:rsidRPr="00BC04BC">
        <w:rPr>
          <w:b/>
          <w:u w:val="single"/>
        </w:rPr>
        <w:t>juin</w:t>
      </w:r>
      <w:r w:rsidR="00340076">
        <w:rPr>
          <w:b/>
          <w:u w:val="single"/>
        </w:rPr>
        <w:t> </w:t>
      </w:r>
      <w:r w:rsidRPr="00BC04BC">
        <w:rPr>
          <w:b/>
          <w:u w:val="single"/>
        </w:rPr>
        <w:t>2</w:t>
      </w:r>
      <w:bookmarkStart w:id="3" w:name="_GoBack"/>
      <w:bookmarkEnd w:id="3"/>
      <w:r w:rsidRPr="00BC04BC">
        <w:rPr>
          <w:b/>
          <w:u w:val="single"/>
        </w:rPr>
        <w:t>015</w:t>
      </w:r>
    </w:p>
    <w:p w:rsidR="007B7F93" w:rsidRPr="00BC04BC" w:rsidRDefault="007B7F93" w:rsidP="007B7F93">
      <w:pPr>
        <w:spacing w:before="200"/>
        <w:ind w:left="1134" w:hanging="1134"/>
      </w:pPr>
      <w:r w:rsidRPr="00BC04BC">
        <w:t>8 h 30</w:t>
      </w:r>
      <w:r w:rsidRPr="00BC04BC">
        <w:tab/>
        <w:t>Réunion annuelle des gouverneurs de la BEI</w:t>
      </w:r>
    </w:p>
    <w:p w:rsidR="007B7F93" w:rsidRPr="00BC04BC" w:rsidRDefault="00EF0426" w:rsidP="007B7F93">
      <w:pPr>
        <w:spacing w:before="200"/>
        <w:ind w:left="1134" w:hanging="1134"/>
      </w:pPr>
      <w:r w:rsidRPr="00BC04BC">
        <w:t>9 h 30</w:t>
      </w:r>
      <w:r w:rsidRPr="00BC04BC">
        <w:tab/>
        <w:t>Petit-déjeuner</w:t>
      </w:r>
    </w:p>
    <w:p w:rsidR="007B7F93" w:rsidRPr="00BC04BC" w:rsidRDefault="007B7F93" w:rsidP="004F1DF6">
      <w:pPr>
        <w:spacing w:before="200"/>
        <w:ind w:left="1134" w:hanging="1134"/>
      </w:pPr>
      <w:r w:rsidRPr="00BC04BC">
        <w:t>10 h 30</w:t>
      </w:r>
      <w:r w:rsidRPr="00BC04BC">
        <w:tab/>
        <w:t>Conseil (ECOFIN)</w:t>
      </w:r>
    </w:p>
    <w:p w:rsidR="001E4E01" w:rsidRPr="00BC04BC" w:rsidRDefault="001E4E01" w:rsidP="00340076">
      <w:pPr>
        <w:pStyle w:val="FinalLine"/>
        <w:spacing w:before="720" w:after="360"/>
        <w:ind w:left="3402" w:right="3402"/>
      </w:pPr>
    </w:p>
    <w:p w:rsidR="001E4E01" w:rsidRPr="00BC04BC" w:rsidRDefault="00517D77" w:rsidP="00517D77">
      <w:pPr>
        <w:pStyle w:val="NB"/>
        <w:rPr>
          <w:b/>
          <w:bCs/>
          <w:i/>
          <w:iCs/>
        </w:rPr>
      </w:pPr>
      <w:r w:rsidRPr="00BC04BC">
        <w:t>NB:</w:t>
      </w:r>
      <w:r w:rsidRPr="00BC04BC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517D77" w:rsidRDefault="00517D77" w:rsidP="00517D77">
      <w:pPr>
        <w:pStyle w:val="NB"/>
        <w:rPr>
          <w:b/>
          <w:bCs/>
          <w:i/>
          <w:iCs/>
        </w:rPr>
      </w:pPr>
      <w:r w:rsidRPr="00BC04BC">
        <w:t>NB:</w:t>
      </w:r>
      <w:r w:rsidRPr="00BC04BC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517D77" w:rsidSect="00BC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01" w:rsidRDefault="001E4E01" w:rsidP="001E4E01">
      <w:r>
        <w:separator/>
      </w:r>
    </w:p>
  </w:endnote>
  <w:endnote w:type="continuationSeparator" w:id="0">
    <w:p w:rsidR="001E4E01" w:rsidRDefault="001E4E01" w:rsidP="001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3E" w:rsidRPr="00BC04BC" w:rsidRDefault="00150E3E" w:rsidP="00BC0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C04BC" w:rsidRPr="00D94637" w:rsidTr="00BC04B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C04BC" w:rsidRPr="00D94637" w:rsidRDefault="00BC04B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BC04BC" w:rsidRPr="00B310DC" w:rsidTr="00BC04B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C04BC" w:rsidRPr="00BC04BC" w:rsidRDefault="00BC04BC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2904</w:t>
          </w:r>
          <w:r w:rsidRPr="00BC04BC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BC04BC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C04BC" w:rsidRPr="00BC04BC" w:rsidRDefault="00BC04BC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C04BC" w:rsidRPr="002511D8" w:rsidRDefault="00BC04B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C04BC" w:rsidRPr="00B310DC" w:rsidRDefault="00BC04B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B74E3">
            <w:rPr>
              <w:noProof/>
            </w:rPr>
            <w:t>4</w:t>
          </w:r>
          <w:r>
            <w:fldChar w:fldCharType="end"/>
          </w:r>
        </w:p>
      </w:tc>
    </w:tr>
    <w:tr w:rsidR="00BC04BC" w:rsidRPr="00D94637" w:rsidTr="00BC04BC">
      <w:trPr>
        <w:jc w:val="center"/>
      </w:trPr>
      <w:tc>
        <w:tcPr>
          <w:tcW w:w="1774" w:type="pct"/>
          <w:shd w:val="clear" w:color="auto" w:fill="auto"/>
        </w:tcPr>
        <w:p w:rsidR="00BC04BC" w:rsidRPr="00AD7BF2" w:rsidRDefault="00BC04B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C04BC" w:rsidRPr="00AD7BF2" w:rsidRDefault="00BC04B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C04BC" w:rsidRPr="00D94637" w:rsidRDefault="00BC04B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C04BC" w:rsidRPr="00D94637" w:rsidRDefault="00BC04B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1E4E01" w:rsidRPr="00BC04BC" w:rsidRDefault="001E4E01" w:rsidP="00BC04B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C04BC" w:rsidRPr="00D94637" w:rsidTr="00BC04B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C04BC" w:rsidRPr="00D94637" w:rsidRDefault="00BC04B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C04BC" w:rsidRPr="00B310DC" w:rsidTr="00BC04B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C04BC" w:rsidRPr="00BC04BC" w:rsidRDefault="00BC04BC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2904</w:t>
          </w:r>
          <w:r w:rsidRPr="00BC04BC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BC04BC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C04BC" w:rsidRPr="00BC04BC" w:rsidRDefault="00BC04BC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C04BC" w:rsidRPr="002511D8" w:rsidRDefault="00BC04B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C04BC" w:rsidRPr="00B310DC" w:rsidRDefault="00BC04B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B74E3">
            <w:rPr>
              <w:noProof/>
            </w:rPr>
            <w:t>1</w:t>
          </w:r>
          <w:r>
            <w:fldChar w:fldCharType="end"/>
          </w:r>
        </w:p>
      </w:tc>
    </w:tr>
    <w:tr w:rsidR="00BC04BC" w:rsidRPr="00D94637" w:rsidTr="00BC04BC">
      <w:trPr>
        <w:jc w:val="center"/>
      </w:trPr>
      <w:tc>
        <w:tcPr>
          <w:tcW w:w="1774" w:type="pct"/>
          <w:shd w:val="clear" w:color="auto" w:fill="auto"/>
        </w:tcPr>
        <w:p w:rsidR="00BC04BC" w:rsidRPr="00AD7BF2" w:rsidRDefault="00BC04B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C04BC" w:rsidRPr="00AD7BF2" w:rsidRDefault="00BC04B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C04BC" w:rsidRPr="00D94637" w:rsidRDefault="00BC04B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C04BC" w:rsidRPr="00D94637" w:rsidRDefault="00BC04B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E4E01" w:rsidRPr="00BC04BC" w:rsidRDefault="001E4E01" w:rsidP="00BC04B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01" w:rsidRDefault="001E4E01" w:rsidP="001E4E01">
      <w:r>
        <w:separator/>
      </w:r>
    </w:p>
  </w:footnote>
  <w:footnote w:type="continuationSeparator" w:id="0">
    <w:p w:rsidR="001E4E01" w:rsidRDefault="001E4E01" w:rsidP="001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3E" w:rsidRPr="00BC04BC" w:rsidRDefault="00150E3E" w:rsidP="00BC04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3E" w:rsidRPr="00BC04BC" w:rsidRDefault="00150E3E" w:rsidP="00BC04B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3E" w:rsidRPr="00BC04BC" w:rsidRDefault="00150E3E" w:rsidP="00BC04B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2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9"/>
  </w:num>
  <w:num w:numId="13">
    <w:abstractNumId w:val="10"/>
  </w:num>
  <w:num w:numId="14">
    <w:abstractNumId w:val="5"/>
  </w:num>
  <w:num w:numId="15">
    <w:abstractNumId w:val="20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cd8bcf7b-9e7f-453b-9e50-84ade5b1fd10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6-04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0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r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399e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19T10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E4E01"/>
    <w:rsid w:val="00010C1D"/>
    <w:rsid w:val="00013DEF"/>
    <w:rsid w:val="00090654"/>
    <w:rsid w:val="0009656C"/>
    <w:rsid w:val="001130B7"/>
    <w:rsid w:val="00150E3E"/>
    <w:rsid w:val="00165755"/>
    <w:rsid w:val="00182F2F"/>
    <w:rsid w:val="001C1958"/>
    <w:rsid w:val="001E4E01"/>
    <w:rsid w:val="00213F1F"/>
    <w:rsid w:val="002A2AE8"/>
    <w:rsid w:val="002B74E3"/>
    <w:rsid w:val="00340076"/>
    <w:rsid w:val="003C6E8B"/>
    <w:rsid w:val="004F1DF6"/>
    <w:rsid w:val="005157F5"/>
    <w:rsid w:val="00517D77"/>
    <w:rsid w:val="005F7180"/>
    <w:rsid w:val="0060332A"/>
    <w:rsid w:val="0063379B"/>
    <w:rsid w:val="006373E1"/>
    <w:rsid w:val="006A38C5"/>
    <w:rsid w:val="006C1AD4"/>
    <w:rsid w:val="006E33E2"/>
    <w:rsid w:val="006F4741"/>
    <w:rsid w:val="007574FD"/>
    <w:rsid w:val="0075756A"/>
    <w:rsid w:val="007B7F93"/>
    <w:rsid w:val="008034A1"/>
    <w:rsid w:val="00825503"/>
    <w:rsid w:val="008826F8"/>
    <w:rsid w:val="00A469D7"/>
    <w:rsid w:val="00B00D9A"/>
    <w:rsid w:val="00B3392E"/>
    <w:rsid w:val="00BC04BC"/>
    <w:rsid w:val="00BE1373"/>
    <w:rsid w:val="00D451E4"/>
    <w:rsid w:val="00E435EA"/>
    <w:rsid w:val="00EE0521"/>
    <w:rsid w:val="00EF042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3392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fr-FR" w:eastAsia="fr-FR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3392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fr-FR" w:eastAsia="fr-FR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AA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9</TotalTime>
  <Pages>4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GARCIA Ana Maria</cp:lastModifiedBy>
  <cp:revision>5</cp:revision>
  <cp:lastPrinted>2015-06-04T16:01:00Z</cp:lastPrinted>
  <dcterms:created xsi:type="dcterms:W3CDTF">2015-06-05T09:39:00Z</dcterms:created>
  <dcterms:modified xsi:type="dcterms:W3CDTF">2015-06-05T09:47:00Z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