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A9A" w:rsidRPr="00934803" w:rsidRDefault="006A7C3B" w:rsidP="00934803">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062d2e96-8a34-4df8-9956-83596c79ed7c_0" style="width:568.5pt;height:467.25pt">
            <v:imagedata r:id="rId9" o:title=""/>
          </v:shape>
        </w:pict>
      </w:r>
      <w:bookmarkEnd w:id="0"/>
    </w:p>
    <w:p w:rsidR="0088794C" w:rsidRPr="001E4A73" w:rsidRDefault="0088794C" w:rsidP="00AB785D">
      <w:pPr>
        <w:spacing w:before="0" w:after="0"/>
        <w:ind w:left="567" w:hanging="567"/>
        <w:rPr>
          <w:rFonts w:asciiTheme="majorBidi" w:hAnsiTheme="majorBidi" w:cstheme="majorBidi"/>
          <w:b/>
          <w:bCs/>
        </w:rPr>
      </w:pPr>
      <w:r w:rsidRPr="001E4A73">
        <w:rPr>
          <w:rFonts w:asciiTheme="majorBidi" w:hAnsiTheme="majorBidi" w:cstheme="majorBidi"/>
          <w:b/>
        </w:rPr>
        <w:t>I.</w:t>
      </w:r>
      <w:r w:rsidRPr="001E4A73">
        <w:tab/>
      </w:r>
      <w:r w:rsidRPr="001E4A73">
        <w:rPr>
          <w:rFonts w:asciiTheme="majorBidi" w:hAnsiTheme="majorBidi" w:cstheme="majorBidi"/>
          <w:b/>
          <w:u w:val="single"/>
        </w:rPr>
        <w:t>ВЪВЕДЕНИЕ</w:t>
      </w:r>
    </w:p>
    <w:p w:rsidR="0088794C" w:rsidRPr="001E4A73" w:rsidRDefault="0088794C" w:rsidP="00AB785D">
      <w:pPr>
        <w:spacing w:before="0" w:after="0"/>
        <w:ind w:left="567" w:hanging="567"/>
        <w:rPr>
          <w:rFonts w:asciiTheme="majorBidi" w:hAnsiTheme="majorBidi" w:cstheme="majorBidi"/>
        </w:rPr>
      </w:pPr>
    </w:p>
    <w:p w:rsidR="00AB785D" w:rsidRPr="001E4A73" w:rsidRDefault="00AB785D" w:rsidP="0088794C">
      <w:pPr>
        <w:spacing w:before="0" w:after="0"/>
        <w:ind w:left="1134" w:hanging="567"/>
        <w:rPr>
          <w:rFonts w:asciiTheme="majorBidi" w:hAnsiTheme="majorBidi" w:cstheme="majorBidi"/>
        </w:rPr>
      </w:pPr>
      <w:r w:rsidRPr="001E4A73">
        <w:rPr>
          <w:rFonts w:asciiTheme="majorBidi" w:hAnsiTheme="majorBidi" w:cstheme="majorBidi"/>
        </w:rPr>
        <w:t>1.</w:t>
      </w:r>
      <w:r w:rsidRPr="001E4A73">
        <w:tab/>
      </w:r>
      <w:r w:rsidRPr="001E4A73">
        <w:rPr>
          <w:rFonts w:asciiTheme="majorBidi" w:hAnsiTheme="majorBidi" w:cstheme="majorBidi"/>
        </w:rPr>
        <w:t>На 20 декември 2013 г. Комисията представи на Съвета и Европейския парламент предложението за намаляване на националните емисии на някои атмосферни замърсители като част от „Програмата за чист въздух за Европа“. В програмата се определят действия за постигане до 2020 г. на пълно съответствие със съществуващите стандарти за качеството на въздуха и с общите здравни и екологични цели на ЕС за периода до 2030 г.</w:t>
      </w:r>
    </w:p>
    <w:p w:rsidR="00B92270" w:rsidRPr="001E4A73" w:rsidRDefault="00AB785D" w:rsidP="0088794C">
      <w:pPr>
        <w:spacing w:before="0" w:after="0"/>
        <w:ind w:left="1134"/>
        <w:rPr>
          <w:rFonts w:asciiTheme="majorBidi" w:hAnsiTheme="majorBidi" w:cstheme="majorBidi"/>
        </w:rPr>
      </w:pPr>
      <w:r w:rsidRPr="001E4A73">
        <w:br w:type="page"/>
      </w:r>
      <w:r w:rsidRPr="001E4A73">
        <w:lastRenderedPageBreak/>
        <w:t>С предложението на Комисията за преразглеждане на директивата за националните тавани за емисиите (НТЕ) се определят изискванията за емисиите, отговорни за праховите частици и концентрациите на озон, подкиселяването и еутрофикацията, така че да се отбележи напредък към постигането на целите, свързани с качеството на атмосферния въздух, заявени в Седмата програма за действие за околната среда (ПДОС) </w:t>
      </w:r>
      <w:r w:rsidRPr="001E4A73">
        <w:rPr>
          <w:rStyle w:val="FootnoteReference"/>
          <w:rFonts w:asciiTheme="majorBidi" w:hAnsiTheme="majorBidi" w:cstheme="majorBidi"/>
        </w:rPr>
        <w:footnoteReference w:id="1"/>
      </w:r>
      <w:r w:rsidRPr="001E4A73">
        <w:t xml:space="preserve"> — „да се гарантира, че до 2020 г. качеството на въздуха извън помещенията в Съюза значително ще се подобри, приближавайки се в по-голяма степен до препоръчваните от СЗО нива“.</w:t>
      </w:r>
      <w:r w:rsidRPr="001E4A73">
        <w:rPr>
          <w:rFonts w:asciiTheme="majorBidi" w:hAnsiTheme="majorBidi" w:cstheme="majorBidi"/>
        </w:rPr>
        <w:t xml:space="preserve"> С предложението се отменя и заменя сегашният режим на Съюза относно ограничаването на годишните национални емисии на замърсители на въздуха с цел да се интегрират международните ангажименти на ЕС за 2020 г. съгласно Протокола от Гьотеборг, изменен през 2012 г.</w:t>
      </w:r>
    </w:p>
    <w:p w:rsidR="00B92270" w:rsidRPr="001E4A73" w:rsidRDefault="00B92270" w:rsidP="0088794C">
      <w:pPr>
        <w:spacing w:before="0" w:after="0"/>
        <w:ind w:left="1134"/>
        <w:rPr>
          <w:rFonts w:asciiTheme="majorBidi" w:hAnsiTheme="majorBidi" w:cstheme="majorBidi"/>
        </w:rPr>
      </w:pPr>
    </w:p>
    <w:p w:rsidR="00B92270" w:rsidRPr="001E4A73" w:rsidRDefault="00AB785D" w:rsidP="0088794C">
      <w:pPr>
        <w:spacing w:before="0" w:after="0"/>
        <w:ind w:left="1134"/>
        <w:rPr>
          <w:rFonts w:asciiTheme="majorBidi" w:hAnsiTheme="majorBidi" w:cstheme="majorBidi"/>
        </w:rPr>
      </w:pPr>
      <w:r w:rsidRPr="001E4A73">
        <w:rPr>
          <w:rFonts w:asciiTheme="majorBidi" w:hAnsiTheme="majorBidi" w:cstheme="majorBidi"/>
        </w:rPr>
        <w:t>На практика сегашните цели, определени с Директива 2001/81/EО </w:t>
      </w:r>
      <w:r w:rsidRPr="001E4A73">
        <w:rPr>
          <w:rStyle w:val="FootnoteReference"/>
          <w:rFonts w:asciiTheme="majorBidi" w:hAnsiTheme="majorBidi" w:cstheme="majorBidi"/>
        </w:rPr>
        <w:footnoteReference w:id="2"/>
      </w:r>
      <w:r w:rsidRPr="001E4A73">
        <w:rPr>
          <w:rFonts w:asciiTheme="majorBidi" w:hAnsiTheme="majorBidi" w:cstheme="majorBidi"/>
        </w:rPr>
        <w:t xml:space="preserve"> за националните емисии на серен диоксид (SO2), азотни оксиди (NOx), неметанови летливи органични съединения (НМЛОС) и амоняк (NH3), се запазват до 2019 г.</w:t>
      </w:r>
    </w:p>
    <w:p w:rsidR="00B92270" w:rsidRPr="001E4A73" w:rsidRDefault="00B92270" w:rsidP="0088794C">
      <w:pPr>
        <w:spacing w:before="0" w:after="0"/>
        <w:ind w:left="1134"/>
        <w:rPr>
          <w:rFonts w:asciiTheme="majorBidi" w:hAnsiTheme="majorBidi" w:cstheme="majorBidi"/>
        </w:rPr>
      </w:pPr>
    </w:p>
    <w:p w:rsidR="00AB785D" w:rsidRPr="001E4A73" w:rsidRDefault="00AB785D" w:rsidP="0088794C">
      <w:pPr>
        <w:spacing w:before="0" w:after="0"/>
        <w:ind w:left="1134"/>
        <w:rPr>
          <w:rFonts w:asciiTheme="majorBidi" w:hAnsiTheme="majorBidi" w:cstheme="majorBidi"/>
        </w:rPr>
      </w:pPr>
      <w:r w:rsidRPr="001E4A73">
        <w:rPr>
          <w:rFonts w:asciiTheme="majorBidi" w:hAnsiTheme="majorBidi" w:cstheme="majorBidi"/>
        </w:rPr>
        <w:t>Определят се нови ангажименти за намаляване на всички тези замърсители и на праховите частици (ПЧ2,5) за периода след 2020 г. и след 2030 г. (въз основа на продадените горива през 2005 г.). В предложението се определят и ангажименти за намаляване на емисиите на метан (CH</w:t>
      </w:r>
      <w:r w:rsidRPr="001E4A73">
        <w:rPr>
          <w:rFonts w:asciiTheme="majorBidi" w:hAnsiTheme="majorBidi" w:cstheme="majorBidi"/>
          <w:vertAlign w:val="subscript"/>
        </w:rPr>
        <w:t>4</w:t>
      </w:r>
      <w:r w:rsidRPr="001E4A73">
        <w:rPr>
          <w:rFonts w:asciiTheme="majorBidi" w:hAnsiTheme="majorBidi" w:cstheme="majorBidi"/>
        </w:rPr>
        <w:t>) за периода след 2030 г.</w:t>
      </w:r>
    </w:p>
    <w:p w:rsidR="00AB785D" w:rsidRPr="001E4A73" w:rsidRDefault="00AB785D" w:rsidP="0088794C">
      <w:pPr>
        <w:pStyle w:val="Default"/>
        <w:spacing w:line="360" w:lineRule="auto"/>
        <w:ind w:left="1134"/>
        <w:rPr>
          <w:rFonts w:asciiTheme="majorBidi" w:hAnsiTheme="majorBidi" w:cstheme="majorBidi"/>
        </w:rPr>
      </w:pPr>
    </w:p>
    <w:p w:rsidR="00AB785D" w:rsidRPr="001E4A73" w:rsidRDefault="0088794C" w:rsidP="0088794C">
      <w:pPr>
        <w:pStyle w:val="Default"/>
        <w:spacing w:line="360" w:lineRule="auto"/>
        <w:ind w:left="1134"/>
        <w:rPr>
          <w:rFonts w:asciiTheme="majorBidi" w:hAnsiTheme="majorBidi" w:cstheme="majorBidi"/>
        </w:rPr>
      </w:pPr>
      <w:r w:rsidRPr="001E4A73">
        <w:rPr>
          <w:rFonts w:asciiTheme="majorBidi" w:hAnsiTheme="majorBidi" w:cstheme="majorBidi"/>
        </w:rPr>
        <w:t>Освен това в предложението се посочват междинните нива за 2025 г. на емисиите на същите замърсители, които са определени въз основа на линейна крива за намаление, освен ако това не изисква мерки, водещи до прекомерни разходи.</w:t>
      </w:r>
    </w:p>
    <w:p w:rsidR="0088794C" w:rsidRPr="001E4A73" w:rsidRDefault="0088794C" w:rsidP="0088794C">
      <w:pPr>
        <w:pStyle w:val="Default"/>
        <w:spacing w:line="360" w:lineRule="auto"/>
        <w:ind w:left="567"/>
        <w:rPr>
          <w:rFonts w:asciiTheme="majorBidi" w:hAnsiTheme="majorBidi" w:cstheme="majorBidi"/>
        </w:rPr>
      </w:pPr>
    </w:p>
    <w:p w:rsidR="0088794C" w:rsidRPr="001E4A73" w:rsidRDefault="0088794C" w:rsidP="00263420">
      <w:pPr>
        <w:pStyle w:val="Default"/>
        <w:spacing w:line="320" w:lineRule="exact"/>
        <w:ind w:left="567" w:hanging="567"/>
        <w:rPr>
          <w:rFonts w:asciiTheme="majorBidi" w:hAnsiTheme="majorBidi" w:cstheme="majorBidi"/>
          <w:b/>
          <w:bCs/>
        </w:rPr>
      </w:pPr>
      <w:r w:rsidRPr="001E4A73">
        <w:br w:type="page"/>
      </w:r>
      <w:r w:rsidRPr="001E4A73">
        <w:rPr>
          <w:rFonts w:asciiTheme="majorBidi" w:hAnsiTheme="majorBidi" w:cstheme="majorBidi"/>
          <w:b/>
        </w:rPr>
        <w:lastRenderedPageBreak/>
        <w:t>II.</w:t>
      </w:r>
      <w:r w:rsidRPr="001E4A73">
        <w:tab/>
      </w:r>
      <w:r w:rsidRPr="001E4A73">
        <w:rPr>
          <w:rFonts w:asciiTheme="majorBidi" w:hAnsiTheme="majorBidi" w:cstheme="majorBidi"/>
          <w:b/>
          <w:u w:val="single"/>
        </w:rPr>
        <w:t>АКТУАЛНО СЪСТОЯНИЕ</w:t>
      </w:r>
    </w:p>
    <w:p w:rsidR="00AB785D" w:rsidRPr="001E4A73" w:rsidRDefault="00AB785D" w:rsidP="00263420">
      <w:pPr>
        <w:spacing w:before="0" w:after="0" w:line="320" w:lineRule="exact"/>
        <w:rPr>
          <w:rFonts w:asciiTheme="majorBidi" w:hAnsiTheme="majorBidi" w:cstheme="majorBidi"/>
        </w:rPr>
      </w:pPr>
    </w:p>
    <w:p w:rsidR="00AB785D" w:rsidRPr="001E4A73" w:rsidRDefault="00AB785D" w:rsidP="00263420">
      <w:pPr>
        <w:spacing w:before="0" w:after="0" w:line="320" w:lineRule="exact"/>
        <w:ind w:left="1134" w:hanging="567"/>
        <w:rPr>
          <w:rFonts w:asciiTheme="majorBidi" w:hAnsiTheme="majorBidi" w:cstheme="majorBidi"/>
        </w:rPr>
      </w:pPr>
      <w:r w:rsidRPr="001E4A73">
        <w:rPr>
          <w:rFonts w:asciiTheme="majorBidi" w:hAnsiTheme="majorBidi" w:cstheme="majorBidi"/>
        </w:rPr>
        <w:t>2.</w:t>
      </w:r>
      <w:r w:rsidRPr="001E4A73">
        <w:tab/>
      </w:r>
      <w:r w:rsidRPr="001E4A73">
        <w:rPr>
          <w:rFonts w:asciiTheme="majorBidi" w:hAnsiTheme="majorBidi" w:cstheme="majorBidi"/>
        </w:rPr>
        <w:t>„Програмата за чист въздух за Европа“, състояща се от съобщение и три предложения </w:t>
      </w:r>
      <w:r w:rsidRPr="001E4A73">
        <w:rPr>
          <w:rStyle w:val="FootnoteReference"/>
          <w:rFonts w:asciiTheme="majorBidi" w:hAnsiTheme="majorBidi" w:cstheme="majorBidi"/>
        </w:rPr>
        <w:footnoteReference w:id="3"/>
      </w:r>
      <w:r w:rsidRPr="001E4A73">
        <w:rPr>
          <w:rFonts w:asciiTheme="majorBidi" w:hAnsiTheme="majorBidi" w:cstheme="majorBidi"/>
        </w:rPr>
        <w:t xml:space="preserve"> (съответно за две директиви и за решение на Съвета), беше представена на Съвета на 3 март 2014 г. На 12 юни 2014 г. Съветът проведе ориентационен дебат по основните аспекти на двете предложения за директиви. По отношение на НТЕ дебатът бе съсредоточен върху поетапния подход за намаляване на замърсителите (в периода 2020—2030 г.) и обхвата на предложението</w:t>
      </w:r>
      <w:r w:rsidRPr="001E4A73">
        <w:rPr>
          <w:rStyle w:val="FootnoteReference"/>
          <w:rFonts w:asciiTheme="majorBidi" w:hAnsiTheme="majorBidi" w:cstheme="majorBidi"/>
        </w:rPr>
        <w:footnoteReference w:id="4"/>
      </w:r>
      <w:r w:rsidRPr="001E4A73">
        <w:rPr>
          <w:rFonts w:asciiTheme="majorBidi" w:hAnsiTheme="majorBidi" w:cstheme="majorBidi"/>
        </w:rPr>
        <w:t>.</w:t>
      </w:r>
    </w:p>
    <w:p w:rsidR="00AB785D" w:rsidRPr="001E4A73" w:rsidRDefault="00AB785D" w:rsidP="00263420">
      <w:pPr>
        <w:spacing w:before="0" w:after="0" w:line="320" w:lineRule="exact"/>
        <w:ind w:left="567" w:hanging="567"/>
        <w:rPr>
          <w:rFonts w:asciiTheme="majorBidi" w:hAnsiTheme="majorBidi" w:cstheme="majorBidi"/>
        </w:rPr>
      </w:pPr>
    </w:p>
    <w:p w:rsidR="00AB785D" w:rsidRPr="001E4A73" w:rsidRDefault="0088794C" w:rsidP="00263420">
      <w:pPr>
        <w:spacing w:line="320" w:lineRule="exact"/>
        <w:ind w:left="1134" w:hanging="567"/>
      </w:pPr>
      <w:r w:rsidRPr="001E4A73">
        <w:t>3.</w:t>
      </w:r>
      <w:r w:rsidRPr="001E4A73">
        <w:tab/>
        <w:t>Оценката на въздействието на предложението за НТЕ беше представена на работна група „Околна среда“ през февруари 2014 г. и беше обсъдена на няколко заседания през годината. Освен това през 2014 г. се състояха двустранни срещи между експерти от всяка държава членка и Комисията за обсъждане на конкретните сценарии за отделните страни въз основа на оценката на въздействието и предложението за директива. В резултат на това през януари 2015 г. работна група „Околна среда“ получи преработени сценарии за намаляване на емисиите.</w:t>
      </w:r>
    </w:p>
    <w:p w:rsidR="00AB785D" w:rsidRPr="001E4A73" w:rsidRDefault="00AB785D" w:rsidP="00263420">
      <w:pPr>
        <w:spacing w:before="0" w:after="0" w:line="320" w:lineRule="exact"/>
        <w:ind w:left="1134" w:hanging="567"/>
        <w:rPr>
          <w:rFonts w:asciiTheme="majorBidi" w:hAnsiTheme="majorBidi" w:cstheme="majorBidi"/>
        </w:rPr>
      </w:pPr>
    </w:p>
    <w:p w:rsidR="00AB785D" w:rsidRPr="001E4A73" w:rsidRDefault="0088794C" w:rsidP="00263420">
      <w:pPr>
        <w:spacing w:before="0" w:after="0" w:line="320" w:lineRule="exact"/>
        <w:ind w:left="1134" w:hanging="567"/>
        <w:rPr>
          <w:rFonts w:asciiTheme="majorBidi" w:hAnsiTheme="majorBidi" w:cstheme="majorBidi"/>
        </w:rPr>
      </w:pPr>
      <w:r w:rsidRPr="001E4A73">
        <w:rPr>
          <w:rFonts w:asciiTheme="majorBidi" w:hAnsiTheme="majorBidi" w:cstheme="majorBidi"/>
        </w:rPr>
        <w:t>4.</w:t>
      </w:r>
      <w:r w:rsidRPr="001E4A73">
        <w:tab/>
      </w:r>
      <w:r w:rsidRPr="001E4A73">
        <w:rPr>
          <w:rFonts w:asciiTheme="majorBidi" w:hAnsiTheme="majorBidi" w:cstheme="majorBidi"/>
        </w:rPr>
        <w:t>На 19 февруари, 12 и 30 март, 29 април и 28 май 2015 г. работна група „Околна среда“ обсъди предложението на Комисията и редица компромисни предложения на председателството</w:t>
      </w:r>
      <w:r w:rsidRPr="001E4A73">
        <w:rPr>
          <w:rStyle w:val="FootnoteReference"/>
          <w:rFonts w:asciiTheme="majorBidi" w:hAnsiTheme="majorBidi" w:cstheme="majorBidi"/>
        </w:rPr>
        <w:footnoteReference w:id="5"/>
      </w:r>
      <w:r w:rsidRPr="001E4A73">
        <w:rPr>
          <w:rFonts w:asciiTheme="majorBidi" w:hAnsiTheme="majorBidi" w:cstheme="majorBidi"/>
        </w:rPr>
        <w:t>.</w:t>
      </w:r>
    </w:p>
    <w:p w:rsidR="00AB785D" w:rsidRPr="001E4A73" w:rsidRDefault="00AB785D" w:rsidP="00263420">
      <w:pPr>
        <w:spacing w:before="0" w:after="0" w:line="320" w:lineRule="exact"/>
        <w:ind w:left="1134"/>
        <w:rPr>
          <w:rFonts w:asciiTheme="majorBidi" w:hAnsiTheme="majorBidi" w:cstheme="majorBidi"/>
        </w:rPr>
      </w:pPr>
    </w:p>
    <w:p w:rsidR="00AB785D" w:rsidRPr="001E4A73" w:rsidRDefault="00AB785D" w:rsidP="00263420">
      <w:pPr>
        <w:tabs>
          <w:tab w:val="left" w:pos="567"/>
        </w:tabs>
        <w:spacing w:before="0" w:after="0" w:line="320" w:lineRule="exact"/>
        <w:ind w:left="1134"/>
        <w:rPr>
          <w:rFonts w:asciiTheme="majorBidi" w:hAnsiTheme="majorBidi" w:cstheme="majorBidi"/>
        </w:rPr>
      </w:pPr>
      <w:r w:rsidRPr="001E4A73">
        <w:rPr>
          <w:rFonts w:asciiTheme="majorBidi" w:hAnsiTheme="majorBidi" w:cstheme="majorBidi"/>
        </w:rPr>
        <w:t>Латвийското председателство внесе няколко промени в предложението, за да отрази някои опасения, изразени на политическо и техническо равнище в рамките Съвета. По-специално:</w:t>
      </w:r>
    </w:p>
    <w:p w:rsidR="00AB785D" w:rsidRPr="001E4A73" w:rsidRDefault="00AB785D" w:rsidP="00263420">
      <w:pPr>
        <w:tabs>
          <w:tab w:val="left" w:pos="567"/>
        </w:tabs>
        <w:spacing w:before="0" w:after="0" w:line="320" w:lineRule="exact"/>
        <w:ind w:left="567"/>
        <w:rPr>
          <w:rFonts w:asciiTheme="majorBidi" w:hAnsiTheme="majorBidi" w:cstheme="majorBidi"/>
        </w:rPr>
      </w:pPr>
    </w:p>
    <w:p w:rsidR="00166344" w:rsidRPr="001E4A73" w:rsidRDefault="00AB785D" w:rsidP="00263420">
      <w:pPr>
        <w:numPr>
          <w:ilvl w:val="0"/>
          <w:numId w:val="21"/>
        </w:numPr>
        <w:tabs>
          <w:tab w:val="left" w:pos="1701"/>
        </w:tabs>
        <w:spacing w:before="0" w:after="0" w:line="320" w:lineRule="exact"/>
        <w:ind w:left="1701" w:hanging="567"/>
        <w:rPr>
          <w:rFonts w:asciiTheme="majorBidi" w:hAnsiTheme="majorBidi" w:cstheme="majorBidi"/>
        </w:rPr>
      </w:pPr>
      <w:r w:rsidRPr="001E4A73">
        <w:rPr>
          <w:rFonts w:asciiTheme="majorBidi" w:hAnsiTheme="majorBidi" w:cstheme="majorBidi"/>
        </w:rPr>
        <w:t>ангажиментите за намаляване на емисиите от 2030 г. нататък</w:t>
      </w:r>
      <w:r w:rsidRPr="001E4A73">
        <w:rPr>
          <w:rStyle w:val="FootnoteReference"/>
          <w:rFonts w:asciiTheme="majorBidi" w:hAnsiTheme="majorBidi" w:cstheme="majorBidi"/>
        </w:rPr>
        <w:footnoteReference w:id="6"/>
      </w:r>
      <w:r w:rsidRPr="001E4A73">
        <w:rPr>
          <w:rFonts w:asciiTheme="majorBidi" w:hAnsiTheme="majorBidi" w:cstheme="majorBidi"/>
        </w:rPr>
        <w:t xml:space="preserve"> бяха актуализирани със стойности, преизчислени след проведените двустранни срещи и предоставени през януари;</w:t>
      </w:r>
    </w:p>
    <w:p w:rsidR="00AB785D" w:rsidRPr="001E4A73" w:rsidRDefault="00166344" w:rsidP="00263420">
      <w:pPr>
        <w:spacing w:line="320" w:lineRule="exact"/>
      </w:pPr>
      <w:r w:rsidRPr="001E4A73">
        <w:br w:type="page"/>
      </w:r>
    </w:p>
    <w:p w:rsidR="00AB785D" w:rsidRPr="001E4A73" w:rsidRDefault="00AB785D" w:rsidP="0088794C">
      <w:pPr>
        <w:numPr>
          <w:ilvl w:val="0"/>
          <w:numId w:val="21"/>
        </w:numPr>
        <w:tabs>
          <w:tab w:val="left" w:pos="1701"/>
        </w:tabs>
        <w:spacing w:before="0" w:after="0"/>
        <w:ind w:left="1701" w:hanging="567"/>
        <w:rPr>
          <w:rFonts w:asciiTheme="majorBidi" w:hAnsiTheme="majorBidi" w:cstheme="majorBidi"/>
        </w:rPr>
      </w:pPr>
      <w:r w:rsidRPr="001E4A73">
        <w:rPr>
          <w:rFonts w:asciiTheme="majorBidi" w:hAnsiTheme="majorBidi" w:cstheme="majorBidi"/>
        </w:rPr>
        <w:t>метанът (CH4) беше заличен от обхвата на директивата поради опасения относно евентуалното дублиране с ангажименти, свързани с целите за намаляване на емисиите на парникови газове;</w:t>
      </w:r>
    </w:p>
    <w:p w:rsidR="00AB785D" w:rsidRPr="001E4A73" w:rsidRDefault="00AB785D" w:rsidP="0088794C">
      <w:pPr>
        <w:numPr>
          <w:ilvl w:val="0"/>
          <w:numId w:val="21"/>
        </w:numPr>
        <w:tabs>
          <w:tab w:val="left" w:pos="1701"/>
        </w:tabs>
        <w:spacing w:before="0" w:after="0"/>
        <w:ind w:left="1701" w:hanging="567"/>
        <w:rPr>
          <w:rFonts w:asciiTheme="majorBidi" w:hAnsiTheme="majorBidi" w:cstheme="majorBidi"/>
        </w:rPr>
      </w:pPr>
      <w:r w:rsidRPr="001E4A73">
        <w:rPr>
          <w:rFonts w:asciiTheme="majorBidi" w:hAnsiTheme="majorBidi" w:cstheme="majorBidi"/>
        </w:rPr>
        <w:t>въведена беше възможността да се променят и адаптират междинните нива на емисиите за 2025 г. (целите за периода 2020—2030 г.), когато това е технически и икономически обосновано от държавата членка;</w:t>
      </w:r>
    </w:p>
    <w:p w:rsidR="00AB785D" w:rsidRPr="001E4A73" w:rsidRDefault="00AB785D" w:rsidP="0088794C">
      <w:pPr>
        <w:numPr>
          <w:ilvl w:val="0"/>
          <w:numId w:val="21"/>
        </w:numPr>
        <w:tabs>
          <w:tab w:val="left" w:pos="1701"/>
        </w:tabs>
        <w:spacing w:before="0" w:after="0"/>
        <w:ind w:left="1701" w:hanging="567"/>
        <w:rPr>
          <w:rFonts w:asciiTheme="majorBidi" w:hAnsiTheme="majorBidi" w:cstheme="majorBidi"/>
        </w:rPr>
      </w:pPr>
      <w:r w:rsidRPr="001E4A73">
        <w:rPr>
          <w:rFonts w:asciiTheme="majorBidi" w:hAnsiTheme="majorBidi" w:cstheme="majorBidi"/>
        </w:rPr>
        <w:t>беше премахната гъвкавостта, що се отнася до приспадането на намаленията на емисиите, постигнати в морския сектор, наред с другото, тъй като беше счетена за сложна за прилагане и за наблюдение;</w:t>
      </w:r>
    </w:p>
    <w:p w:rsidR="00AB785D" w:rsidRPr="001E4A73" w:rsidRDefault="00AB785D" w:rsidP="002D2CF4">
      <w:pPr>
        <w:numPr>
          <w:ilvl w:val="0"/>
          <w:numId w:val="21"/>
        </w:numPr>
        <w:tabs>
          <w:tab w:val="left" w:pos="1701"/>
        </w:tabs>
        <w:spacing w:before="0" w:after="0"/>
        <w:ind w:left="1701" w:hanging="567"/>
        <w:rPr>
          <w:rFonts w:asciiTheme="majorBidi" w:hAnsiTheme="majorBidi" w:cstheme="majorBidi"/>
        </w:rPr>
      </w:pPr>
      <w:r w:rsidRPr="001E4A73">
        <w:rPr>
          <w:rFonts w:asciiTheme="majorBidi" w:hAnsiTheme="majorBidi" w:cstheme="majorBidi"/>
        </w:rPr>
        <w:t>няколко крайни срока от предложението бяха удължени, докато други се запазват, тъй като първите ангажименти за намаляване на емисиите (от Протокола от Гьотеборг) са насрочени за 2020 г.</w:t>
      </w:r>
    </w:p>
    <w:p w:rsidR="00AB785D" w:rsidRPr="001E4A73" w:rsidRDefault="00AB785D" w:rsidP="00AB785D">
      <w:pPr>
        <w:tabs>
          <w:tab w:val="left" w:pos="1134"/>
        </w:tabs>
        <w:spacing w:before="0" w:after="0"/>
        <w:ind w:left="1701" w:hanging="1134"/>
        <w:rPr>
          <w:rFonts w:asciiTheme="majorBidi" w:hAnsiTheme="majorBidi" w:cstheme="majorBidi"/>
        </w:rPr>
      </w:pPr>
    </w:p>
    <w:p w:rsidR="00AB785D" w:rsidRPr="001E4A73" w:rsidRDefault="00AB785D" w:rsidP="0088794C">
      <w:pPr>
        <w:tabs>
          <w:tab w:val="left" w:pos="1134"/>
        </w:tabs>
        <w:spacing w:before="0" w:after="0"/>
        <w:ind w:left="1134"/>
        <w:rPr>
          <w:rFonts w:asciiTheme="majorBidi" w:hAnsiTheme="majorBidi" w:cstheme="majorBidi"/>
        </w:rPr>
      </w:pPr>
      <w:r w:rsidRPr="001E4A73">
        <w:rPr>
          <w:rFonts w:asciiTheme="majorBidi" w:hAnsiTheme="majorBidi" w:cstheme="majorBidi"/>
        </w:rPr>
        <w:t xml:space="preserve">Понастоящем мнозинството от делегациите подкрепя посочените по-горе изменения, а </w:t>
      </w:r>
      <w:r w:rsidRPr="001E4A73">
        <w:rPr>
          <w:rFonts w:asciiTheme="majorBidi" w:hAnsiTheme="majorBidi" w:cstheme="majorBidi"/>
          <w:u w:val="single"/>
        </w:rPr>
        <w:t>Комисията</w:t>
      </w:r>
      <w:r w:rsidRPr="001E4A73">
        <w:rPr>
          <w:rFonts w:asciiTheme="majorBidi" w:hAnsiTheme="majorBidi" w:cstheme="majorBidi"/>
        </w:rPr>
        <w:t xml:space="preserve"> поддържа редица резерви (наред с другото, по отношение на метана и гъвкавостта).</w:t>
      </w:r>
    </w:p>
    <w:p w:rsidR="00AB785D" w:rsidRPr="001E4A73" w:rsidRDefault="00AB785D" w:rsidP="00AB785D">
      <w:pPr>
        <w:spacing w:before="0" w:after="0"/>
        <w:rPr>
          <w:rFonts w:asciiTheme="majorBidi" w:hAnsiTheme="majorBidi" w:cstheme="majorBidi"/>
        </w:rPr>
      </w:pPr>
    </w:p>
    <w:p w:rsidR="002D2CF4" w:rsidRPr="001E4A73" w:rsidRDefault="0088794C" w:rsidP="0088794C">
      <w:pPr>
        <w:spacing w:before="0" w:after="0"/>
        <w:ind w:left="1134" w:hanging="567"/>
        <w:rPr>
          <w:rFonts w:asciiTheme="majorBidi" w:hAnsiTheme="majorBidi" w:cstheme="majorBidi"/>
        </w:rPr>
      </w:pPr>
      <w:r w:rsidRPr="001E4A73">
        <w:rPr>
          <w:rFonts w:asciiTheme="majorBidi" w:hAnsiTheme="majorBidi" w:cstheme="majorBidi"/>
        </w:rPr>
        <w:t>5.</w:t>
      </w:r>
      <w:r w:rsidRPr="001E4A73">
        <w:tab/>
      </w:r>
      <w:r w:rsidRPr="001E4A73">
        <w:rPr>
          <w:rFonts w:asciiTheme="majorBidi" w:hAnsiTheme="majorBidi" w:cstheme="majorBidi"/>
        </w:rPr>
        <w:t>Очаква се Комисията по околна среда на Европейския парламент да гласува доклада си на</w:t>
      </w:r>
    </w:p>
    <w:p w:rsidR="00AB785D" w:rsidRPr="001E4A73" w:rsidRDefault="002D2CF4" w:rsidP="002D2CF4">
      <w:pPr>
        <w:spacing w:before="0" w:after="0"/>
        <w:ind w:left="1134"/>
        <w:rPr>
          <w:rFonts w:asciiTheme="majorBidi" w:hAnsiTheme="majorBidi" w:cstheme="majorBidi"/>
        </w:rPr>
      </w:pPr>
      <w:r w:rsidRPr="001E4A73">
        <w:rPr>
          <w:rFonts w:asciiTheme="majorBidi" w:hAnsiTheme="majorBidi" w:cstheme="majorBidi"/>
        </w:rPr>
        <w:t>15—16 юли, а гласуването на пленарно заседание би могло да се проведе още през септември 2015 г. Повече от 500 предложения за изменения бяха представени в последно време, много от които са насочени към повишаване на равнището на амбиция и укрепване на предложението.</w:t>
      </w:r>
    </w:p>
    <w:p w:rsidR="00AB785D" w:rsidRPr="001E4A73" w:rsidRDefault="00AB785D" w:rsidP="00AB785D">
      <w:pPr>
        <w:spacing w:before="0" w:after="0"/>
        <w:ind w:left="567" w:hanging="567"/>
        <w:rPr>
          <w:rFonts w:asciiTheme="majorBidi" w:hAnsiTheme="majorBidi" w:cstheme="majorBidi"/>
        </w:rPr>
      </w:pPr>
    </w:p>
    <w:p w:rsidR="0088794C" w:rsidRPr="001E4A73" w:rsidRDefault="0088794C" w:rsidP="00AB785D">
      <w:pPr>
        <w:spacing w:before="0" w:after="0"/>
        <w:ind w:left="567" w:hanging="567"/>
        <w:rPr>
          <w:rFonts w:asciiTheme="majorBidi" w:hAnsiTheme="majorBidi" w:cstheme="majorBidi"/>
          <w:b/>
          <w:bCs/>
        </w:rPr>
      </w:pPr>
      <w:r w:rsidRPr="001E4A73">
        <w:rPr>
          <w:rFonts w:asciiTheme="majorBidi" w:hAnsiTheme="majorBidi" w:cstheme="majorBidi"/>
          <w:b/>
        </w:rPr>
        <w:t>III.</w:t>
      </w:r>
      <w:r w:rsidRPr="001E4A73">
        <w:tab/>
      </w:r>
      <w:r w:rsidRPr="001E4A73">
        <w:rPr>
          <w:rFonts w:asciiTheme="majorBidi" w:hAnsiTheme="majorBidi" w:cstheme="majorBidi"/>
          <w:b/>
          <w:u w:val="single"/>
        </w:rPr>
        <w:t>ЗАКЛЮЧЕНИЕ</w:t>
      </w:r>
    </w:p>
    <w:p w:rsidR="0088794C" w:rsidRPr="001E4A73" w:rsidRDefault="0088794C" w:rsidP="00AB785D">
      <w:pPr>
        <w:spacing w:before="0" w:after="0"/>
        <w:ind w:left="567" w:hanging="567"/>
        <w:rPr>
          <w:rFonts w:asciiTheme="majorBidi" w:hAnsiTheme="majorBidi" w:cstheme="majorBidi"/>
        </w:rPr>
      </w:pPr>
    </w:p>
    <w:p w:rsidR="00AB785D" w:rsidRPr="001E4A73" w:rsidRDefault="0088794C" w:rsidP="00916385">
      <w:pPr>
        <w:spacing w:before="0" w:after="0"/>
        <w:ind w:left="1134" w:hanging="567"/>
        <w:rPr>
          <w:rFonts w:asciiTheme="majorBidi" w:hAnsiTheme="majorBidi" w:cstheme="majorBidi"/>
        </w:rPr>
      </w:pPr>
      <w:r w:rsidRPr="001E4A73">
        <w:rPr>
          <w:rFonts w:asciiTheme="majorBidi" w:hAnsiTheme="majorBidi" w:cstheme="majorBidi"/>
        </w:rPr>
        <w:t>6.</w:t>
      </w:r>
      <w:r w:rsidRPr="001E4A73">
        <w:tab/>
      </w:r>
      <w:r w:rsidRPr="001E4A73">
        <w:rPr>
          <w:rFonts w:asciiTheme="majorBidi" w:hAnsiTheme="majorBidi" w:cstheme="majorBidi"/>
        </w:rPr>
        <w:t xml:space="preserve">За да насочи ориентационния дебат относно законодателното предложение за НТЕ, който ще се проведе на заседанието на Съвета на 15 юни 2015 г., </w:t>
      </w:r>
      <w:r w:rsidRPr="001E4A73">
        <w:rPr>
          <w:rFonts w:asciiTheme="majorBidi" w:hAnsiTheme="majorBidi" w:cstheme="majorBidi"/>
          <w:u w:val="single"/>
        </w:rPr>
        <w:t>председателството</w:t>
      </w:r>
      <w:r w:rsidRPr="001E4A73">
        <w:rPr>
          <w:rFonts w:asciiTheme="majorBidi" w:hAnsiTheme="majorBidi" w:cstheme="majorBidi"/>
        </w:rPr>
        <w:t xml:space="preserve"> формулира два въпроса, предшествани от кратка справка.</w:t>
      </w:r>
    </w:p>
    <w:p w:rsidR="00AB785D" w:rsidRPr="001E4A73" w:rsidRDefault="00AB785D" w:rsidP="00AB785D">
      <w:pPr>
        <w:spacing w:before="0" w:after="0"/>
        <w:rPr>
          <w:rFonts w:asciiTheme="majorBidi" w:hAnsiTheme="majorBidi" w:cstheme="majorBidi"/>
        </w:rPr>
      </w:pPr>
    </w:p>
    <w:p w:rsidR="00AB785D" w:rsidRPr="001E4A73" w:rsidRDefault="00166344" w:rsidP="0088794C">
      <w:pPr>
        <w:spacing w:before="0" w:after="0"/>
        <w:ind w:left="1134" w:hanging="567"/>
        <w:rPr>
          <w:rFonts w:asciiTheme="majorBidi" w:hAnsiTheme="majorBidi" w:cstheme="majorBidi"/>
        </w:rPr>
      </w:pPr>
      <w:r w:rsidRPr="001E4A73">
        <w:br w:type="page"/>
      </w:r>
      <w:r w:rsidRPr="001E4A73">
        <w:rPr>
          <w:rFonts w:asciiTheme="majorBidi" w:hAnsiTheme="majorBidi" w:cstheme="majorBidi"/>
        </w:rPr>
        <w:lastRenderedPageBreak/>
        <w:t>7.</w:t>
      </w:r>
      <w:r w:rsidRPr="001E4A73">
        <w:tab/>
      </w:r>
      <w:r w:rsidRPr="001E4A73">
        <w:rPr>
          <w:rFonts w:asciiTheme="majorBidi" w:hAnsiTheme="majorBidi" w:cstheme="majorBidi"/>
          <w:u w:val="single"/>
        </w:rPr>
        <w:t>Комитетът на постоянните представители</w:t>
      </w:r>
      <w:r w:rsidRPr="001E4A73">
        <w:rPr>
          <w:rFonts w:asciiTheme="majorBidi" w:hAnsiTheme="majorBidi" w:cstheme="majorBidi"/>
        </w:rPr>
        <w:t xml:space="preserve"> се приканва да вземе под внимание формулираните от </w:t>
      </w:r>
      <w:r w:rsidRPr="001E4A73">
        <w:rPr>
          <w:rFonts w:asciiTheme="majorBidi" w:hAnsiTheme="majorBidi" w:cstheme="majorBidi"/>
          <w:u w:val="single"/>
        </w:rPr>
        <w:t>председателството</w:t>
      </w:r>
      <w:r w:rsidRPr="001E4A73">
        <w:rPr>
          <w:rFonts w:asciiTheme="majorBidi" w:hAnsiTheme="majorBidi" w:cstheme="majorBidi"/>
        </w:rPr>
        <w:t xml:space="preserve"> въпроси, поместени в </w:t>
      </w:r>
      <w:r w:rsidRPr="001E4A73">
        <w:rPr>
          <w:rFonts w:asciiTheme="majorBidi" w:hAnsiTheme="majorBidi" w:cstheme="majorBidi"/>
          <w:u w:val="single"/>
        </w:rPr>
        <w:t>приложението</w:t>
      </w:r>
      <w:r w:rsidRPr="001E4A73">
        <w:rPr>
          <w:rFonts w:asciiTheme="majorBidi" w:hAnsiTheme="majorBidi" w:cstheme="majorBidi"/>
        </w:rPr>
        <w:t xml:space="preserve"> към настоящата бележка, и да ги препрати на Съвета.</w:t>
      </w:r>
    </w:p>
    <w:p w:rsidR="00AB785D" w:rsidRPr="001E4A73" w:rsidRDefault="00AB785D" w:rsidP="0088794C">
      <w:pPr>
        <w:spacing w:before="0" w:after="0"/>
        <w:ind w:left="1134" w:hanging="567"/>
        <w:rPr>
          <w:rFonts w:asciiTheme="majorBidi" w:hAnsiTheme="majorBidi" w:cstheme="majorBidi"/>
        </w:rPr>
      </w:pPr>
    </w:p>
    <w:p w:rsidR="00421A9A" w:rsidRPr="001E4A73" w:rsidRDefault="0088794C" w:rsidP="006A7C3B">
      <w:pPr>
        <w:keepNext/>
        <w:spacing w:before="0" w:after="0"/>
        <w:ind w:left="1134" w:hanging="567"/>
        <w:rPr>
          <w:rFonts w:asciiTheme="majorBidi" w:hAnsiTheme="majorBidi" w:cstheme="majorBidi"/>
        </w:rPr>
      </w:pPr>
      <w:r w:rsidRPr="001E4A73">
        <w:rPr>
          <w:rFonts w:asciiTheme="majorBidi" w:hAnsiTheme="majorBidi" w:cstheme="majorBidi"/>
        </w:rPr>
        <w:t>8.</w:t>
      </w:r>
      <w:r w:rsidRPr="001E4A73">
        <w:tab/>
      </w:r>
      <w:r w:rsidRPr="001E4A73">
        <w:rPr>
          <w:rFonts w:asciiTheme="majorBidi" w:hAnsiTheme="majorBidi" w:cstheme="majorBidi"/>
          <w:u w:val="single"/>
        </w:rPr>
        <w:t>Председателството</w:t>
      </w:r>
      <w:r w:rsidRPr="001E4A73">
        <w:rPr>
          <w:rFonts w:asciiTheme="majorBidi" w:hAnsiTheme="majorBidi" w:cstheme="majorBidi"/>
        </w:rPr>
        <w:t xml:space="preserve"> приканва делегациите да изпратят писмените си отговори преди заседанието на Съвета, а когато това е възможно, да правят съвместни изказвания по време на самото заседание.</w:t>
      </w:r>
    </w:p>
    <w:p w:rsidR="00AB785D" w:rsidRPr="001E4A73" w:rsidRDefault="00AB785D" w:rsidP="00AB785D">
      <w:pPr>
        <w:pStyle w:val="FinalLine"/>
      </w:pPr>
    </w:p>
    <w:p w:rsidR="00AB785D" w:rsidRPr="001E4A73" w:rsidRDefault="00AB785D" w:rsidP="00AB785D">
      <w:pPr>
        <w:sectPr w:rsidR="00AB785D" w:rsidRPr="001E4A73" w:rsidSect="006A7C3B">
          <w:headerReference w:type="even" r:id="rId10"/>
          <w:headerReference w:type="default" r:id="rId11"/>
          <w:footerReference w:type="even" r:id="rId12"/>
          <w:footerReference w:type="default" r:id="rId13"/>
          <w:headerReference w:type="first" r:id="rId14"/>
          <w:footerReference w:type="first" r:id="rId15"/>
          <w:pgSz w:w="11907" w:h="16840" w:code="9"/>
          <w:pgMar w:top="624" w:right="1134" w:bottom="1134" w:left="1134" w:header="567" w:footer="567" w:gutter="0"/>
          <w:pgNumType w:start="1"/>
          <w:cols w:space="708"/>
          <w:titlePg/>
          <w:docGrid w:linePitch="360"/>
        </w:sectPr>
      </w:pPr>
    </w:p>
    <w:p w:rsidR="00AB785D" w:rsidRPr="001E4A73" w:rsidRDefault="00AB785D" w:rsidP="00263420">
      <w:pPr>
        <w:pStyle w:val="Annex"/>
        <w:spacing w:before="0"/>
      </w:pPr>
      <w:r w:rsidRPr="001E4A73">
        <w:lastRenderedPageBreak/>
        <w:t>ПРИЛОЖЕНИЕ</w:t>
      </w:r>
    </w:p>
    <w:p w:rsidR="00AB785D" w:rsidRPr="001E4A73" w:rsidRDefault="00AB785D" w:rsidP="00AB785D">
      <w:pPr>
        <w:tabs>
          <w:tab w:val="left" w:pos="567"/>
        </w:tabs>
        <w:spacing w:before="0" w:after="0"/>
        <w:rPr>
          <w:b/>
          <w:bCs/>
        </w:rPr>
      </w:pPr>
      <w:r w:rsidRPr="001E4A73">
        <w:rPr>
          <w:b/>
        </w:rPr>
        <w:t>I.</w:t>
      </w:r>
      <w:r w:rsidRPr="001E4A73">
        <w:tab/>
      </w:r>
      <w:r w:rsidRPr="001E4A73">
        <w:rPr>
          <w:b/>
          <w:u w:val="single"/>
        </w:rPr>
        <w:t>КОНТЕКСТ</w:t>
      </w:r>
    </w:p>
    <w:p w:rsidR="00AB785D" w:rsidRPr="001E4A73" w:rsidRDefault="00AB785D" w:rsidP="00AB785D">
      <w:pPr>
        <w:tabs>
          <w:tab w:val="left" w:pos="1134"/>
        </w:tabs>
        <w:spacing w:before="0" w:after="0"/>
        <w:ind w:firstLine="567"/>
      </w:pPr>
    </w:p>
    <w:p w:rsidR="00AB785D" w:rsidRPr="001E4A73" w:rsidRDefault="00AB785D" w:rsidP="00AB785D">
      <w:pPr>
        <w:tabs>
          <w:tab w:val="left" w:pos="567"/>
        </w:tabs>
        <w:spacing w:before="0" w:after="0"/>
        <w:ind w:left="567"/>
      </w:pPr>
      <w:r w:rsidRPr="001E4A73">
        <w:t>Замърсяването на въздуха е най-значителната свързана с околната среда причина за смърт в ЕС, като води до 400 000 случая на преждевременна смърт всяка година, което е равностойно на годишни външни разходи в размер над 900 милиарда евро.</w:t>
      </w:r>
    </w:p>
    <w:p w:rsidR="00AB785D" w:rsidRPr="001E4A73" w:rsidRDefault="00AB785D" w:rsidP="00AB785D">
      <w:pPr>
        <w:tabs>
          <w:tab w:val="left" w:pos="567"/>
        </w:tabs>
        <w:spacing w:before="0" w:after="0"/>
        <w:ind w:left="567"/>
      </w:pPr>
    </w:p>
    <w:p w:rsidR="00AB785D" w:rsidRPr="001E4A73" w:rsidRDefault="00AB785D" w:rsidP="00AB785D">
      <w:pPr>
        <w:tabs>
          <w:tab w:val="left" w:pos="567"/>
        </w:tabs>
        <w:spacing w:before="0" w:after="0"/>
        <w:ind w:left="567"/>
      </w:pPr>
      <w:r w:rsidRPr="001E4A73">
        <w:t xml:space="preserve">Предложението за НТЕ произтича от актуализираната стратегия за качеството на въздуха и има за цел да се намалят случаите на преждевременна смърт от настоящите равнища на около 200 000 през 2030 г. В съответното съобщение на Комисията </w:t>
      </w:r>
      <w:r w:rsidRPr="001E4A73">
        <w:rPr>
          <w:u w:val="single"/>
        </w:rPr>
        <w:t>водещата цел</w:t>
      </w:r>
      <w:r w:rsidRPr="001E4A73">
        <w:t xml:space="preserve"> за намаляване наполовина на броя на преждевременните смъртни случаи е определена въз основа на разширен анализ на разходната ефективност и чувствителността.</w:t>
      </w:r>
    </w:p>
    <w:p w:rsidR="00AB785D" w:rsidRPr="001E4A73" w:rsidRDefault="00AB785D" w:rsidP="00AB785D">
      <w:pPr>
        <w:tabs>
          <w:tab w:val="left" w:pos="567"/>
        </w:tabs>
        <w:spacing w:before="0" w:after="0"/>
        <w:ind w:left="567" w:hanging="567"/>
      </w:pPr>
    </w:p>
    <w:p w:rsidR="00AB785D" w:rsidRPr="001E4A73" w:rsidRDefault="00AB785D" w:rsidP="00AB785D">
      <w:pPr>
        <w:tabs>
          <w:tab w:val="left" w:pos="567"/>
        </w:tabs>
        <w:spacing w:before="0" w:after="0"/>
        <w:ind w:left="567"/>
      </w:pPr>
      <w:r w:rsidRPr="001E4A73">
        <w:t>Предложенията на Комисията относно ангажиментите за намаляване на емисиите от 2030 г. нататък се основават на предположението, че поетите съгласно Протокола от Гьотеборг ангажименти за 2020 г. могат да бъдат изпълнени чрез цялостно прилагане на съществуващото законодателство за качеството на въздуха. Допълнителните ангажименти за намаляване на емисиите за 2030 г. ще съкратят общите външни разходи, свързани със замърсяването на въздуха, с още 45 млрд. евро (по най-консервативна оценка), което е десетократно повече от разходите за привеждане в съответствие. Преките икономически ползи са свързани с намаляване на загубите, произтичащи от понижена производителност на труда, с по-ниски разходи за здравни грижи, с намаляване на загубите на реколта и на щетите за застроената среда.</w:t>
      </w:r>
    </w:p>
    <w:p w:rsidR="00AB785D" w:rsidRPr="001E4A73" w:rsidRDefault="00AB785D" w:rsidP="00AB785D">
      <w:pPr>
        <w:tabs>
          <w:tab w:val="left" w:pos="567"/>
        </w:tabs>
        <w:spacing w:before="0" w:after="0"/>
        <w:ind w:left="567"/>
      </w:pPr>
    </w:p>
    <w:p w:rsidR="00AB785D" w:rsidRPr="001E4A73" w:rsidRDefault="00AB785D" w:rsidP="00263420">
      <w:pPr>
        <w:tabs>
          <w:tab w:val="left" w:pos="567"/>
        </w:tabs>
        <w:spacing w:before="0" w:after="0"/>
        <w:ind w:left="567"/>
      </w:pPr>
      <w:r w:rsidRPr="001E4A73">
        <w:t>По време на дебата в Съвета през юни 2014 г. много делегации подкрепиха поетапния подход и обхващането на всички икономически сектори, но бяха изразени опасения относно равнището на амбиция, по-специално що се отнася до максималните стойности, които да бъдат постигнати до 2030 г.</w:t>
      </w:r>
      <w:r w:rsidRPr="001E4A73">
        <w:rPr>
          <w:color w:val="000000"/>
        </w:rPr>
        <w:t xml:space="preserve"> Няколко делегации заявиха, че следва да се проучи по-нататък въздействието на предложените тавани на емисиите, особено върху селскостопанския сектор. Комисията изяви готовност да направи това и насърчи държавите членки да запазят високото ниво на амбиция на предложението, като също така припомни целите относно качеството на въздуха от 7-ата ПДОС.</w:t>
      </w:r>
    </w:p>
    <w:p w:rsidR="00AB785D" w:rsidRPr="001E4A73" w:rsidRDefault="00AB785D" w:rsidP="003D7C69">
      <w:pPr>
        <w:tabs>
          <w:tab w:val="left" w:pos="567"/>
        </w:tabs>
        <w:spacing w:before="0" w:after="0"/>
        <w:ind w:left="567"/>
      </w:pPr>
      <w:r w:rsidRPr="001E4A73">
        <w:br w:type="page"/>
        <w:t>След този дебат и двустранните срещи с държавите членки Комисията актуализира своя анализ, така че да отразява поставените въпроси и преразгледаните неотдавна от държавите членки емисии за базовата 2005 г. За да бъде постигнато същото ниво на амбиция, в анализа за всяка държава членка се предвиждат актуализирани ангажименти за намаляване на емисиите, приложими от 2030 г. за всеки замърсител, и се посочва, че общите годишни разходи за привеждане в съответствие ще бъдат намалени с един милиард евро.</w:t>
      </w:r>
    </w:p>
    <w:p w:rsidR="00AB785D" w:rsidRPr="001E4A73" w:rsidRDefault="00AB785D" w:rsidP="003D7C69">
      <w:pPr>
        <w:tabs>
          <w:tab w:val="left" w:pos="567"/>
          <w:tab w:val="left" w:pos="1134"/>
        </w:tabs>
        <w:spacing w:before="0" w:after="0"/>
        <w:ind w:left="567"/>
      </w:pPr>
    </w:p>
    <w:p w:rsidR="00AB785D" w:rsidRPr="001E4A73" w:rsidRDefault="00AB785D" w:rsidP="003D7C69">
      <w:pPr>
        <w:tabs>
          <w:tab w:val="left" w:pos="567"/>
        </w:tabs>
        <w:spacing w:before="0" w:after="0"/>
        <w:ind w:left="567"/>
      </w:pPr>
      <w:r w:rsidRPr="001E4A73">
        <w:t>Макар че тези данни бяха приети като цяло положително, няколко държави членки поискаха допълнително време, за да приключат вътрешните си анализи на постижимостта на целите за 2030 г. Други държави членки изразиха загриженост, че постижимостта на целите може да бъде засегната, ако бъдещото икономическо развитие се различава от предвиденото в анализа на Комисията.</w:t>
      </w:r>
    </w:p>
    <w:p w:rsidR="00AB785D" w:rsidRPr="001E4A73" w:rsidRDefault="00AB785D" w:rsidP="00AB785D">
      <w:pPr>
        <w:tabs>
          <w:tab w:val="left" w:pos="1134"/>
        </w:tabs>
        <w:spacing w:before="0" w:after="0"/>
        <w:ind w:firstLine="567"/>
      </w:pPr>
    </w:p>
    <w:p w:rsidR="00AB785D" w:rsidRPr="001E4A73" w:rsidRDefault="00AB785D" w:rsidP="00AB785D">
      <w:pPr>
        <w:tabs>
          <w:tab w:val="left" w:pos="0"/>
        </w:tabs>
        <w:spacing w:before="0" w:after="0"/>
        <w:rPr>
          <w:b/>
          <w:bCs/>
        </w:rPr>
      </w:pPr>
      <w:r w:rsidRPr="001E4A73">
        <w:rPr>
          <w:b/>
        </w:rPr>
        <w:t>II.</w:t>
      </w:r>
      <w:r w:rsidRPr="001E4A73">
        <w:tab/>
      </w:r>
      <w:r w:rsidRPr="001E4A73">
        <w:rPr>
          <w:b/>
          <w:u w:val="single"/>
        </w:rPr>
        <w:t>ВЪПРОСИ</w:t>
      </w:r>
    </w:p>
    <w:p w:rsidR="00AB785D" w:rsidRPr="001E4A73" w:rsidRDefault="00AB785D" w:rsidP="00AB785D">
      <w:pPr>
        <w:spacing w:before="0" w:after="0"/>
        <w:ind w:left="567" w:hanging="567"/>
        <w:rPr>
          <w:i/>
          <w:iCs/>
        </w:rPr>
      </w:pPr>
    </w:p>
    <w:p w:rsidR="0088794C" w:rsidRPr="001E4A73" w:rsidRDefault="0088794C" w:rsidP="0088794C">
      <w:pPr>
        <w:spacing w:before="0" w:after="0"/>
        <w:ind w:left="567"/>
      </w:pPr>
      <w:r w:rsidRPr="001E4A73">
        <w:t>В този контекст председателството формулира следните въпроси за обсъждане:</w:t>
      </w:r>
    </w:p>
    <w:p w:rsidR="0088794C" w:rsidRPr="001E4A73" w:rsidRDefault="0088794C" w:rsidP="00AB785D">
      <w:pPr>
        <w:spacing w:before="0" w:after="0"/>
        <w:ind w:left="567" w:hanging="567"/>
        <w:rPr>
          <w:i/>
          <w:iCs/>
        </w:rPr>
      </w:pPr>
    </w:p>
    <w:p w:rsidR="00AB785D" w:rsidRPr="001E4A73" w:rsidRDefault="00AB785D" w:rsidP="00916385">
      <w:pPr>
        <w:spacing w:before="0" w:after="0"/>
        <w:ind w:left="1134" w:hanging="567"/>
        <w:rPr>
          <w:i/>
          <w:iCs/>
        </w:rPr>
      </w:pPr>
      <w:r w:rsidRPr="001E4A73">
        <w:rPr>
          <w:i/>
        </w:rPr>
        <w:t>1.</w:t>
      </w:r>
      <w:r w:rsidRPr="001E4A73">
        <w:tab/>
      </w:r>
      <w:r w:rsidRPr="001E4A73">
        <w:rPr>
          <w:i/>
        </w:rPr>
        <w:t>Кои са основните трудности при постигането на актуализираните цели за периода до 2030 г., като се отчитат резултатите от дебата в Съвета през юни 2014 г., когато бе подкрепен поетапен подход за периода до 2030 г. с принос от всички сектори?</w:t>
      </w:r>
    </w:p>
    <w:p w:rsidR="00AB785D" w:rsidRPr="001E4A73" w:rsidRDefault="00AB785D" w:rsidP="00AB785D">
      <w:pPr>
        <w:spacing w:before="0" w:after="0"/>
        <w:ind w:left="1134" w:hanging="567"/>
        <w:rPr>
          <w:i/>
          <w:iCs/>
        </w:rPr>
      </w:pPr>
    </w:p>
    <w:p w:rsidR="00AB785D" w:rsidRPr="001E4A73" w:rsidRDefault="00AB785D" w:rsidP="00980F58">
      <w:pPr>
        <w:spacing w:before="0" w:after="0"/>
        <w:ind w:left="1134" w:hanging="567"/>
        <w:rPr>
          <w:i/>
          <w:iCs/>
        </w:rPr>
      </w:pPr>
      <w:r w:rsidRPr="001E4A73">
        <w:rPr>
          <w:i/>
        </w:rPr>
        <w:t>2.</w:t>
      </w:r>
      <w:r w:rsidRPr="001E4A73">
        <w:tab/>
      </w:r>
      <w:r w:rsidRPr="001E4A73">
        <w:rPr>
          <w:i/>
        </w:rPr>
        <w:t>С оглед на водещата цел за намаляване с 50 % на случаите на преждевременна смърт в ЕС, какви допълнителни елементи, ако има такива, трябва да бъдат проучени, за да се разработят решения за периода до 2030 г., които да бъдат едновременно реалистични и амбициозни?</w:t>
      </w:r>
    </w:p>
    <w:p w:rsidR="00AB785D" w:rsidRPr="001E4A73" w:rsidRDefault="00AB785D" w:rsidP="00AB785D"/>
    <w:p w:rsidR="00AB785D" w:rsidRPr="00DF07C9" w:rsidRDefault="00AB785D" w:rsidP="00AB785D">
      <w:pPr>
        <w:jc w:val="center"/>
        <w:rPr>
          <w:u w:val="double"/>
        </w:rPr>
      </w:pPr>
      <w:r w:rsidRPr="001E4A73">
        <w:tab/>
      </w:r>
      <w:r w:rsidRPr="001E4A73">
        <w:tab/>
      </w:r>
      <w:r w:rsidRPr="001E4A73">
        <w:tab/>
      </w:r>
      <w:r w:rsidRPr="001E4A73">
        <w:tab/>
      </w:r>
    </w:p>
    <w:sectPr w:rsidR="00AB785D" w:rsidRPr="00DF07C9" w:rsidSect="006A7C3B">
      <w:headerReference w:type="default" r:id="rId16"/>
      <w:footerReference w:type="default" r:id="rId17"/>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A9A" w:rsidRDefault="00421A9A" w:rsidP="00421A9A">
      <w:pPr>
        <w:spacing w:before="0" w:after="0" w:line="240" w:lineRule="auto"/>
      </w:pPr>
      <w:r>
        <w:separator/>
      </w:r>
    </w:p>
  </w:endnote>
  <w:endnote w:type="continuationSeparator" w:id="0">
    <w:p w:rsidR="00421A9A" w:rsidRDefault="00421A9A" w:rsidP="00421A9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A73" w:rsidRPr="006A7C3B" w:rsidRDefault="001E4A73" w:rsidP="006A7C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6A7C3B" w:rsidRPr="00D94637" w:rsidTr="006A7C3B">
      <w:trPr>
        <w:jc w:val="center"/>
      </w:trPr>
      <w:tc>
        <w:tcPr>
          <w:tcW w:w="5000" w:type="pct"/>
          <w:gridSpan w:val="7"/>
          <w:shd w:val="clear" w:color="auto" w:fill="auto"/>
          <w:tcMar>
            <w:top w:w="57" w:type="dxa"/>
          </w:tcMar>
        </w:tcPr>
        <w:p w:rsidR="006A7C3B" w:rsidRPr="00D94637" w:rsidRDefault="006A7C3B" w:rsidP="00D94637">
          <w:pPr>
            <w:pStyle w:val="FooterText"/>
            <w:pBdr>
              <w:top w:val="single" w:sz="4" w:space="1" w:color="auto"/>
            </w:pBdr>
            <w:spacing w:before="200"/>
            <w:rPr>
              <w:sz w:val="2"/>
              <w:szCs w:val="2"/>
            </w:rPr>
          </w:pPr>
          <w:bookmarkStart w:id="2" w:name="FOOTER_STANDARD"/>
        </w:p>
      </w:tc>
    </w:tr>
    <w:tr w:rsidR="006A7C3B" w:rsidRPr="00B310DC" w:rsidTr="006A7C3B">
      <w:trPr>
        <w:jc w:val="center"/>
      </w:trPr>
      <w:tc>
        <w:tcPr>
          <w:tcW w:w="2500" w:type="pct"/>
          <w:gridSpan w:val="2"/>
          <w:shd w:val="clear" w:color="auto" w:fill="auto"/>
          <w:tcMar>
            <w:top w:w="0" w:type="dxa"/>
          </w:tcMar>
        </w:tcPr>
        <w:p w:rsidR="006A7C3B" w:rsidRPr="00AD7BF2" w:rsidRDefault="006A7C3B" w:rsidP="004F54B2">
          <w:pPr>
            <w:pStyle w:val="FooterText"/>
          </w:pPr>
          <w:r>
            <w:t>9247/15</w:t>
          </w:r>
          <w:r w:rsidRPr="002511D8">
            <w:t xml:space="preserve"> </w:t>
          </w:r>
        </w:p>
      </w:tc>
      <w:tc>
        <w:tcPr>
          <w:tcW w:w="625" w:type="pct"/>
          <w:shd w:val="clear" w:color="auto" w:fill="auto"/>
          <w:tcMar>
            <w:top w:w="0" w:type="dxa"/>
          </w:tcMar>
        </w:tcPr>
        <w:p w:rsidR="006A7C3B" w:rsidRPr="00AD7BF2" w:rsidRDefault="006A7C3B" w:rsidP="00D94637">
          <w:pPr>
            <w:pStyle w:val="FooterText"/>
            <w:jc w:val="center"/>
          </w:pPr>
        </w:p>
      </w:tc>
      <w:tc>
        <w:tcPr>
          <w:tcW w:w="1287" w:type="pct"/>
          <w:gridSpan w:val="3"/>
          <w:shd w:val="clear" w:color="auto" w:fill="auto"/>
          <w:tcMar>
            <w:top w:w="0" w:type="dxa"/>
          </w:tcMar>
        </w:tcPr>
        <w:p w:rsidR="006A7C3B" w:rsidRPr="002511D8" w:rsidRDefault="006A7C3B" w:rsidP="00D94637">
          <w:pPr>
            <w:pStyle w:val="FooterText"/>
            <w:jc w:val="center"/>
          </w:pPr>
          <w:r>
            <w:t>hv/EA/ags</w:t>
          </w:r>
        </w:p>
      </w:tc>
      <w:tc>
        <w:tcPr>
          <w:tcW w:w="588" w:type="pct"/>
          <w:shd w:val="clear" w:color="auto" w:fill="auto"/>
          <w:tcMar>
            <w:top w:w="0" w:type="dxa"/>
          </w:tcMar>
        </w:tcPr>
        <w:p w:rsidR="006A7C3B" w:rsidRPr="00B310DC" w:rsidRDefault="006A7C3B" w:rsidP="00D94637">
          <w:pPr>
            <w:pStyle w:val="FooterText"/>
            <w:jc w:val="right"/>
          </w:pPr>
          <w:r>
            <w:fldChar w:fldCharType="begin"/>
          </w:r>
          <w:r>
            <w:instrText xml:space="preserve"> PAGE  \* MERGEFORMAT </w:instrText>
          </w:r>
          <w:r>
            <w:fldChar w:fldCharType="separate"/>
          </w:r>
          <w:r>
            <w:rPr>
              <w:noProof/>
            </w:rPr>
            <w:t>2</w:t>
          </w:r>
          <w:r>
            <w:fldChar w:fldCharType="end"/>
          </w:r>
        </w:p>
      </w:tc>
    </w:tr>
    <w:tr w:rsidR="006A7C3B" w:rsidRPr="00D94637" w:rsidTr="006A7C3B">
      <w:trPr>
        <w:jc w:val="center"/>
      </w:trPr>
      <w:tc>
        <w:tcPr>
          <w:tcW w:w="1774" w:type="pct"/>
          <w:shd w:val="clear" w:color="auto" w:fill="auto"/>
        </w:tcPr>
        <w:p w:rsidR="006A7C3B" w:rsidRPr="00AD7BF2" w:rsidRDefault="006A7C3B" w:rsidP="00D94637">
          <w:pPr>
            <w:pStyle w:val="FooterText"/>
            <w:spacing w:before="40"/>
          </w:pPr>
        </w:p>
      </w:tc>
      <w:tc>
        <w:tcPr>
          <w:tcW w:w="1455" w:type="pct"/>
          <w:gridSpan w:val="3"/>
          <w:shd w:val="clear" w:color="auto" w:fill="auto"/>
        </w:tcPr>
        <w:p w:rsidR="006A7C3B" w:rsidRPr="00AD7BF2" w:rsidRDefault="006A7C3B" w:rsidP="00D204D6">
          <w:pPr>
            <w:pStyle w:val="FooterText"/>
            <w:spacing w:before="40"/>
            <w:jc w:val="center"/>
          </w:pPr>
          <w:r>
            <w:t>DG E 1A</w:t>
          </w:r>
        </w:p>
      </w:tc>
      <w:tc>
        <w:tcPr>
          <w:tcW w:w="1147" w:type="pct"/>
          <w:shd w:val="clear" w:color="auto" w:fill="auto"/>
        </w:tcPr>
        <w:p w:rsidR="006A7C3B" w:rsidRPr="00D94637" w:rsidRDefault="006A7C3B" w:rsidP="00D94637">
          <w:pPr>
            <w:pStyle w:val="FooterText"/>
            <w:jc w:val="right"/>
            <w:rPr>
              <w:b/>
              <w:position w:val="-4"/>
              <w:sz w:val="36"/>
            </w:rPr>
          </w:pPr>
        </w:p>
      </w:tc>
      <w:tc>
        <w:tcPr>
          <w:tcW w:w="625" w:type="pct"/>
          <w:gridSpan w:val="2"/>
          <w:shd w:val="clear" w:color="auto" w:fill="auto"/>
        </w:tcPr>
        <w:p w:rsidR="006A7C3B" w:rsidRPr="00D94637" w:rsidRDefault="006A7C3B" w:rsidP="00D94637">
          <w:pPr>
            <w:pStyle w:val="FooterText"/>
            <w:jc w:val="right"/>
            <w:rPr>
              <w:sz w:val="16"/>
            </w:rPr>
          </w:pPr>
          <w:r>
            <w:rPr>
              <w:b/>
              <w:position w:val="-4"/>
              <w:sz w:val="36"/>
            </w:rPr>
            <w:t>BG</w:t>
          </w:r>
        </w:p>
      </w:tc>
    </w:tr>
    <w:bookmarkEnd w:id="2"/>
  </w:tbl>
  <w:p w:rsidR="0047003F" w:rsidRPr="006A7C3B" w:rsidRDefault="0047003F" w:rsidP="006A7C3B">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6A7C3B" w:rsidRPr="00D94637" w:rsidTr="006A7C3B">
      <w:trPr>
        <w:jc w:val="center"/>
      </w:trPr>
      <w:tc>
        <w:tcPr>
          <w:tcW w:w="5000" w:type="pct"/>
          <w:gridSpan w:val="7"/>
          <w:shd w:val="clear" w:color="auto" w:fill="auto"/>
          <w:tcMar>
            <w:top w:w="57" w:type="dxa"/>
          </w:tcMar>
        </w:tcPr>
        <w:p w:rsidR="006A7C3B" w:rsidRPr="00D94637" w:rsidRDefault="006A7C3B" w:rsidP="00D94637">
          <w:pPr>
            <w:pStyle w:val="FooterText"/>
            <w:pBdr>
              <w:top w:val="single" w:sz="4" w:space="1" w:color="auto"/>
            </w:pBdr>
            <w:spacing w:before="200"/>
            <w:rPr>
              <w:sz w:val="2"/>
              <w:szCs w:val="2"/>
            </w:rPr>
          </w:pPr>
        </w:p>
      </w:tc>
    </w:tr>
    <w:tr w:rsidR="006A7C3B" w:rsidRPr="00B310DC" w:rsidTr="006A7C3B">
      <w:trPr>
        <w:jc w:val="center"/>
      </w:trPr>
      <w:tc>
        <w:tcPr>
          <w:tcW w:w="2500" w:type="pct"/>
          <w:gridSpan w:val="2"/>
          <w:shd w:val="clear" w:color="auto" w:fill="auto"/>
          <w:tcMar>
            <w:top w:w="0" w:type="dxa"/>
          </w:tcMar>
        </w:tcPr>
        <w:p w:rsidR="006A7C3B" w:rsidRPr="00AD7BF2" w:rsidRDefault="006A7C3B" w:rsidP="004F54B2">
          <w:pPr>
            <w:pStyle w:val="FooterText"/>
          </w:pPr>
          <w:r>
            <w:t>9247/15</w:t>
          </w:r>
          <w:r w:rsidRPr="002511D8">
            <w:t xml:space="preserve"> </w:t>
          </w:r>
        </w:p>
      </w:tc>
      <w:tc>
        <w:tcPr>
          <w:tcW w:w="625" w:type="pct"/>
          <w:shd w:val="clear" w:color="auto" w:fill="auto"/>
          <w:tcMar>
            <w:top w:w="0" w:type="dxa"/>
          </w:tcMar>
        </w:tcPr>
        <w:p w:rsidR="006A7C3B" w:rsidRPr="00AD7BF2" w:rsidRDefault="006A7C3B" w:rsidP="00D94637">
          <w:pPr>
            <w:pStyle w:val="FooterText"/>
            <w:jc w:val="center"/>
          </w:pPr>
        </w:p>
      </w:tc>
      <w:tc>
        <w:tcPr>
          <w:tcW w:w="1287" w:type="pct"/>
          <w:gridSpan w:val="3"/>
          <w:shd w:val="clear" w:color="auto" w:fill="auto"/>
          <w:tcMar>
            <w:top w:w="0" w:type="dxa"/>
          </w:tcMar>
        </w:tcPr>
        <w:p w:rsidR="006A7C3B" w:rsidRPr="002511D8" w:rsidRDefault="006A7C3B" w:rsidP="00D94637">
          <w:pPr>
            <w:pStyle w:val="FooterText"/>
            <w:jc w:val="center"/>
          </w:pPr>
          <w:r>
            <w:t>hv/EA/ags</w:t>
          </w:r>
        </w:p>
      </w:tc>
      <w:tc>
        <w:tcPr>
          <w:tcW w:w="588" w:type="pct"/>
          <w:shd w:val="clear" w:color="auto" w:fill="auto"/>
          <w:tcMar>
            <w:top w:w="0" w:type="dxa"/>
          </w:tcMar>
        </w:tcPr>
        <w:p w:rsidR="006A7C3B" w:rsidRPr="00B310DC" w:rsidRDefault="006A7C3B" w:rsidP="00D94637">
          <w:pPr>
            <w:pStyle w:val="FooterText"/>
            <w:jc w:val="right"/>
          </w:pPr>
          <w:r>
            <w:fldChar w:fldCharType="begin"/>
          </w:r>
          <w:r>
            <w:instrText xml:space="preserve"> PAGE  \* MERGEFORMAT </w:instrText>
          </w:r>
          <w:r>
            <w:fldChar w:fldCharType="separate"/>
          </w:r>
          <w:r>
            <w:rPr>
              <w:noProof/>
            </w:rPr>
            <w:t>1</w:t>
          </w:r>
          <w:r>
            <w:fldChar w:fldCharType="end"/>
          </w:r>
        </w:p>
      </w:tc>
    </w:tr>
    <w:tr w:rsidR="006A7C3B" w:rsidRPr="00D94637" w:rsidTr="006A7C3B">
      <w:trPr>
        <w:jc w:val="center"/>
      </w:trPr>
      <w:tc>
        <w:tcPr>
          <w:tcW w:w="1774" w:type="pct"/>
          <w:shd w:val="clear" w:color="auto" w:fill="auto"/>
        </w:tcPr>
        <w:p w:rsidR="006A7C3B" w:rsidRPr="00AD7BF2" w:rsidRDefault="006A7C3B" w:rsidP="00D94637">
          <w:pPr>
            <w:pStyle w:val="FooterText"/>
            <w:spacing w:before="40"/>
          </w:pPr>
        </w:p>
      </w:tc>
      <w:tc>
        <w:tcPr>
          <w:tcW w:w="1455" w:type="pct"/>
          <w:gridSpan w:val="3"/>
          <w:shd w:val="clear" w:color="auto" w:fill="auto"/>
        </w:tcPr>
        <w:p w:rsidR="006A7C3B" w:rsidRPr="00AD7BF2" w:rsidRDefault="006A7C3B" w:rsidP="00D204D6">
          <w:pPr>
            <w:pStyle w:val="FooterText"/>
            <w:spacing w:before="40"/>
            <w:jc w:val="center"/>
          </w:pPr>
          <w:r>
            <w:t>DG E 1A</w:t>
          </w:r>
        </w:p>
      </w:tc>
      <w:tc>
        <w:tcPr>
          <w:tcW w:w="1147" w:type="pct"/>
          <w:shd w:val="clear" w:color="auto" w:fill="auto"/>
        </w:tcPr>
        <w:p w:rsidR="006A7C3B" w:rsidRPr="00D94637" w:rsidRDefault="006A7C3B" w:rsidP="00D94637">
          <w:pPr>
            <w:pStyle w:val="FooterText"/>
            <w:jc w:val="right"/>
            <w:rPr>
              <w:b/>
              <w:position w:val="-4"/>
              <w:sz w:val="36"/>
            </w:rPr>
          </w:pPr>
        </w:p>
      </w:tc>
      <w:tc>
        <w:tcPr>
          <w:tcW w:w="625" w:type="pct"/>
          <w:gridSpan w:val="2"/>
          <w:shd w:val="clear" w:color="auto" w:fill="auto"/>
        </w:tcPr>
        <w:p w:rsidR="006A7C3B" w:rsidRPr="00D94637" w:rsidRDefault="006A7C3B" w:rsidP="00D94637">
          <w:pPr>
            <w:pStyle w:val="FooterText"/>
            <w:jc w:val="right"/>
            <w:rPr>
              <w:sz w:val="16"/>
            </w:rPr>
          </w:pPr>
          <w:r>
            <w:rPr>
              <w:b/>
              <w:position w:val="-4"/>
              <w:sz w:val="36"/>
            </w:rPr>
            <w:t>BG</w:t>
          </w:r>
        </w:p>
      </w:tc>
    </w:tr>
  </w:tbl>
  <w:p w:rsidR="0047003F" w:rsidRPr="006A7C3B" w:rsidRDefault="0047003F" w:rsidP="006A7C3B">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6A7C3B" w:rsidRPr="00D94637" w:rsidTr="006A7C3B">
      <w:trPr>
        <w:jc w:val="center"/>
      </w:trPr>
      <w:tc>
        <w:tcPr>
          <w:tcW w:w="5000" w:type="pct"/>
          <w:gridSpan w:val="7"/>
          <w:shd w:val="clear" w:color="auto" w:fill="auto"/>
          <w:tcMar>
            <w:top w:w="57" w:type="dxa"/>
          </w:tcMar>
        </w:tcPr>
        <w:p w:rsidR="006A7C3B" w:rsidRPr="00D94637" w:rsidRDefault="006A7C3B" w:rsidP="00D94637">
          <w:pPr>
            <w:pStyle w:val="FooterText"/>
            <w:pBdr>
              <w:top w:val="single" w:sz="4" w:space="1" w:color="auto"/>
            </w:pBdr>
            <w:spacing w:before="200"/>
            <w:rPr>
              <w:sz w:val="2"/>
              <w:szCs w:val="2"/>
            </w:rPr>
          </w:pPr>
        </w:p>
      </w:tc>
    </w:tr>
    <w:tr w:rsidR="006A7C3B" w:rsidRPr="00B310DC" w:rsidTr="006A7C3B">
      <w:trPr>
        <w:jc w:val="center"/>
      </w:trPr>
      <w:tc>
        <w:tcPr>
          <w:tcW w:w="2500" w:type="pct"/>
          <w:gridSpan w:val="2"/>
          <w:shd w:val="clear" w:color="auto" w:fill="auto"/>
          <w:tcMar>
            <w:top w:w="0" w:type="dxa"/>
          </w:tcMar>
        </w:tcPr>
        <w:p w:rsidR="006A7C3B" w:rsidRPr="00AD7BF2" w:rsidRDefault="006A7C3B" w:rsidP="004F54B2">
          <w:pPr>
            <w:pStyle w:val="FooterText"/>
          </w:pPr>
          <w:r>
            <w:t>9247/15</w:t>
          </w:r>
          <w:r w:rsidRPr="002511D8">
            <w:t xml:space="preserve"> </w:t>
          </w:r>
        </w:p>
      </w:tc>
      <w:tc>
        <w:tcPr>
          <w:tcW w:w="625" w:type="pct"/>
          <w:shd w:val="clear" w:color="auto" w:fill="auto"/>
          <w:tcMar>
            <w:top w:w="0" w:type="dxa"/>
          </w:tcMar>
        </w:tcPr>
        <w:p w:rsidR="006A7C3B" w:rsidRPr="00AD7BF2" w:rsidRDefault="006A7C3B" w:rsidP="00D94637">
          <w:pPr>
            <w:pStyle w:val="FooterText"/>
            <w:jc w:val="center"/>
          </w:pPr>
        </w:p>
      </w:tc>
      <w:tc>
        <w:tcPr>
          <w:tcW w:w="1287" w:type="pct"/>
          <w:gridSpan w:val="3"/>
          <w:shd w:val="clear" w:color="auto" w:fill="auto"/>
          <w:tcMar>
            <w:top w:w="0" w:type="dxa"/>
          </w:tcMar>
        </w:tcPr>
        <w:p w:rsidR="006A7C3B" w:rsidRPr="002511D8" w:rsidRDefault="006A7C3B" w:rsidP="00D94637">
          <w:pPr>
            <w:pStyle w:val="FooterText"/>
            <w:jc w:val="center"/>
          </w:pPr>
          <w:r>
            <w:t>hv/EA/ags</w:t>
          </w:r>
        </w:p>
      </w:tc>
      <w:tc>
        <w:tcPr>
          <w:tcW w:w="588" w:type="pct"/>
          <w:shd w:val="clear" w:color="auto" w:fill="auto"/>
          <w:tcMar>
            <w:top w:w="0" w:type="dxa"/>
          </w:tcMar>
        </w:tcPr>
        <w:p w:rsidR="006A7C3B" w:rsidRPr="00B310DC" w:rsidRDefault="006A7C3B" w:rsidP="00D94637">
          <w:pPr>
            <w:pStyle w:val="FooterText"/>
            <w:jc w:val="right"/>
          </w:pPr>
          <w:r>
            <w:fldChar w:fldCharType="begin"/>
          </w:r>
          <w:r>
            <w:instrText xml:space="preserve"> PAGE  \* MERGEFORMAT </w:instrText>
          </w:r>
          <w:r>
            <w:fldChar w:fldCharType="separate"/>
          </w:r>
          <w:r>
            <w:rPr>
              <w:noProof/>
            </w:rPr>
            <w:t>2</w:t>
          </w:r>
          <w:r>
            <w:fldChar w:fldCharType="end"/>
          </w:r>
        </w:p>
      </w:tc>
    </w:tr>
    <w:tr w:rsidR="006A7C3B" w:rsidRPr="00D94637" w:rsidTr="006A7C3B">
      <w:trPr>
        <w:jc w:val="center"/>
      </w:trPr>
      <w:tc>
        <w:tcPr>
          <w:tcW w:w="1774" w:type="pct"/>
          <w:shd w:val="clear" w:color="auto" w:fill="auto"/>
        </w:tcPr>
        <w:p w:rsidR="006A7C3B" w:rsidRPr="00AD7BF2" w:rsidRDefault="006A7C3B" w:rsidP="00D94637">
          <w:pPr>
            <w:pStyle w:val="FooterText"/>
            <w:spacing w:before="40"/>
          </w:pPr>
          <w:r>
            <w:t>ПРИЛОЖЕНИЕ</w:t>
          </w:r>
        </w:p>
      </w:tc>
      <w:tc>
        <w:tcPr>
          <w:tcW w:w="1455" w:type="pct"/>
          <w:gridSpan w:val="3"/>
          <w:shd w:val="clear" w:color="auto" w:fill="auto"/>
        </w:tcPr>
        <w:p w:rsidR="006A7C3B" w:rsidRPr="00AD7BF2" w:rsidRDefault="006A7C3B" w:rsidP="00D204D6">
          <w:pPr>
            <w:pStyle w:val="FooterText"/>
            <w:spacing w:before="40"/>
            <w:jc w:val="center"/>
          </w:pPr>
          <w:r>
            <w:t>DG E 1A</w:t>
          </w:r>
        </w:p>
      </w:tc>
      <w:tc>
        <w:tcPr>
          <w:tcW w:w="1147" w:type="pct"/>
          <w:shd w:val="clear" w:color="auto" w:fill="auto"/>
        </w:tcPr>
        <w:p w:rsidR="006A7C3B" w:rsidRPr="00D94637" w:rsidRDefault="006A7C3B" w:rsidP="00D94637">
          <w:pPr>
            <w:pStyle w:val="FooterText"/>
            <w:jc w:val="right"/>
            <w:rPr>
              <w:b/>
              <w:position w:val="-4"/>
              <w:sz w:val="36"/>
            </w:rPr>
          </w:pPr>
        </w:p>
      </w:tc>
      <w:tc>
        <w:tcPr>
          <w:tcW w:w="625" w:type="pct"/>
          <w:gridSpan w:val="2"/>
          <w:shd w:val="clear" w:color="auto" w:fill="auto"/>
        </w:tcPr>
        <w:p w:rsidR="006A7C3B" w:rsidRPr="00D94637" w:rsidRDefault="006A7C3B" w:rsidP="00D94637">
          <w:pPr>
            <w:pStyle w:val="FooterText"/>
            <w:jc w:val="right"/>
            <w:rPr>
              <w:sz w:val="16"/>
            </w:rPr>
          </w:pPr>
          <w:r>
            <w:rPr>
              <w:b/>
              <w:position w:val="-4"/>
              <w:sz w:val="36"/>
            </w:rPr>
            <w:t>BG</w:t>
          </w:r>
        </w:p>
      </w:tc>
    </w:tr>
  </w:tbl>
  <w:p w:rsidR="00AB785D" w:rsidRPr="006A7C3B" w:rsidRDefault="00AB785D" w:rsidP="006A7C3B">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A9A" w:rsidRDefault="00421A9A" w:rsidP="00421A9A">
      <w:pPr>
        <w:spacing w:before="0" w:after="0" w:line="240" w:lineRule="auto"/>
      </w:pPr>
      <w:r>
        <w:separator/>
      </w:r>
    </w:p>
  </w:footnote>
  <w:footnote w:type="continuationSeparator" w:id="0">
    <w:p w:rsidR="00421A9A" w:rsidRDefault="00421A9A" w:rsidP="00421A9A">
      <w:pPr>
        <w:spacing w:before="0" w:after="0" w:line="240" w:lineRule="auto"/>
      </w:pPr>
      <w:r>
        <w:continuationSeparator/>
      </w:r>
    </w:p>
  </w:footnote>
  <w:footnote w:id="1">
    <w:p w:rsidR="00AB785D" w:rsidRPr="00132FC6" w:rsidRDefault="00AB785D" w:rsidP="00AB785D">
      <w:pPr>
        <w:pStyle w:val="FootnoteText"/>
        <w:ind w:left="567" w:hanging="567"/>
      </w:pPr>
      <w:r>
        <w:rPr>
          <w:rStyle w:val="FootnoteReference"/>
        </w:rPr>
        <w:footnoteRef/>
      </w:r>
      <w:r>
        <w:t xml:space="preserve"> </w:t>
      </w:r>
      <w:r>
        <w:tab/>
        <w:t>Точка 54, подточка i) от приложението: „да се изпълнява актуализирана политика на Съюза относно качеството на въздуха, която да е в съответствие с най-новите научни знания, и да се разработят и прилагат мерки за борба със замърсяването на въздуха при източника“ OВ L 354, 28.12.2013, стр. 171.</w:t>
      </w:r>
    </w:p>
  </w:footnote>
  <w:footnote w:id="2">
    <w:p w:rsidR="00AB785D" w:rsidRPr="00C0471E" w:rsidRDefault="00AB785D" w:rsidP="00AB785D">
      <w:pPr>
        <w:pStyle w:val="FootnoteText"/>
        <w:ind w:left="567" w:hanging="567"/>
      </w:pPr>
      <w:r>
        <w:rPr>
          <w:rStyle w:val="FootnoteReference"/>
        </w:rPr>
        <w:footnoteRef/>
      </w:r>
      <w:r>
        <w:t xml:space="preserve"> </w:t>
      </w:r>
      <w:r>
        <w:tab/>
        <w:t>Директива 2001/81/ЕО на Европейския парламент и на Съвета от 23 октомври 2001 г. относно националните тавани за емисии на някои атмосферни замърсители (ОВ L 309, 27.11.2001 г., стр. 22).</w:t>
      </w:r>
    </w:p>
  </w:footnote>
  <w:footnote w:id="3">
    <w:p w:rsidR="00AB785D" w:rsidRPr="0047003F" w:rsidRDefault="00AB785D" w:rsidP="00166344">
      <w:pPr>
        <w:autoSpaceDE w:val="0"/>
        <w:autoSpaceDN w:val="0"/>
        <w:adjustRightInd w:val="0"/>
        <w:spacing w:before="0" w:after="0" w:line="240" w:lineRule="auto"/>
        <w:ind w:left="567" w:hanging="567"/>
        <w:rPr>
          <w:lang w:eastAsia="en-GB"/>
        </w:rPr>
      </w:pPr>
      <w:r>
        <w:rPr>
          <w:rStyle w:val="FootnoteReference"/>
        </w:rPr>
        <w:footnoteRef/>
      </w:r>
      <w:r>
        <w:t xml:space="preserve"> </w:t>
      </w:r>
      <w:r>
        <w:tab/>
        <w:t>Предложение за директива на Европейския парламент и на Съвета за намаляване на националните емисии на някои атмосферни замърсители и за изменение на Директива 2003/35/ЕО (НТЕ).</w:t>
      </w:r>
    </w:p>
    <w:p w:rsidR="00AB785D" w:rsidRPr="0047003F" w:rsidRDefault="00AB785D" w:rsidP="00166344">
      <w:pPr>
        <w:autoSpaceDE w:val="0"/>
        <w:autoSpaceDN w:val="0"/>
        <w:adjustRightInd w:val="0"/>
        <w:spacing w:before="0" w:after="0" w:line="240" w:lineRule="auto"/>
        <w:ind w:left="567"/>
        <w:rPr>
          <w:lang w:eastAsia="en-GB"/>
        </w:rPr>
      </w:pPr>
      <w:r>
        <w:t>Предложение за директива на Европейския парламент и на Съвета за ограничаване на емисиите във въздуха на определени замърсители, изпускани от средни горивни инсталации (СГИ).</w:t>
      </w:r>
    </w:p>
    <w:p w:rsidR="00AB785D" w:rsidRPr="0047003F" w:rsidRDefault="00AB785D" w:rsidP="00166344">
      <w:pPr>
        <w:autoSpaceDE w:val="0"/>
        <w:autoSpaceDN w:val="0"/>
        <w:adjustRightInd w:val="0"/>
        <w:spacing w:before="0" w:after="0" w:line="240" w:lineRule="auto"/>
        <w:ind w:left="567"/>
        <w:rPr>
          <w:lang w:eastAsia="en-GB"/>
        </w:rPr>
      </w:pPr>
      <w:r>
        <w:t>Предложение за решение на Съвета за приемане на изменението на Протокола от 1999 г. към Конвенцията от 1979 г. за трансграничното замърсяване на въздуха на далечни разстояния за намаляване на подкиселяването, еутрофикацията и тропосферния озон (Протокол от Гьотеборг).</w:t>
      </w:r>
    </w:p>
  </w:footnote>
  <w:footnote w:id="4">
    <w:p w:rsidR="0088794C" w:rsidRPr="0088794C" w:rsidRDefault="0088794C" w:rsidP="0088794C">
      <w:pPr>
        <w:pStyle w:val="FootnoteText"/>
        <w:ind w:left="567" w:hanging="567"/>
      </w:pPr>
      <w:r>
        <w:rPr>
          <w:rStyle w:val="FootnoteReference"/>
        </w:rPr>
        <w:footnoteRef/>
      </w:r>
      <w:r>
        <w:tab/>
        <w:t>10112/14.</w:t>
      </w:r>
    </w:p>
  </w:footnote>
  <w:footnote w:id="5">
    <w:p w:rsidR="00AB785D" w:rsidRPr="00836663" w:rsidRDefault="00AB785D" w:rsidP="0088794C">
      <w:pPr>
        <w:pStyle w:val="FootnoteText"/>
        <w:ind w:left="567" w:hanging="567"/>
      </w:pPr>
      <w:r>
        <w:rPr>
          <w:rStyle w:val="FootnoteReference"/>
        </w:rPr>
        <w:footnoteRef/>
      </w:r>
      <w:r>
        <w:t xml:space="preserve"> </w:t>
      </w:r>
      <w:r>
        <w:tab/>
        <w:t>Последното компромисно предложение на председате</w:t>
      </w:r>
      <w:r w:rsidR="00263420">
        <w:t>лството се съдържа в док.</w:t>
      </w:r>
      <w:r w:rsidR="00263420">
        <w:rPr>
          <w:lang w:val="en-US"/>
        </w:rPr>
        <w:t> </w:t>
      </w:r>
      <w:r>
        <w:t>8153/15.</w:t>
      </w:r>
    </w:p>
  </w:footnote>
  <w:footnote w:id="6">
    <w:p w:rsidR="00AB785D" w:rsidRPr="006D5FE7" w:rsidRDefault="00AB785D" w:rsidP="0088794C">
      <w:pPr>
        <w:pStyle w:val="FootnoteText"/>
        <w:ind w:left="567" w:hanging="567"/>
      </w:pPr>
      <w:r>
        <w:rPr>
          <w:rStyle w:val="FootnoteReference"/>
        </w:rPr>
        <w:footnoteRef/>
      </w:r>
      <w:r>
        <w:t xml:space="preserve"> </w:t>
      </w:r>
      <w:r>
        <w:tab/>
        <w:t>Приложение II към предложението.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A73" w:rsidRPr="006A7C3B" w:rsidRDefault="001E4A73" w:rsidP="006A7C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A73" w:rsidRPr="006A7C3B" w:rsidRDefault="001E4A73" w:rsidP="006A7C3B">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A73" w:rsidRPr="006A7C3B" w:rsidRDefault="001E4A73" w:rsidP="006A7C3B">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85D" w:rsidRPr="006A7C3B" w:rsidRDefault="00AB785D" w:rsidP="006A7C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542"/>
    <w:multiLevelType w:val="multilevel"/>
    <w:tmpl w:val="7D48D568"/>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7D350F1"/>
    <w:multiLevelType w:val="singleLevel"/>
    <w:tmpl w:val="8A36B78C"/>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2">
    <w:nsid w:val="0E020591"/>
    <w:multiLevelType w:val="singleLevel"/>
    <w:tmpl w:val="65A27EB6"/>
    <w:name w:val="Dash Equal 0"/>
    <w:lvl w:ilvl="0">
      <w:start w:val="1"/>
      <w:numFmt w:val="bullet"/>
      <w:lvlRestart w:val="0"/>
      <w:pStyle w:val="DashEqual"/>
      <w:lvlText w:val="="/>
      <w:lvlJc w:val="left"/>
      <w:pPr>
        <w:tabs>
          <w:tab w:val="num" w:pos="567"/>
        </w:tabs>
        <w:ind w:left="567" w:hanging="567"/>
      </w:pPr>
    </w:lvl>
  </w:abstractNum>
  <w:abstractNum w:abstractNumId="3">
    <w:nsid w:val="0E200A09"/>
    <w:multiLevelType w:val="multilevel"/>
    <w:tmpl w:val="C8DEA596"/>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5085576"/>
    <w:multiLevelType w:val="singleLevel"/>
    <w:tmpl w:val="FFD2A502"/>
    <w:name w:val="Dash Equal 3"/>
    <w:lvl w:ilvl="0">
      <w:start w:val="1"/>
      <w:numFmt w:val="bullet"/>
      <w:lvlRestart w:val="0"/>
      <w:pStyle w:val="DashEqual3"/>
      <w:lvlText w:val="="/>
      <w:lvlJc w:val="left"/>
      <w:pPr>
        <w:tabs>
          <w:tab w:val="num" w:pos="2268"/>
        </w:tabs>
        <w:ind w:left="2268" w:hanging="567"/>
      </w:pPr>
    </w:lvl>
  </w:abstractNum>
  <w:abstractNum w:abstractNumId="5">
    <w:nsid w:val="253C316A"/>
    <w:multiLevelType w:val="multilevel"/>
    <w:tmpl w:val="A26EDDF0"/>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BD82C0C"/>
    <w:multiLevelType w:val="singleLevel"/>
    <w:tmpl w:val="7C183DDA"/>
    <w:name w:val="Dash Equal 2"/>
    <w:lvl w:ilvl="0">
      <w:start w:val="1"/>
      <w:numFmt w:val="bullet"/>
      <w:lvlRestart w:val="0"/>
      <w:pStyle w:val="DashEqual2"/>
      <w:lvlText w:val="="/>
      <w:lvlJc w:val="left"/>
      <w:pPr>
        <w:tabs>
          <w:tab w:val="num" w:pos="1701"/>
        </w:tabs>
        <w:ind w:left="1701" w:hanging="567"/>
      </w:pPr>
    </w:lvl>
  </w:abstractNum>
  <w:abstractNum w:abstractNumId="7">
    <w:nsid w:val="3845653E"/>
    <w:multiLevelType w:val="singleLevel"/>
    <w:tmpl w:val="234EAC60"/>
    <w:name w:val="Dash Equal 1"/>
    <w:lvl w:ilvl="0">
      <w:start w:val="1"/>
      <w:numFmt w:val="bullet"/>
      <w:lvlRestart w:val="0"/>
      <w:pStyle w:val="DashEqual1"/>
      <w:lvlText w:val="="/>
      <w:lvlJc w:val="left"/>
      <w:pPr>
        <w:tabs>
          <w:tab w:val="num" w:pos="1134"/>
        </w:tabs>
        <w:ind w:left="1134" w:hanging="567"/>
      </w:pPr>
    </w:lvl>
  </w:abstractNum>
  <w:abstractNum w:abstractNumId="8">
    <w:nsid w:val="385710C1"/>
    <w:multiLevelType w:val="singleLevel"/>
    <w:tmpl w:val="FF3EB506"/>
    <w:name w:val="Dash 4"/>
    <w:lvl w:ilvl="0">
      <w:start w:val="1"/>
      <w:numFmt w:val="bullet"/>
      <w:lvlRestart w:val="0"/>
      <w:pStyle w:val="Dash4"/>
      <w:lvlText w:val="–"/>
      <w:lvlJc w:val="left"/>
      <w:pPr>
        <w:tabs>
          <w:tab w:val="num" w:pos="2835"/>
        </w:tabs>
        <w:ind w:left="2835" w:hanging="567"/>
      </w:pPr>
    </w:lvl>
  </w:abstractNum>
  <w:abstractNum w:abstractNumId="9">
    <w:nsid w:val="38F424D0"/>
    <w:multiLevelType w:val="multilevel"/>
    <w:tmpl w:val="48741C5E"/>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0">
    <w:nsid w:val="3DAA5A4C"/>
    <w:multiLevelType w:val="hybridMultilevel"/>
    <w:tmpl w:val="BEB8180C"/>
    <w:lvl w:ilvl="0" w:tplc="E5D6EA70">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nsid w:val="43F67AF0"/>
    <w:multiLevelType w:val="singleLevel"/>
    <w:tmpl w:val="7DB04F0A"/>
    <w:name w:val="Dash 2"/>
    <w:lvl w:ilvl="0">
      <w:start w:val="1"/>
      <w:numFmt w:val="bullet"/>
      <w:lvlRestart w:val="0"/>
      <w:pStyle w:val="Dash2"/>
      <w:lvlText w:val="–"/>
      <w:lvlJc w:val="left"/>
      <w:pPr>
        <w:tabs>
          <w:tab w:val="num" w:pos="1701"/>
        </w:tabs>
        <w:ind w:left="1701" w:hanging="567"/>
      </w:pPr>
    </w:lvl>
  </w:abstractNum>
  <w:abstractNum w:abstractNumId="12">
    <w:nsid w:val="47AB25E5"/>
    <w:multiLevelType w:val="singleLevel"/>
    <w:tmpl w:val="75164398"/>
    <w:name w:val="Dash 1"/>
    <w:lvl w:ilvl="0">
      <w:start w:val="1"/>
      <w:numFmt w:val="bullet"/>
      <w:lvlRestart w:val="0"/>
      <w:pStyle w:val="Dash1"/>
      <w:lvlText w:val="–"/>
      <w:lvlJc w:val="left"/>
      <w:pPr>
        <w:tabs>
          <w:tab w:val="num" w:pos="1134"/>
        </w:tabs>
        <w:ind w:left="1134" w:hanging="567"/>
      </w:pPr>
    </w:lvl>
  </w:abstractNum>
  <w:abstractNum w:abstractNumId="13">
    <w:nsid w:val="47C10D90"/>
    <w:multiLevelType w:val="singleLevel"/>
    <w:tmpl w:val="07C45670"/>
    <w:name w:val="Dash 3"/>
    <w:lvl w:ilvl="0">
      <w:start w:val="1"/>
      <w:numFmt w:val="bullet"/>
      <w:lvlRestart w:val="0"/>
      <w:pStyle w:val="Dash3"/>
      <w:lvlText w:val="–"/>
      <w:lvlJc w:val="left"/>
      <w:pPr>
        <w:tabs>
          <w:tab w:val="num" w:pos="2268"/>
        </w:tabs>
        <w:ind w:left="2268" w:hanging="567"/>
      </w:pPr>
    </w:lvl>
  </w:abstractNum>
  <w:abstractNum w:abstractNumId="14">
    <w:nsid w:val="4B8C0F3A"/>
    <w:multiLevelType w:val="multilevel"/>
    <w:tmpl w:val="E42C00D8"/>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D6B557C"/>
    <w:multiLevelType w:val="singleLevel"/>
    <w:tmpl w:val="D7C06852"/>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16">
    <w:nsid w:val="6278684C"/>
    <w:multiLevelType w:val="multilevel"/>
    <w:tmpl w:val="33AE034E"/>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68AA1742"/>
    <w:multiLevelType w:val="singleLevel"/>
    <w:tmpl w:val="4F329520"/>
    <w:name w:val="Dash 0"/>
    <w:lvl w:ilvl="0">
      <w:start w:val="1"/>
      <w:numFmt w:val="bullet"/>
      <w:lvlRestart w:val="0"/>
      <w:pStyle w:val="Dash"/>
      <w:lvlText w:val="–"/>
      <w:lvlJc w:val="left"/>
      <w:pPr>
        <w:tabs>
          <w:tab w:val="num" w:pos="567"/>
        </w:tabs>
        <w:ind w:left="567" w:hanging="567"/>
      </w:pPr>
    </w:lvl>
  </w:abstractNum>
  <w:abstractNum w:abstractNumId="18">
    <w:nsid w:val="6A807310"/>
    <w:multiLevelType w:val="singleLevel"/>
    <w:tmpl w:val="62B42714"/>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9">
    <w:nsid w:val="7380518A"/>
    <w:multiLevelType w:val="singleLevel"/>
    <w:tmpl w:val="43DEF6E2"/>
    <w:name w:val="Dash Equal 4"/>
    <w:lvl w:ilvl="0">
      <w:start w:val="1"/>
      <w:numFmt w:val="bullet"/>
      <w:lvlRestart w:val="0"/>
      <w:pStyle w:val="DashEqual4"/>
      <w:lvlText w:val="="/>
      <w:lvlJc w:val="left"/>
      <w:pPr>
        <w:tabs>
          <w:tab w:val="num" w:pos="2835"/>
        </w:tabs>
        <w:ind w:left="2835" w:hanging="567"/>
      </w:pPr>
    </w:lvl>
  </w:abstractNum>
  <w:abstractNum w:abstractNumId="20">
    <w:nsid w:val="73EA208D"/>
    <w:multiLevelType w:val="singleLevel"/>
    <w:tmpl w:val="0A7218F6"/>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21">
    <w:nsid w:val="75CE2986"/>
    <w:multiLevelType w:val="hybridMultilevel"/>
    <w:tmpl w:val="05CE238C"/>
    <w:lvl w:ilvl="0" w:tplc="CAAC9B80">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2">
    <w:nsid w:val="77280071"/>
    <w:multiLevelType w:val="multilevel"/>
    <w:tmpl w:val="39C25228"/>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CAE7682"/>
    <w:multiLevelType w:val="singleLevel"/>
    <w:tmpl w:val="D7C4174A"/>
    <w:name w:val="Bullet (2)"/>
    <w:lvl w:ilvl="0">
      <w:start w:val="1"/>
      <w:numFmt w:val="bullet"/>
      <w:lvlRestart w:val="0"/>
      <w:pStyle w:val="Bullet2"/>
      <w:lvlText w:val=""/>
      <w:lvlJc w:val="left"/>
      <w:pPr>
        <w:tabs>
          <w:tab w:val="num" w:pos="1701"/>
        </w:tabs>
        <w:ind w:left="1701" w:hanging="567"/>
      </w:pPr>
      <w:rPr>
        <w:rFonts w:ascii="Symbol" w:hAnsi="Symbol" w:hint="default"/>
      </w:rPr>
    </w:lvl>
  </w:abstractNum>
  <w:num w:numId="1">
    <w:abstractNumId w:val="17"/>
  </w:num>
  <w:num w:numId="2">
    <w:abstractNumId w:val="12"/>
  </w:num>
  <w:num w:numId="3">
    <w:abstractNumId w:val="11"/>
  </w:num>
  <w:num w:numId="4">
    <w:abstractNumId w:val="13"/>
  </w:num>
  <w:num w:numId="5">
    <w:abstractNumId w:val="8"/>
  </w:num>
  <w:num w:numId="6">
    <w:abstractNumId w:val="2"/>
  </w:num>
  <w:num w:numId="7">
    <w:abstractNumId w:val="7"/>
  </w:num>
  <w:num w:numId="8">
    <w:abstractNumId w:val="6"/>
  </w:num>
  <w:num w:numId="9">
    <w:abstractNumId w:val="4"/>
  </w:num>
  <w:num w:numId="10">
    <w:abstractNumId w:val="19"/>
  </w:num>
  <w:num w:numId="11">
    <w:abstractNumId w:val="20"/>
  </w:num>
  <w:num w:numId="12">
    <w:abstractNumId w:val="1"/>
  </w:num>
  <w:num w:numId="13">
    <w:abstractNumId w:val="23"/>
  </w:num>
  <w:num w:numId="14">
    <w:abstractNumId w:val="18"/>
  </w:num>
  <w:num w:numId="15">
    <w:abstractNumId w:val="15"/>
  </w:num>
  <w:num w:numId="16">
    <w:abstractNumId w:val="9"/>
  </w:num>
  <w:num w:numId="17">
    <w:abstractNumId w:val="16"/>
  </w:num>
  <w:num w:numId="18">
    <w:abstractNumId w:val="3"/>
  </w:num>
  <w:num w:numId="19">
    <w:abstractNumId w:val="22"/>
  </w:num>
  <w:num w:numId="20">
    <w:abstractNumId w:val="5"/>
  </w:num>
  <w:num w:numId="21">
    <w:abstractNumId w:val="1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5.3&quot; technicalblockguid=&quot;062d2e96-8a34-4df8-9956-83596c79ed7c&quot;&gt;_x000d__x000a_  &lt;metadata key=&quot;md_DocumentLanguages&quot; translate=&quot;false&quot;&gt;_x000d__x000a_    &lt;basicdatatypelist&gt;_x000d__x000a_      &lt;language key=&quot;BG&quot; text=&quot;BG&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UniqueHeading&quot; translate=&quot;false&quot;&gt;_x000d__x000a_    &lt;basicdatatype&gt;_x000d__x000a_      &lt;heading key=&quot;uh_36&quot; text=&quot;&amp;#1041;&amp;#1045;&amp;#1051;&amp;#1045;&amp;#1046;&amp;#1050;&amp;#1040;&quot; /&gt;_x000d__x000a_    &lt;/basicdatatype&gt;_x000d__x000a_  &lt;/metadata&gt;_x000d__x000a_  &lt;metadata key=&quot;md_HeadingText&quot; translate=&quot;false&quot;&gt;_x000d__x000a_    &lt;headingtext text=&quot;&amp;#1041;&amp;#1045;&amp;#1051;&amp;#1045;&amp;#1046;&amp;#1050;&amp;#1040;&quot;&gt;_x000d__x000a_      &lt;formattedtext&gt;_x000d__x000a_        &lt;xaml text=&quot;&amp;#1041;&amp;#1045;&amp;#1051;&amp;#1045;&amp;#1046;&amp;#1050;&amp;#1040;&quot;&gt;&amp;lt;FlowDocument xmlns=&quot;http://schemas.microsoft.com/winfx/2006/xaml/presentation&quot;&amp;gt;&amp;lt;Paragraph&amp;gt;&amp;#1041;&amp;#1045;&amp;#1051;&amp;#1045;&amp;#1046;&amp;#1050;&amp;#1040;&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7&quot; text=&quot;Note&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 translate=&quot;false&quot;&gt;_x000d__x000a_    &lt;basicdatatype&gt;_x000d__x000a_      &lt;framework key=&quot;if_01&quot; text=&quot;&amp;#1057;&amp;#1098;&amp;#1074;&amp;#1077;&amp;#1090; &amp;#1085;&amp;#1072; &amp;#1045;&amp;#1074;&amp;#1088;&amp;#1086;&amp;#1087;&amp;#1077;&amp;#1081;&amp;#1089;&amp;#1082;&amp;#1080;&amp;#1103; &amp;#1089;&amp;#1098;&amp;#1102;&amp;#1079;&quot; institution=&quot;instfr_institution&quot; acronym=&quot;instfr_acronym&quot; /&gt;_x000d__x000a_    &lt;/basicdatatype&gt;_x000d__x000a_  &lt;/metadata&gt;_x000d__x000a_  &lt;metadata key=&quot;md_DraftNote&quot; /&gt;_x000d__x000a_  &lt;metadata key=&quot;md_DocumentLocation&quot; translate=&quot;false&quot;&gt;_x000d__x000a_    &lt;basicdatatype&gt;_x000d__x000a_      &lt;location key=&quot;loc_01&quot; text=&quot;&amp;#1041;&amp;#1088;&amp;#1102;&amp;#1082;&amp;#1089;&amp;#1077;&amp;#1083;&quot; /&gt;_x000d__x000a_    &lt;/basicdatatype&gt;_x000d__x000a_  &lt;/metadata&gt;_x000d__x000a_  &lt;metadata key=&quot;md_DocumentDate&quot; translate=&quot;false&quot;&gt;_x000d__x000a_    &lt;text&gt;2015-05-29&lt;/text&gt;_x000d__x000a_  &lt;/metadata&gt;_x000d__x000a_  &lt;metadata key=&quot;md_Prefix&quot; translate=&quot;false&quot;&gt;_x000d__x000a_    &lt;text&gt;&lt;/text&gt;_x000d__x000a_  &lt;/metadata&gt;_x000d__x000a_  &lt;metadata key=&quot;md_DocumentNumber&quot; translate=&quot;false&quot;&gt;_x000d__x000a_    &lt;text&gt;9247&lt;/text&gt;_x000d__x000a_  &lt;/metadata&gt;_x000d__x000a_  &lt;metadata key=&quot;md_YearDocumentNumber&quot; translate=&quot;false&quot;&gt;_x000d__x000a_    &lt;text&gt;2015&lt;/text&gt;_x000d__x000a_  &lt;/metadata&gt;_x000d__x000a_  &lt;metadata key=&quot;md_Suffixes&quot; translate=&quot;false&quot;&gt;_x000d__x000a_    &lt;text&gt;&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dis_01&quot; text=&quot;PUBLIC&quot; /&gt;_x000d__x000a_    &lt;/basicdatatype&gt;_x000d__x000a_  &lt;/metadata&gt;_x000d__x000a_  &lt;metadata key=&quot;md_SubjectCodes&quot; translate=&quot;false&quot;&gt;_x000d__x000a_    &lt;textlist&gt;_x000d__x000a_      &lt;text&gt;ENV 346&lt;/text&gt;_x000d__x000a_      &lt;text&gt;ENER 203&lt;/text&gt;_x000d__x000a_      &lt;text&gt;IND 87&lt;/text&gt;_x000d__x000a_      &lt;text&gt;TRANS 177&lt;/text&gt;_x000d__x000a_      &lt;text&gt;ENT 96&lt;/text&gt;_x000d__x000a_      &lt;text&gt;SAN 157&lt;/text&gt;_x000d__x000a_      &lt;text&gt;PARLNAT 55&lt;/text&gt;_x000d__x000a_      &lt;text&gt;CODEC 777&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 translate=&quot;false&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 translate=&quot;false&quot;&gt;_x000d__x000a_    &lt;basicdatatype&gt;_x000d__x000a_      &lt;typeofheading key=&quot;typeofhead_06&quot; text=&quot;Other&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translate=&quot;false&quot;&gt;_x000d__x000a_    &lt;textlist&gt;_x000d__x000a_      &lt;text&gt;2013/0443 (COD)&lt;/text&gt;_x000d__x000a_    &lt;/textlist&gt;_x000d__x000a_  &lt;/metadata&gt;_x000d__x000a_  &lt;metadata key=&quot;md_AdditionalReferences&quot; translate=&quot;false&quot;&gt;_x000d__x000a_    &lt;textlist /&gt;_x000d__x000a_  &lt;/metadata&gt;_x000d__x000a_  &lt;metadata key=&quot;md_LEXNumber&quot; translate=&quot;false&quot;&gt;_x000d__x000a_    &lt;text&gt;&lt;/text&gt;_x000d__x000a_  &lt;/metadata&gt;_x000d__x000a_  &lt;metadata key=&quot;md_SousEmbargo&quot; translate=&quot;false&quot;&gt;_x000d__x000a_    &lt;text&gt;&lt;/text&gt;_x000d__x000a_  &lt;/metadata&gt;_x000d__x000a_  &lt;metadata key=&quot;md_Originator&quot; translate=&quot;false&quot;&gt;_x000d__x000a_    &lt;basicdatatype&gt;_x000d__x000a_      &lt;originator key=&quot;or_09&quot; text=&quot;&amp;#1043;&amp;#1077;&amp;#1085;&amp;#1077;&amp;#1088;&amp;#1072;&amp;#1083;&amp;#1085;&amp;#1080;&amp;#1103; &amp;#1089;&amp;#1077;&amp;#1082;&amp;#1088;&amp;#1077;&amp;#1090;&amp;#1072;&amp;#1088;&amp;#1080;&amp;#1072;&amp;#1090; &amp;#1085;&amp;#1072; &amp;#1057;&amp;#1098;&amp;#1074;&amp;#1077;&amp;#1090;&amp;#1072;&quot; /&gt;_x000d__x000a_    &lt;/basicdatatype&gt;_x000d__x000a_  &lt;/metadata&gt;_x000d__x000a_  &lt;metadata key=&quot;md_Recipient&quot; translate=&quot;false&quot;&gt;_x000d__x000a_    &lt;basicdatatype&gt;_x000d__x000a_      &lt;recipient key=&quot;re_05&quot; text=&quot;&amp;#1050;&amp;#1086;&amp;#1084;&amp;#1080;&amp;#1090;&amp;#1077;&amp;#1090;&amp;#1072; &amp;#1085;&amp;#1072; &amp;#1087;&amp;#1086;&amp;#1089;&amp;#1090;&amp;#1086;&amp;#1103;&amp;#1085;&amp;#1085;&amp;#1080;&amp;#1090;&amp;#1077; &amp;#1087;&amp;#1088;&amp;#1077;&amp;#1076;&amp;#1089;&amp;#1090;&amp;#1072;&amp;#1074;&amp;#1080;&amp;#1090;&amp;#1077;&amp;#1083;&amp;#1080;/&amp;#1057;&amp;#1098;&amp;#1074;&amp;#1077;&amp;#1090;&amp;#1072;&quot; /&gt;_x000d__x000a_    &lt;/basicdatatype&gt;_x000d__x000a_  &lt;/metadata&gt;_x000d__x000a_  &lt;metadata key=&quot;md_DateOfReceipt&quot; translate=&quot;false&quot;&gt;_x000d__x000a_    &lt;text&gt;&lt;/text&gt;_x000d__x000a_  &lt;/metadata&gt;_x000d__x000a_  &lt;metadata key=&quot;md_FreeDate&quot;&gt;_x000d__x000a_    &lt;textlist /&gt;_x000d__x000a_  &lt;/metadata&gt;_x000d__x000a_  &lt;metadata key=&quot;md_PrecedingDocuments&quot; translate=&quot;false&quot;&gt;_x000d__x000a_    &lt;textlist&gt;_x000d__x000a_      &lt;text&gt;8153/15 ENV 229 ENER 123 IND 57 TRANS 136 ENT 65 SAN 116 PARLNAT 33 CODEC 555&lt;/text&gt;_x000d__x000a_    &lt;/textlist&gt;_x000d__x000a_  &lt;/metadata&gt;_x000d__x000a_  &lt;metadata key=&quot;md_CommissionDocuments&quot; translate=&quot;false&quot;&gt;_x000d__x000a_    &lt;textlist&gt;_x000d__x000a_      &lt;text&gt;18167/13 ENV 1235 ENER 600 IND 388 TRANS 693 ENT 356 SAN 555 PARLNAT 325 CODEC 3086 - COM(2013) 920 final&lt;/text&gt;_x000d__x000a_    &lt;/textlist&gt;_x000d__x000a_  &lt;/metadata&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amp;#1055;&amp;#1088;&amp;#1077;&amp;#1076;&amp;#1083;&amp;#1086;&amp;#1078;&amp;#1077;&amp;#1085;&amp;#1080;&amp;#1077; &amp;#1079;&amp;#1072; &amp;#1076;&amp;#1080;&amp;#1088;&amp;#1077;&amp;#1082;&amp;#1090;&amp;#1080;&amp;#1074;&amp;#1072; &amp;#1085;&amp;#1072; &amp;#1045;&amp;#1074;&amp;#1088;&amp;#1086;&amp;#1087;&amp;#1077;&amp;#1081;&amp;#1089;&amp;#1082;&amp;#1080;&amp;#1103; &amp;#1087;&amp;#1072;&amp;#1088;&amp;#1083;&amp;#1072;&amp;#1084;&amp;#1077;&amp;#1085;&amp;#1090; &amp;#1080; &amp;#1085;&amp;#1072; &amp;#1057;&amp;#1098;&amp;#1074;&amp;#1077;&amp;#1090;&amp;#1072; &amp;#1079;&amp;#1072; &amp;#1085;&amp;#1072;&amp;#1084;&amp;#1072;&amp;#1083;&amp;#1103;&amp;#1074;&amp;#1072;&amp;#1085;&amp;#1077; &amp;#1085;&amp;#1072; &amp;#1085;&amp;#1072;&amp;#1094;&amp;#1080;&amp;#1086;&amp;#1085;&amp;#1072;&amp;#1083;&amp;#1085;&amp;#1080;&amp;#1090;&amp;#1077; &amp;#1077;&amp;#1084;&amp;#1080;&amp;#1089;&amp;#1080;&amp;#1080; &amp;#1085;&amp;#1072; &amp;#1085;&amp;#1103;&amp;#1082;&amp;#1086;&amp;#1080; &amp;#1072;&amp;#1090;&amp;#1084;&amp;#1086;&amp;#1089;&amp;#1092;&amp;#1077;&amp;#1088;&amp;#1085;&amp;#1080; &amp;#1079;&amp;#1072;&amp;#1084;&amp;#1098;&amp;#1088;&amp;#1089;&amp;#1080;&amp;#1090;&amp;#1077;&amp;#1083;&amp;#1080; &amp;#1080; &amp;#1079;&amp;#1072; &amp;#1080;&amp;#1079;&amp;#1084;&amp;#1077;&amp;#1085;&amp;#1077;&amp;#1085;&amp;#1080;&amp;#1077; &amp;#1085;&amp;#1072; &amp;#1044;&amp;#1080;&amp;#1088;&amp;#1077;&amp;#1082;&amp;#1090;&amp;#1080;&amp;#1074;&amp;#1072; 2003/35/&amp;#1045;&amp;#1054; &amp;#8212; &amp;#1054;&amp;#1088;&amp;#1080;&amp;#1077;&amp;#1085;&amp;#1090;&amp;#1072;&amp;#1094;&amp;#1080;&amp;#1086;&amp;#1085;&amp;#1077;&amp;#1085; &amp;#1076;&amp;#1077;&amp;#1073;&amp;#1072;&amp;#1090;&quot;&gt;&amp;lt;FlowDocument FontFamily=&quot;Arial Unicode MS&quot; FontSize=&quot;12&quot; PageWidth=&quot;329&quot; PagePadding=&quot;5,0,5,0&quot; AllowDrop=&quot;False&quot; xmlns=&quot;http://schemas.microsoft.com/winfx/2006/xaml/presentation&quot; xmlns:x=&quot;http://schemas.microsoft.com/winfx/2006/xaml&quot;&amp;gt;&amp;lt;Paragraph&amp;gt;&amp;lt;Run FontFamily=&quot;Times New Roman&quot;&amp;gt;&amp;#1055;&amp;#1088;&amp;#1077;&amp;#1076;&amp;#1083;&amp;#1086;&amp;#1078;&amp;#1077;&amp;#1085;&amp;#1080;&amp;#1077; &amp;#1079;&amp;#1072; &amp;#1076;&amp;#1080;&amp;#1088;&amp;#1077;&amp;#1082;&amp;#1090;&amp;#1080;&amp;#1074;&amp;#1072; &amp;#1085;&amp;#1072; &amp;#1045;&amp;#1074;&amp;#1088;&amp;#1086;&amp;#1087;&amp;#1077;&amp;#1081;&amp;#1089;&amp;#1082;&amp;#1080;&amp;#1103; &amp;#1087;&amp;#1072;&amp;#1088;&amp;#1083;&amp;#1072;&amp;#1084;&amp;#1077;&amp;#1085;&amp;#1090; &amp;#1080; &amp;#1085;&amp;#1072; &amp;#1057;&amp;#1098;&amp;#1074;&amp;#1077;&amp;#1090;&amp;#1072; &amp;#1079;&amp;#1072; &amp;#1085;&amp;#1072;&amp;#1084;&amp;#1072;&amp;#1083;&amp;#1103;&amp;#1074;&amp;#1072;&amp;#1085;&amp;#1077; &amp;#1085;&amp;#1072; &amp;#1085;&amp;#1072;&amp;#1094;&amp;#1080;&amp;#1086;&amp;#1085;&amp;#1072;&amp;#1083;&amp;#1085;&amp;#1080;&amp;#1090;&amp;#1077; &amp;#1077;&amp;#1084;&amp;#1080;&amp;#1089;&amp;#1080;&amp;#1080; &amp;#1085;&amp;#1072; &amp;#1085;&amp;#1103;&amp;#1082;&amp;#1086;&amp;#1080; &amp;#1072;&amp;#1090;&amp;#1084;&amp;#1086;&amp;#1089;&amp;#1092;&amp;#1077;&amp;#1088;&amp;#1085;&amp;#1080; &amp;#1079;&amp;#1072;&amp;#1084;&amp;#1098;&amp;#1088;&amp;#1089;&amp;#1080;&amp;#1090;&amp;#1077;&amp;#1083;&amp;#1080; &amp;#1080; &amp;#1079;&amp;#1072; &amp;#1080;&amp;#1079;&amp;#1084;&amp;#1077;&amp;#1085;&amp;#1077;&amp;#1085;&amp;#1080;&amp;#1077; &amp;#1085;&amp;#1072; &amp;#1044;&amp;#1080;&amp;#1088;&amp;#1077;&amp;#1082;&amp;#1090;&amp;#1080;&amp;#1074;&amp;#1072; 2003/35/&amp;#1045;&amp;#1054;&amp;lt;/Run&amp;gt;&amp;lt;/Paragraph&amp;gt;&amp;lt;Paragraph&amp;gt;&amp;lt;Run FontFamily=&quot;Times New Roman&quot; xml:lang=&quot;fr-be&quot; xml:space=&quot;preserve&quot;&amp;gt;&amp;#8212;_x0009_&amp;#1054;&amp;#1088;&amp;#1080;&amp;#1077;&amp;#1085;&amp;#1090;&amp;#1072;&amp;#1094;&amp;#1080;&amp;#1086;&amp;#1085;&amp;#1077;&amp;#1085; &amp;#1076;&amp;#1077;&amp;#1073;&amp;#1072;&amp;#1090;&amp;lt;/Run&amp;gt;&amp;lt;/Paragraph&amp;gt;&amp;lt;/FlowDocument&amp;gt;&lt;/xaml&gt;_x000d__x000a_  &lt;/metadata&gt;_x000d__x000a_  &lt;metadata key=&quot;md_SubjectFootnote&quot; /&gt;_x000d__x000a_  &lt;metadata key=&quot;md_DG&quot; translate=&quot;false&quot;&gt;_x000d__x000a_    &lt;text&gt;DG E 1A&lt;/text&gt;_x000d__x000a_  &lt;/metadata&gt;_x000d__x000a_  &lt;metadata key=&quot;md_Initials&quot; translate=&quot;false&quot;&gt;_x000d__x000a_    &lt;text&gt;hv/EA/ags&lt;/text&gt;_x000d__x000a_  &lt;/metadata&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5&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2015&lt;/text&gt;_x000d__x000a_  &lt;/metadata&gt;_x000d__x000a_  &lt;metadata key=&quot;md_Rectif_Source2_Suffixes&quot; translate=&quot;false&quot;&gt;_x000d__x000a_    &lt;text&gt;&lt;/text&gt;_x000d__x000a_  &lt;/metadata&gt;_x000d__x000a_  &lt;metadata key=&quot;md_CoverPageDocWithCouncilFooter&quot; translate=&quot;false&quot;&gt;_x000d__x000a_    &lt;text&gt;false&lt;/text&gt;_x000d__x000a_  &lt;/metadata&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COUNCIL"/>
    <w:docVar w:name="LW_DocType" w:val="DW_COUNCIL"/>
    <w:docVar w:name="VSSDB_IniPath" w:val="\\at100\user\wovo\SEILEG\vss\srcsafe.ini"/>
    <w:docVar w:name="VSSDB_ProjectPath" w:val="$/DocuWrite/DOT/DW_COUNCIL"/>
  </w:docVars>
  <w:rsids>
    <w:rsidRoot w:val="00421A9A"/>
    <w:rsid w:val="00047B5E"/>
    <w:rsid w:val="00096B04"/>
    <w:rsid w:val="000A28F8"/>
    <w:rsid w:val="000C55EA"/>
    <w:rsid w:val="00130CD9"/>
    <w:rsid w:val="00161648"/>
    <w:rsid w:val="00166344"/>
    <w:rsid w:val="00182F2F"/>
    <w:rsid w:val="001926D1"/>
    <w:rsid w:val="001E4A73"/>
    <w:rsid w:val="001F6067"/>
    <w:rsid w:val="00206C7B"/>
    <w:rsid w:val="002345D5"/>
    <w:rsid w:val="00263420"/>
    <w:rsid w:val="002B0975"/>
    <w:rsid w:val="002B3804"/>
    <w:rsid w:val="002D2CF4"/>
    <w:rsid w:val="002E33A3"/>
    <w:rsid w:val="0032451E"/>
    <w:rsid w:val="00356F5F"/>
    <w:rsid w:val="003D7C69"/>
    <w:rsid w:val="00414945"/>
    <w:rsid w:val="00421A9A"/>
    <w:rsid w:val="00451A10"/>
    <w:rsid w:val="0047003F"/>
    <w:rsid w:val="004A5CE6"/>
    <w:rsid w:val="004B2CA0"/>
    <w:rsid w:val="0060205C"/>
    <w:rsid w:val="00625999"/>
    <w:rsid w:val="006351BB"/>
    <w:rsid w:val="006A7C3B"/>
    <w:rsid w:val="007161AD"/>
    <w:rsid w:val="007D6B0D"/>
    <w:rsid w:val="008432F5"/>
    <w:rsid w:val="0088794C"/>
    <w:rsid w:val="00901450"/>
    <w:rsid w:val="00916385"/>
    <w:rsid w:val="00934803"/>
    <w:rsid w:val="0096237F"/>
    <w:rsid w:val="00980F58"/>
    <w:rsid w:val="009B07D1"/>
    <w:rsid w:val="00A05522"/>
    <w:rsid w:val="00A30641"/>
    <w:rsid w:val="00A93207"/>
    <w:rsid w:val="00A950D6"/>
    <w:rsid w:val="00AB785D"/>
    <w:rsid w:val="00AF3113"/>
    <w:rsid w:val="00B54F86"/>
    <w:rsid w:val="00B92270"/>
    <w:rsid w:val="00BB3DD1"/>
    <w:rsid w:val="00BC184F"/>
    <w:rsid w:val="00BE3682"/>
    <w:rsid w:val="00BE6E3D"/>
    <w:rsid w:val="00BF6F85"/>
    <w:rsid w:val="00C45741"/>
    <w:rsid w:val="00C9280E"/>
    <w:rsid w:val="00D13316"/>
    <w:rsid w:val="00DC3DA2"/>
    <w:rsid w:val="00DC5EF5"/>
    <w:rsid w:val="00DF07C9"/>
    <w:rsid w:val="00E04C63"/>
    <w:rsid w:val="00E5767B"/>
    <w:rsid w:val="00E645C4"/>
    <w:rsid w:val="00E66F13"/>
    <w:rsid w:val="00E75958"/>
    <w:rsid w:val="00E80814"/>
    <w:rsid w:val="00EC06A5"/>
    <w:rsid w:val="00F86DEA"/>
    <w:rsid w:val="00FC467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6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86DEA"/>
    <w:pPr>
      <w:tabs>
        <w:tab w:val="right" w:pos="9638"/>
      </w:tabs>
    </w:pPr>
  </w:style>
  <w:style w:type="paragraph" w:styleId="Footer">
    <w:name w:val="footer"/>
    <w:basedOn w:val="Normal"/>
    <w:rsid w:val="00F86DEA"/>
    <w:pPr>
      <w:tabs>
        <w:tab w:val="center" w:pos="4819"/>
        <w:tab w:val="center" w:pos="7370"/>
        <w:tab w:val="right" w:pos="9638"/>
      </w:tabs>
      <w:spacing w:before="0" w:after="0" w:line="240" w:lineRule="auto"/>
    </w:pPr>
  </w:style>
  <w:style w:type="paragraph" w:styleId="FootnoteText">
    <w:name w:val="footnote text"/>
    <w:basedOn w:val="Normal"/>
    <w:link w:val="FootnoteTextChar"/>
    <w:uiPriority w:val="99"/>
    <w:rsid w:val="00F86DEA"/>
    <w:pPr>
      <w:spacing w:before="0" w:after="0" w:line="240" w:lineRule="auto"/>
      <w:ind w:left="720" w:hanging="720"/>
    </w:pPr>
    <w:rPr>
      <w:szCs w:val="20"/>
    </w:rPr>
  </w:style>
  <w:style w:type="paragraph" w:customStyle="1" w:styleId="NormalCentered">
    <w:name w:val="Normal Centered"/>
    <w:basedOn w:val="Normal"/>
    <w:rsid w:val="00F86DEA"/>
    <w:pPr>
      <w:spacing w:before="200"/>
      <w:jc w:val="center"/>
    </w:pPr>
  </w:style>
  <w:style w:type="paragraph" w:customStyle="1" w:styleId="NormalRight">
    <w:name w:val="Normal Right"/>
    <w:basedOn w:val="Normal"/>
    <w:rsid w:val="00F86DEA"/>
    <w:pPr>
      <w:spacing w:before="200"/>
      <w:jc w:val="right"/>
    </w:pPr>
  </w:style>
  <w:style w:type="paragraph" w:customStyle="1" w:styleId="NormalJustified">
    <w:name w:val="Normal Justified"/>
    <w:basedOn w:val="Normal"/>
    <w:rsid w:val="00F86DEA"/>
    <w:pPr>
      <w:spacing w:before="200"/>
      <w:jc w:val="both"/>
    </w:pPr>
  </w:style>
  <w:style w:type="paragraph" w:customStyle="1" w:styleId="HeaderLandscape">
    <w:name w:val="HeaderLandscape"/>
    <w:basedOn w:val="Normal"/>
    <w:rsid w:val="00F86DEA"/>
    <w:pPr>
      <w:tabs>
        <w:tab w:val="right" w:pos="14570"/>
      </w:tabs>
    </w:pPr>
  </w:style>
  <w:style w:type="paragraph" w:customStyle="1" w:styleId="FooterLandscape">
    <w:name w:val="FooterLandscape"/>
    <w:basedOn w:val="Normal"/>
    <w:rsid w:val="00F86DEA"/>
    <w:pPr>
      <w:tabs>
        <w:tab w:val="center" w:pos="7285"/>
        <w:tab w:val="center" w:pos="10930"/>
        <w:tab w:val="right" w:pos="14570"/>
      </w:tabs>
      <w:spacing w:before="0" w:after="0" w:line="240" w:lineRule="auto"/>
    </w:pPr>
  </w:style>
  <w:style w:type="character" w:styleId="FootnoteReference">
    <w:name w:val="footnote reference"/>
    <w:uiPriority w:val="99"/>
    <w:rsid w:val="00F86DEA"/>
    <w:rPr>
      <w:b/>
      <w:shd w:val="clear" w:color="auto" w:fill="auto"/>
      <w:vertAlign w:val="superscript"/>
    </w:rPr>
  </w:style>
  <w:style w:type="paragraph" w:customStyle="1" w:styleId="HeaderCouncil">
    <w:name w:val="Header Council"/>
    <w:basedOn w:val="Normal"/>
    <w:rsid w:val="00F86DEA"/>
    <w:pPr>
      <w:spacing w:before="0" w:after="0" w:line="240" w:lineRule="auto"/>
    </w:pPr>
    <w:rPr>
      <w:sz w:val="2"/>
    </w:rPr>
  </w:style>
  <w:style w:type="paragraph" w:customStyle="1" w:styleId="FooterCouncil">
    <w:name w:val="Footer Council"/>
    <w:basedOn w:val="Normal"/>
    <w:rsid w:val="00F86DEA"/>
    <w:pPr>
      <w:spacing w:before="0" w:after="0" w:line="240" w:lineRule="auto"/>
    </w:pPr>
    <w:rPr>
      <w:sz w:val="2"/>
    </w:rPr>
  </w:style>
  <w:style w:type="paragraph" w:customStyle="1" w:styleId="TechnicalBlock">
    <w:name w:val="Technical Block"/>
    <w:basedOn w:val="Normal"/>
    <w:next w:val="Normal"/>
    <w:link w:val="TechnicalBlockChar"/>
    <w:rsid w:val="00934803"/>
    <w:pPr>
      <w:spacing w:before="0" w:after="240" w:line="240" w:lineRule="auto"/>
      <w:jc w:val="center"/>
    </w:pPr>
    <w:rPr>
      <w:lang w:eastAsia="en-US" w:bidi="ar-SA"/>
    </w:rPr>
  </w:style>
  <w:style w:type="paragraph" w:customStyle="1" w:styleId="FinalLine">
    <w:name w:val="Final Line"/>
    <w:basedOn w:val="Normal"/>
    <w:next w:val="Normal"/>
    <w:rsid w:val="00F86DEA"/>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F86DEA"/>
    <w:pPr>
      <w:pBdr>
        <w:bottom w:val="single" w:sz="4" w:space="0" w:color="000000"/>
      </w:pBdr>
      <w:spacing w:before="360"/>
      <w:ind w:left="5868" w:right="5868"/>
      <w:jc w:val="center"/>
    </w:pPr>
    <w:rPr>
      <w:b/>
    </w:rPr>
  </w:style>
  <w:style w:type="paragraph" w:customStyle="1" w:styleId="Text1">
    <w:name w:val="Text 1"/>
    <w:basedOn w:val="Normal"/>
    <w:rsid w:val="00F86DEA"/>
    <w:pPr>
      <w:ind w:left="567"/>
      <w:outlineLvl w:val="0"/>
    </w:pPr>
  </w:style>
  <w:style w:type="paragraph" w:customStyle="1" w:styleId="Text2">
    <w:name w:val="Text 2"/>
    <w:basedOn w:val="Normal"/>
    <w:rsid w:val="00F86DEA"/>
    <w:pPr>
      <w:ind w:left="1134"/>
      <w:outlineLvl w:val="1"/>
    </w:pPr>
  </w:style>
  <w:style w:type="paragraph" w:customStyle="1" w:styleId="Text3">
    <w:name w:val="Text 3"/>
    <w:basedOn w:val="Normal"/>
    <w:rsid w:val="00F86DEA"/>
    <w:pPr>
      <w:ind w:left="1701"/>
      <w:outlineLvl w:val="2"/>
    </w:pPr>
  </w:style>
  <w:style w:type="paragraph" w:customStyle="1" w:styleId="Text4">
    <w:name w:val="Text 4"/>
    <w:basedOn w:val="Normal"/>
    <w:rsid w:val="00F86DEA"/>
    <w:pPr>
      <w:ind w:left="2268"/>
      <w:outlineLvl w:val="3"/>
    </w:pPr>
  </w:style>
  <w:style w:type="paragraph" w:customStyle="1" w:styleId="Text5">
    <w:name w:val="Text 5"/>
    <w:basedOn w:val="Normal"/>
    <w:rsid w:val="00F86DEA"/>
    <w:pPr>
      <w:ind w:left="2835"/>
      <w:outlineLvl w:val="4"/>
    </w:pPr>
  </w:style>
  <w:style w:type="paragraph" w:customStyle="1" w:styleId="Text6">
    <w:name w:val="Text 6"/>
    <w:basedOn w:val="Normal"/>
    <w:rsid w:val="00F86DEA"/>
    <w:pPr>
      <w:ind w:left="3402"/>
      <w:outlineLvl w:val="5"/>
    </w:pPr>
  </w:style>
  <w:style w:type="paragraph" w:customStyle="1" w:styleId="PointManual">
    <w:name w:val="Point Manual"/>
    <w:basedOn w:val="Normal"/>
    <w:rsid w:val="00F86DEA"/>
    <w:pPr>
      <w:ind w:left="567" w:hanging="567"/>
    </w:pPr>
  </w:style>
  <w:style w:type="paragraph" w:customStyle="1" w:styleId="PointManual1">
    <w:name w:val="Point Manual (1)"/>
    <w:basedOn w:val="Normal"/>
    <w:rsid w:val="00F86DEA"/>
    <w:pPr>
      <w:ind w:left="1134" w:hanging="567"/>
      <w:outlineLvl w:val="0"/>
    </w:pPr>
  </w:style>
  <w:style w:type="paragraph" w:customStyle="1" w:styleId="PointManual2">
    <w:name w:val="Point Manual (2)"/>
    <w:basedOn w:val="Normal"/>
    <w:rsid w:val="00F86DEA"/>
    <w:pPr>
      <w:ind w:left="1701" w:hanging="567"/>
      <w:outlineLvl w:val="1"/>
    </w:pPr>
  </w:style>
  <w:style w:type="paragraph" w:customStyle="1" w:styleId="PointManual3">
    <w:name w:val="Point Manual (3)"/>
    <w:basedOn w:val="Normal"/>
    <w:rsid w:val="00F86DEA"/>
    <w:pPr>
      <w:ind w:left="2268" w:hanging="567"/>
      <w:outlineLvl w:val="2"/>
    </w:pPr>
  </w:style>
  <w:style w:type="paragraph" w:customStyle="1" w:styleId="PointManual4">
    <w:name w:val="Point Manual (4)"/>
    <w:basedOn w:val="Normal"/>
    <w:rsid w:val="00F86DEA"/>
    <w:pPr>
      <w:ind w:left="2835" w:hanging="567"/>
      <w:outlineLvl w:val="3"/>
    </w:pPr>
  </w:style>
  <w:style w:type="paragraph" w:customStyle="1" w:styleId="PointDoubleManual">
    <w:name w:val="Point Double Manual"/>
    <w:basedOn w:val="Normal"/>
    <w:rsid w:val="00F86DEA"/>
    <w:pPr>
      <w:tabs>
        <w:tab w:val="left" w:pos="567"/>
      </w:tabs>
      <w:ind w:left="1134" w:hanging="1134"/>
    </w:pPr>
  </w:style>
  <w:style w:type="paragraph" w:customStyle="1" w:styleId="PointDoubleManual1">
    <w:name w:val="Point Double Manual (1)"/>
    <w:basedOn w:val="Normal"/>
    <w:rsid w:val="00F86DEA"/>
    <w:pPr>
      <w:tabs>
        <w:tab w:val="left" w:pos="1134"/>
      </w:tabs>
      <w:ind w:left="1701" w:hanging="1134"/>
      <w:outlineLvl w:val="0"/>
    </w:pPr>
  </w:style>
  <w:style w:type="paragraph" w:customStyle="1" w:styleId="PointDoubleManual2">
    <w:name w:val="Point Double Manual (2)"/>
    <w:basedOn w:val="Normal"/>
    <w:rsid w:val="00F86DEA"/>
    <w:pPr>
      <w:tabs>
        <w:tab w:val="left" w:pos="1701"/>
      </w:tabs>
      <w:ind w:left="2268" w:hanging="1134"/>
      <w:outlineLvl w:val="1"/>
    </w:pPr>
  </w:style>
  <w:style w:type="paragraph" w:customStyle="1" w:styleId="PointDoubleManual3">
    <w:name w:val="Point Double Manual (3)"/>
    <w:basedOn w:val="Normal"/>
    <w:rsid w:val="00F86DEA"/>
    <w:pPr>
      <w:tabs>
        <w:tab w:val="left" w:pos="2268"/>
      </w:tabs>
      <w:ind w:left="2835" w:hanging="1134"/>
      <w:outlineLvl w:val="2"/>
    </w:pPr>
  </w:style>
  <w:style w:type="paragraph" w:customStyle="1" w:styleId="PointDoubleManual4">
    <w:name w:val="Point Double Manual (4)"/>
    <w:basedOn w:val="Normal"/>
    <w:rsid w:val="00F86DEA"/>
    <w:pPr>
      <w:tabs>
        <w:tab w:val="left" w:pos="2835"/>
      </w:tabs>
      <w:ind w:left="3402" w:hanging="1134"/>
      <w:outlineLvl w:val="3"/>
    </w:pPr>
  </w:style>
  <w:style w:type="paragraph" w:customStyle="1" w:styleId="Pointabc">
    <w:name w:val="Point abc"/>
    <w:basedOn w:val="Normal"/>
    <w:rsid w:val="00F86DEA"/>
    <w:pPr>
      <w:numPr>
        <w:ilvl w:val="1"/>
        <w:numId w:val="16"/>
      </w:numPr>
    </w:pPr>
  </w:style>
  <w:style w:type="paragraph" w:customStyle="1" w:styleId="Pointabc1">
    <w:name w:val="Point abc (1)"/>
    <w:basedOn w:val="Normal"/>
    <w:rsid w:val="00F86DEA"/>
    <w:pPr>
      <w:numPr>
        <w:ilvl w:val="3"/>
        <w:numId w:val="16"/>
      </w:numPr>
      <w:outlineLvl w:val="0"/>
    </w:pPr>
  </w:style>
  <w:style w:type="paragraph" w:customStyle="1" w:styleId="Pointabc2">
    <w:name w:val="Point abc (2)"/>
    <w:basedOn w:val="Normal"/>
    <w:rsid w:val="00F86DEA"/>
    <w:pPr>
      <w:numPr>
        <w:ilvl w:val="5"/>
        <w:numId w:val="16"/>
      </w:numPr>
      <w:outlineLvl w:val="1"/>
    </w:pPr>
  </w:style>
  <w:style w:type="paragraph" w:customStyle="1" w:styleId="Pointabc3">
    <w:name w:val="Point abc (3)"/>
    <w:basedOn w:val="Normal"/>
    <w:rsid w:val="00F86DEA"/>
    <w:pPr>
      <w:numPr>
        <w:ilvl w:val="7"/>
        <w:numId w:val="16"/>
      </w:numPr>
      <w:outlineLvl w:val="2"/>
    </w:pPr>
  </w:style>
  <w:style w:type="paragraph" w:customStyle="1" w:styleId="Pointabc4">
    <w:name w:val="Point abc (4)"/>
    <w:basedOn w:val="Normal"/>
    <w:rsid w:val="00F86DEA"/>
    <w:pPr>
      <w:numPr>
        <w:ilvl w:val="8"/>
        <w:numId w:val="16"/>
      </w:numPr>
      <w:outlineLvl w:val="3"/>
    </w:pPr>
  </w:style>
  <w:style w:type="paragraph" w:customStyle="1" w:styleId="Point123">
    <w:name w:val="Point 123"/>
    <w:basedOn w:val="Normal"/>
    <w:rsid w:val="00F86DEA"/>
    <w:pPr>
      <w:numPr>
        <w:numId w:val="16"/>
      </w:numPr>
    </w:pPr>
  </w:style>
  <w:style w:type="paragraph" w:customStyle="1" w:styleId="Point1231">
    <w:name w:val="Point 123 (1)"/>
    <w:basedOn w:val="Normal"/>
    <w:rsid w:val="00F86DEA"/>
    <w:pPr>
      <w:numPr>
        <w:ilvl w:val="2"/>
        <w:numId w:val="16"/>
      </w:numPr>
      <w:outlineLvl w:val="0"/>
    </w:pPr>
  </w:style>
  <w:style w:type="paragraph" w:customStyle="1" w:styleId="Point1232">
    <w:name w:val="Point 123 (2)"/>
    <w:basedOn w:val="Normal"/>
    <w:rsid w:val="00F86DEA"/>
    <w:pPr>
      <w:numPr>
        <w:ilvl w:val="4"/>
        <w:numId w:val="16"/>
      </w:numPr>
      <w:outlineLvl w:val="1"/>
    </w:pPr>
  </w:style>
  <w:style w:type="paragraph" w:customStyle="1" w:styleId="Point1233">
    <w:name w:val="Point 123 (3)"/>
    <w:basedOn w:val="Normal"/>
    <w:rsid w:val="00F86DEA"/>
    <w:pPr>
      <w:numPr>
        <w:ilvl w:val="6"/>
        <w:numId w:val="16"/>
      </w:numPr>
      <w:outlineLvl w:val="2"/>
    </w:pPr>
  </w:style>
  <w:style w:type="paragraph" w:customStyle="1" w:styleId="Pointivx">
    <w:name w:val="Point ivx"/>
    <w:basedOn w:val="Normal"/>
    <w:rsid w:val="00F86DEA"/>
    <w:pPr>
      <w:numPr>
        <w:numId w:val="17"/>
      </w:numPr>
    </w:pPr>
  </w:style>
  <w:style w:type="paragraph" w:customStyle="1" w:styleId="Pointivx1">
    <w:name w:val="Point ivx (1)"/>
    <w:basedOn w:val="Normal"/>
    <w:rsid w:val="00F86DEA"/>
    <w:pPr>
      <w:numPr>
        <w:ilvl w:val="1"/>
        <w:numId w:val="17"/>
      </w:numPr>
      <w:outlineLvl w:val="0"/>
    </w:pPr>
  </w:style>
  <w:style w:type="paragraph" w:customStyle="1" w:styleId="Pointivx2">
    <w:name w:val="Point ivx (2)"/>
    <w:basedOn w:val="Normal"/>
    <w:rsid w:val="00F86DEA"/>
    <w:pPr>
      <w:numPr>
        <w:ilvl w:val="2"/>
        <w:numId w:val="17"/>
      </w:numPr>
      <w:outlineLvl w:val="1"/>
    </w:pPr>
  </w:style>
  <w:style w:type="paragraph" w:customStyle="1" w:styleId="Pointivx3">
    <w:name w:val="Point ivx (3)"/>
    <w:basedOn w:val="Normal"/>
    <w:rsid w:val="00F86DEA"/>
    <w:pPr>
      <w:numPr>
        <w:ilvl w:val="3"/>
        <w:numId w:val="17"/>
      </w:numPr>
      <w:outlineLvl w:val="2"/>
    </w:pPr>
  </w:style>
  <w:style w:type="paragraph" w:customStyle="1" w:styleId="Pointivx4">
    <w:name w:val="Point ivx (4)"/>
    <w:basedOn w:val="Normal"/>
    <w:rsid w:val="00F86DEA"/>
    <w:pPr>
      <w:numPr>
        <w:ilvl w:val="4"/>
        <w:numId w:val="17"/>
      </w:numPr>
      <w:outlineLvl w:val="3"/>
    </w:pPr>
  </w:style>
  <w:style w:type="paragraph" w:customStyle="1" w:styleId="Bullet">
    <w:name w:val="Bullet"/>
    <w:basedOn w:val="Normal"/>
    <w:rsid w:val="00F86DEA"/>
    <w:pPr>
      <w:numPr>
        <w:numId w:val="11"/>
      </w:numPr>
    </w:pPr>
  </w:style>
  <w:style w:type="paragraph" w:customStyle="1" w:styleId="Bullet1">
    <w:name w:val="Bullet 1"/>
    <w:basedOn w:val="Normal"/>
    <w:rsid w:val="00F86DEA"/>
    <w:pPr>
      <w:numPr>
        <w:numId w:val="12"/>
      </w:numPr>
      <w:outlineLvl w:val="0"/>
    </w:pPr>
  </w:style>
  <w:style w:type="paragraph" w:customStyle="1" w:styleId="Bullet2">
    <w:name w:val="Bullet 2"/>
    <w:basedOn w:val="Normal"/>
    <w:rsid w:val="00F86DEA"/>
    <w:pPr>
      <w:numPr>
        <w:numId w:val="13"/>
      </w:numPr>
      <w:outlineLvl w:val="1"/>
    </w:pPr>
  </w:style>
  <w:style w:type="paragraph" w:customStyle="1" w:styleId="Bullet3">
    <w:name w:val="Bullet 3"/>
    <w:basedOn w:val="Normal"/>
    <w:rsid w:val="00F86DEA"/>
    <w:pPr>
      <w:numPr>
        <w:numId w:val="14"/>
      </w:numPr>
      <w:outlineLvl w:val="2"/>
    </w:pPr>
  </w:style>
  <w:style w:type="paragraph" w:customStyle="1" w:styleId="Bullet4">
    <w:name w:val="Bullet 4"/>
    <w:basedOn w:val="Normal"/>
    <w:rsid w:val="00F86DEA"/>
    <w:pPr>
      <w:numPr>
        <w:numId w:val="15"/>
      </w:numPr>
      <w:outlineLvl w:val="3"/>
    </w:pPr>
  </w:style>
  <w:style w:type="paragraph" w:customStyle="1" w:styleId="Dash">
    <w:name w:val="Dash"/>
    <w:basedOn w:val="Normal"/>
    <w:rsid w:val="00F86DEA"/>
    <w:pPr>
      <w:numPr>
        <w:numId w:val="1"/>
      </w:numPr>
    </w:pPr>
  </w:style>
  <w:style w:type="paragraph" w:customStyle="1" w:styleId="Dash1">
    <w:name w:val="Dash 1"/>
    <w:basedOn w:val="Normal"/>
    <w:rsid w:val="00F86DEA"/>
    <w:pPr>
      <w:numPr>
        <w:numId w:val="2"/>
      </w:numPr>
      <w:outlineLvl w:val="0"/>
    </w:pPr>
  </w:style>
  <w:style w:type="paragraph" w:customStyle="1" w:styleId="Dash2">
    <w:name w:val="Dash 2"/>
    <w:basedOn w:val="Normal"/>
    <w:rsid w:val="00F86DEA"/>
    <w:pPr>
      <w:numPr>
        <w:numId w:val="3"/>
      </w:numPr>
      <w:outlineLvl w:val="1"/>
    </w:pPr>
  </w:style>
  <w:style w:type="paragraph" w:customStyle="1" w:styleId="Dash3">
    <w:name w:val="Dash 3"/>
    <w:basedOn w:val="Normal"/>
    <w:rsid w:val="00F86DEA"/>
    <w:pPr>
      <w:numPr>
        <w:numId w:val="4"/>
      </w:numPr>
      <w:outlineLvl w:val="2"/>
    </w:pPr>
  </w:style>
  <w:style w:type="paragraph" w:customStyle="1" w:styleId="Dash4">
    <w:name w:val="Dash 4"/>
    <w:basedOn w:val="Normal"/>
    <w:rsid w:val="00F86DEA"/>
    <w:pPr>
      <w:numPr>
        <w:numId w:val="5"/>
      </w:numPr>
      <w:outlineLvl w:val="3"/>
    </w:pPr>
  </w:style>
  <w:style w:type="paragraph" w:customStyle="1" w:styleId="DashEqual">
    <w:name w:val="Dash Equal"/>
    <w:basedOn w:val="Dash"/>
    <w:rsid w:val="00F86DEA"/>
    <w:pPr>
      <w:numPr>
        <w:numId w:val="6"/>
      </w:numPr>
    </w:pPr>
  </w:style>
  <w:style w:type="paragraph" w:customStyle="1" w:styleId="DashEqual1">
    <w:name w:val="Dash Equal 1"/>
    <w:basedOn w:val="Dash1"/>
    <w:rsid w:val="00F86DEA"/>
    <w:pPr>
      <w:numPr>
        <w:numId w:val="7"/>
      </w:numPr>
    </w:pPr>
  </w:style>
  <w:style w:type="paragraph" w:customStyle="1" w:styleId="DashEqual2">
    <w:name w:val="Dash Equal 2"/>
    <w:basedOn w:val="Dash2"/>
    <w:rsid w:val="00F86DEA"/>
    <w:pPr>
      <w:numPr>
        <w:numId w:val="8"/>
      </w:numPr>
    </w:pPr>
  </w:style>
  <w:style w:type="paragraph" w:customStyle="1" w:styleId="DashEqual3">
    <w:name w:val="Dash Equal 3"/>
    <w:basedOn w:val="Dash3"/>
    <w:rsid w:val="00F86DEA"/>
    <w:pPr>
      <w:numPr>
        <w:numId w:val="9"/>
      </w:numPr>
    </w:pPr>
  </w:style>
  <w:style w:type="paragraph" w:customStyle="1" w:styleId="DashEqual4">
    <w:name w:val="Dash Equal 4"/>
    <w:basedOn w:val="Dash4"/>
    <w:rsid w:val="00F86DEA"/>
    <w:pPr>
      <w:numPr>
        <w:numId w:val="10"/>
      </w:numPr>
    </w:pPr>
  </w:style>
  <w:style w:type="character" w:customStyle="1" w:styleId="Marker">
    <w:name w:val="Marker"/>
    <w:rsid w:val="00F86DEA"/>
    <w:rPr>
      <w:color w:val="0000FF"/>
      <w:shd w:val="clear" w:color="auto" w:fill="auto"/>
    </w:rPr>
  </w:style>
  <w:style w:type="character" w:customStyle="1" w:styleId="Marker1">
    <w:name w:val="Marker1"/>
    <w:rsid w:val="00F86DEA"/>
    <w:rPr>
      <w:color w:val="008000"/>
      <w:shd w:val="clear" w:color="auto" w:fill="auto"/>
    </w:rPr>
  </w:style>
  <w:style w:type="paragraph" w:customStyle="1" w:styleId="HeadingLeft">
    <w:name w:val="Heading Left"/>
    <w:basedOn w:val="Normal"/>
    <w:next w:val="Normal"/>
    <w:rsid w:val="00F86DEA"/>
    <w:pPr>
      <w:spacing w:before="360"/>
      <w:outlineLvl w:val="0"/>
    </w:pPr>
    <w:rPr>
      <w:b/>
      <w:caps/>
      <w:u w:val="single"/>
    </w:rPr>
  </w:style>
  <w:style w:type="paragraph" w:customStyle="1" w:styleId="HeadingIVX">
    <w:name w:val="Heading IVX"/>
    <w:basedOn w:val="HeadingLeft"/>
    <w:next w:val="Normal"/>
    <w:rsid w:val="00F86DEA"/>
    <w:pPr>
      <w:numPr>
        <w:numId w:val="20"/>
      </w:numPr>
    </w:pPr>
  </w:style>
  <w:style w:type="paragraph" w:customStyle="1" w:styleId="Heading123">
    <w:name w:val="Heading 123"/>
    <w:basedOn w:val="HeadingLeft"/>
    <w:next w:val="Normal"/>
    <w:rsid w:val="00F86DEA"/>
    <w:pPr>
      <w:numPr>
        <w:numId w:val="19"/>
      </w:numPr>
    </w:pPr>
  </w:style>
  <w:style w:type="paragraph" w:customStyle="1" w:styleId="HeadingABC">
    <w:name w:val="Heading ABC"/>
    <w:basedOn w:val="HeadingLeft"/>
    <w:next w:val="Normal"/>
    <w:rsid w:val="00F86DEA"/>
    <w:pPr>
      <w:numPr>
        <w:numId w:val="18"/>
      </w:numPr>
    </w:pPr>
  </w:style>
  <w:style w:type="paragraph" w:customStyle="1" w:styleId="HeadingCentered">
    <w:name w:val="Heading Centered"/>
    <w:basedOn w:val="HeadingLeft"/>
    <w:next w:val="Normal"/>
    <w:rsid w:val="00F86DEA"/>
    <w:pPr>
      <w:jc w:val="center"/>
    </w:pPr>
  </w:style>
  <w:style w:type="paragraph" w:customStyle="1" w:styleId="Amendment">
    <w:name w:val="Amendment"/>
    <w:basedOn w:val="Normal"/>
    <w:next w:val="Normal"/>
    <w:rsid w:val="00F86DEA"/>
    <w:rPr>
      <w:i/>
      <w:u w:val="single"/>
    </w:rPr>
  </w:style>
  <w:style w:type="paragraph" w:customStyle="1" w:styleId="AmendmentList">
    <w:name w:val="Amendment List"/>
    <w:basedOn w:val="Normal"/>
    <w:rsid w:val="00F86DEA"/>
    <w:pPr>
      <w:ind w:left="2268" w:hanging="2268"/>
    </w:pPr>
  </w:style>
  <w:style w:type="paragraph" w:customStyle="1" w:styleId="ReplyRE">
    <w:name w:val="Reply RE"/>
    <w:basedOn w:val="Normal"/>
    <w:next w:val="Normal"/>
    <w:rsid w:val="00B54F86"/>
    <w:pPr>
      <w:spacing w:after="480" w:line="240" w:lineRule="auto"/>
      <w:contextualSpacing/>
    </w:pPr>
  </w:style>
  <w:style w:type="paragraph" w:customStyle="1" w:styleId="ReplyBold">
    <w:name w:val="Reply Bold"/>
    <w:basedOn w:val="ReplyRE"/>
    <w:next w:val="Normal"/>
    <w:rsid w:val="00B54F86"/>
    <w:rPr>
      <w:b/>
    </w:rPr>
  </w:style>
  <w:style w:type="paragraph" w:customStyle="1" w:styleId="Annex">
    <w:name w:val="Annex"/>
    <w:basedOn w:val="Normal"/>
    <w:next w:val="Normal"/>
    <w:rsid w:val="00F86DEA"/>
    <w:pPr>
      <w:jc w:val="right"/>
    </w:pPr>
    <w:rPr>
      <w:b/>
      <w:u w:val="single"/>
    </w:rPr>
  </w:style>
  <w:style w:type="paragraph" w:customStyle="1" w:styleId="Sign">
    <w:name w:val="Sign"/>
    <w:basedOn w:val="Normal"/>
    <w:rsid w:val="00F86DEA"/>
    <w:pPr>
      <w:tabs>
        <w:tab w:val="center" w:pos="7087"/>
      </w:tabs>
    </w:pPr>
  </w:style>
  <w:style w:type="paragraph" w:customStyle="1" w:styleId="NotDeclassified">
    <w:name w:val="Not Declassified"/>
    <w:basedOn w:val="Normal"/>
    <w:qFormat/>
    <w:rsid w:val="00625999"/>
    <w:rPr>
      <w:b/>
      <w:bCs/>
      <w:bdr w:val="single" w:sz="4" w:space="0" w:color="auto"/>
      <w:shd w:val="solid" w:color="CCCCCC" w:fill="CCCCCC"/>
    </w:rPr>
  </w:style>
  <w:style w:type="paragraph" w:customStyle="1" w:styleId="HeaderCouncilLarge">
    <w:name w:val="Header Council Large"/>
    <w:basedOn w:val="Normal"/>
    <w:link w:val="HeaderCouncilLargeChar"/>
    <w:rsid w:val="00421A9A"/>
    <w:pPr>
      <w:spacing w:before="0" w:after="440"/>
      <w:ind w:left="-1134" w:right="-1134"/>
    </w:pPr>
    <w:rPr>
      <w:sz w:val="2"/>
      <w:lang w:eastAsia="en-US" w:bidi="ar-SA"/>
    </w:rPr>
  </w:style>
  <w:style w:type="character" w:customStyle="1" w:styleId="TechnicalBlockChar">
    <w:name w:val="Technical Block Char"/>
    <w:basedOn w:val="DefaultParagraphFont"/>
    <w:link w:val="TechnicalBlock"/>
    <w:rsid w:val="00421A9A"/>
    <w:rPr>
      <w:sz w:val="24"/>
      <w:szCs w:val="24"/>
      <w:lang w:eastAsia="en-US" w:bidi="ar-SA"/>
    </w:rPr>
  </w:style>
  <w:style w:type="character" w:customStyle="1" w:styleId="HeaderCouncilLargeChar">
    <w:name w:val="Header Council Large Char"/>
    <w:basedOn w:val="TechnicalBlockChar"/>
    <w:link w:val="HeaderCouncilLarge"/>
    <w:rsid w:val="00421A9A"/>
    <w:rPr>
      <w:sz w:val="2"/>
      <w:szCs w:val="24"/>
      <w:lang w:eastAsia="en-US" w:bidi="ar-SA"/>
    </w:rPr>
  </w:style>
  <w:style w:type="paragraph" w:customStyle="1" w:styleId="FooterText">
    <w:name w:val="Footer Text"/>
    <w:basedOn w:val="Normal"/>
    <w:rsid w:val="00421A9A"/>
    <w:pPr>
      <w:spacing w:before="0" w:after="0" w:line="240" w:lineRule="auto"/>
    </w:pPr>
  </w:style>
  <w:style w:type="character" w:customStyle="1" w:styleId="FootnoteTextChar">
    <w:name w:val="Footnote Text Char"/>
    <w:link w:val="FootnoteText"/>
    <w:uiPriority w:val="99"/>
    <w:rsid w:val="00AB785D"/>
    <w:rPr>
      <w:sz w:val="24"/>
      <w:lang w:val="bg-BG" w:eastAsia="bg-BG"/>
    </w:rPr>
  </w:style>
  <w:style w:type="paragraph" w:customStyle="1" w:styleId="Default">
    <w:name w:val="Default"/>
    <w:rsid w:val="00AB785D"/>
    <w:pPr>
      <w:autoSpaceDE w:val="0"/>
      <w:autoSpaceDN w:val="0"/>
      <w:adjustRightInd w:val="0"/>
    </w:pPr>
    <w:rPr>
      <w:rFonts w:eastAsia="Calibri"/>
      <w:color w:val="000000"/>
      <w:sz w:val="24"/>
      <w:szCs w:val="24"/>
    </w:r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6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86DEA"/>
    <w:pPr>
      <w:tabs>
        <w:tab w:val="right" w:pos="9638"/>
      </w:tabs>
    </w:pPr>
  </w:style>
  <w:style w:type="paragraph" w:styleId="Footer">
    <w:name w:val="footer"/>
    <w:basedOn w:val="Normal"/>
    <w:rsid w:val="00F86DEA"/>
    <w:pPr>
      <w:tabs>
        <w:tab w:val="center" w:pos="4819"/>
        <w:tab w:val="center" w:pos="7370"/>
        <w:tab w:val="right" w:pos="9638"/>
      </w:tabs>
      <w:spacing w:before="0" w:after="0" w:line="240" w:lineRule="auto"/>
    </w:pPr>
  </w:style>
  <w:style w:type="paragraph" w:styleId="FootnoteText">
    <w:name w:val="footnote text"/>
    <w:basedOn w:val="Normal"/>
    <w:link w:val="FootnoteTextChar"/>
    <w:uiPriority w:val="99"/>
    <w:rsid w:val="00F86DEA"/>
    <w:pPr>
      <w:spacing w:before="0" w:after="0" w:line="240" w:lineRule="auto"/>
      <w:ind w:left="720" w:hanging="720"/>
    </w:pPr>
    <w:rPr>
      <w:szCs w:val="20"/>
    </w:rPr>
  </w:style>
  <w:style w:type="paragraph" w:customStyle="1" w:styleId="NormalCentered">
    <w:name w:val="Normal Centered"/>
    <w:basedOn w:val="Normal"/>
    <w:rsid w:val="00F86DEA"/>
    <w:pPr>
      <w:spacing w:before="200"/>
      <w:jc w:val="center"/>
    </w:pPr>
  </w:style>
  <w:style w:type="paragraph" w:customStyle="1" w:styleId="NormalRight">
    <w:name w:val="Normal Right"/>
    <w:basedOn w:val="Normal"/>
    <w:rsid w:val="00F86DEA"/>
    <w:pPr>
      <w:spacing w:before="200"/>
      <w:jc w:val="right"/>
    </w:pPr>
  </w:style>
  <w:style w:type="paragraph" w:customStyle="1" w:styleId="NormalJustified">
    <w:name w:val="Normal Justified"/>
    <w:basedOn w:val="Normal"/>
    <w:rsid w:val="00F86DEA"/>
    <w:pPr>
      <w:spacing w:before="200"/>
      <w:jc w:val="both"/>
    </w:pPr>
  </w:style>
  <w:style w:type="paragraph" w:customStyle="1" w:styleId="HeaderLandscape">
    <w:name w:val="HeaderLandscape"/>
    <w:basedOn w:val="Normal"/>
    <w:rsid w:val="00F86DEA"/>
    <w:pPr>
      <w:tabs>
        <w:tab w:val="right" w:pos="14570"/>
      </w:tabs>
    </w:pPr>
  </w:style>
  <w:style w:type="paragraph" w:customStyle="1" w:styleId="FooterLandscape">
    <w:name w:val="FooterLandscape"/>
    <w:basedOn w:val="Normal"/>
    <w:rsid w:val="00F86DEA"/>
    <w:pPr>
      <w:tabs>
        <w:tab w:val="center" w:pos="7285"/>
        <w:tab w:val="center" w:pos="10930"/>
        <w:tab w:val="right" w:pos="14570"/>
      </w:tabs>
      <w:spacing w:before="0" w:after="0" w:line="240" w:lineRule="auto"/>
    </w:pPr>
  </w:style>
  <w:style w:type="character" w:styleId="FootnoteReference">
    <w:name w:val="footnote reference"/>
    <w:uiPriority w:val="99"/>
    <w:rsid w:val="00F86DEA"/>
    <w:rPr>
      <w:b/>
      <w:shd w:val="clear" w:color="auto" w:fill="auto"/>
      <w:vertAlign w:val="superscript"/>
    </w:rPr>
  </w:style>
  <w:style w:type="paragraph" w:customStyle="1" w:styleId="HeaderCouncil">
    <w:name w:val="Header Council"/>
    <w:basedOn w:val="Normal"/>
    <w:rsid w:val="00F86DEA"/>
    <w:pPr>
      <w:spacing w:before="0" w:after="0" w:line="240" w:lineRule="auto"/>
    </w:pPr>
    <w:rPr>
      <w:sz w:val="2"/>
    </w:rPr>
  </w:style>
  <w:style w:type="paragraph" w:customStyle="1" w:styleId="FooterCouncil">
    <w:name w:val="Footer Council"/>
    <w:basedOn w:val="Normal"/>
    <w:rsid w:val="00F86DEA"/>
    <w:pPr>
      <w:spacing w:before="0" w:after="0" w:line="240" w:lineRule="auto"/>
    </w:pPr>
    <w:rPr>
      <w:sz w:val="2"/>
    </w:rPr>
  </w:style>
  <w:style w:type="paragraph" w:customStyle="1" w:styleId="TechnicalBlock">
    <w:name w:val="Technical Block"/>
    <w:basedOn w:val="Normal"/>
    <w:next w:val="Normal"/>
    <w:link w:val="TechnicalBlockChar"/>
    <w:rsid w:val="00934803"/>
    <w:pPr>
      <w:spacing w:before="0" w:after="240" w:line="240" w:lineRule="auto"/>
      <w:jc w:val="center"/>
    </w:pPr>
    <w:rPr>
      <w:lang w:eastAsia="en-US" w:bidi="ar-SA"/>
    </w:rPr>
  </w:style>
  <w:style w:type="paragraph" w:customStyle="1" w:styleId="FinalLine">
    <w:name w:val="Final Line"/>
    <w:basedOn w:val="Normal"/>
    <w:next w:val="Normal"/>
    <w:rsid w:val="00F86DEA"/>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F86DEA"/>
    <w:pPr>
      <w:pBdr>
        <w:bottom w:val="single" w:sz="4" w:space="0" w:color="000000"/>
      </w:pBdr>
      <w:spacing w:before="360"/>
      <w:ind w:left="5868" w:right="5868"/>
      <w:jc w:val="center"/>
    </w:pPr>
    <w:rPr>
      <w:b/>
    </w:rPr>
  </w:style>
  <w:style w:type="paragraph" w:customStyle="1" w:styleId="Text1">
    <w:name w:val="Text 1"/>
    <w:basedOn w:val="Normal"/>
    <w:rsid w:val="00F86DEA"/>
    <w:pPr>
      <w:ind w:left="567"/>
      <w:outlineLvl w:val="0"/>
    </w:pPr>
  </w:style>
  <w:style w:type="paragraph" w:customStyle="1" w:styleId="Text2">
    <w:name w:val="Text 2"/>
    <w:basedOn w:val="Normal"/>
    <w:rsid w:val="00F86DEA"/>
    <w:pPr>
      <w:ind w:left="1134"/>
      <w:outlineLvl w:val="1"/>
    </w:pPr>
  </w:style>
  <w:style w:type="paragraph" w:customStyle="1" w:styleId="Text3">
    <w:name w:val="Text 3"/>
    <w:basedOn w:val="Normal"/>
    <w:rsid w:val="00F86DEA"/>
    <w:pPr>
      <w:ind w:left="1701"/>
      <w:outlineLvl w:val="2"/>
    </w:pPr>
  </w:style>
  <w:style w:type="paragraph" w:customStyle="1" w:styleId="Text4">
    <w:name w:val="Text 4"/>
    <w:basedOn w:val="Normal"/>
    <w:rsid w:val="00F86DEA"/>
    <w:pPr>
      <w:ind w:left="2268"/>
      <w:outlineLvl w:val="3"/>
    </w:pPr>
  </w:style>
  <w:style w:type="paragraph" w:customStyle="1" w:styleId="Text5">
    <w:name w:val="Text 5"/>
    <w:basedOn w:val="Normal"/>
    <w:rsid w:val="00F86DEA"/>
    <w:pPr>
      <w:ind w:left="2835"/>
      <w:outlineLvl w:val="4"/>
    </w:pPr>
  </w:style>
  <w:style w:type="paragraph" w:customStyle="1" w:styleId="Text6">
    <w:name w:val="Text 6"/>
    <w:basedOn w:val="Normal"/>
    <w:rsid w:val="00F86DEA"/>
    <w:pPr>
      <w:ind w:left="3402"/>
      <w:outlineLvl w:val="5"/>
    </w:pPr>
  </w:style>
  <w:style w:type="paragraph" w:customStyle="1" w:styleId="PointManual">
    <w:name w:val="Point Manual"/>
    <w:basedOn w:val="Normal"/>
    <w:rsid w:val="00F86DEA"/>
    <w:pPr>
      <w:ind w:left="567" w:hanging="567"/>
    </w:pPr>
  </w:style>
  <w:style w:type="paragraph" w:customStyle="1" w:styleId="PointManual1">
    <w:name w:val="Point Manual (1)"/>
    <w:basedOn w:val="Normal"/>
    <w:rsid w:val="00F86DEA"/>
    <w:pPr>
      <w:ind w:left="1134" w:hanging="567"/>
      <w:outlineLvl w:val="0"/>
    </w:pPr>
  </w:style>
  <w:style w:type="paragraph" w:customStyle="1" w:styleId="PointManual2">
    <w:name w:val="Point Manual (2)"/>
    <w:basedOn w:val="Normal"/>
    <w:rsid w:val="00F86DEA"/>
    <w:pPr>
      <w:ind w:left="1701" w:hanging="567"/>
      <w:outlineLvl w:val="1"/>
    </w:pPr>
  </w:style>
  <w:style w:type="paragraph" w:customStyle="1" w:styleId="PointManual3">
    <w:name w:val="Point Manual (3)"/>
    <w:basedOn w:val="Normal"/>
    <w:rsid w:val="00F86DEA"/>
    <w:pPr>
      <w:ind w:left="2268" w:hanging="567"/>
      <w:outlineLvl w:val="2"/>
    </w:pPr>
  </w:style>
  <w:style w:type="paragraph" w:customStyle="1" w:styleId="PointManual4">
    <w:name w:val="Point Manual (4)"/>
    <w:basedOn w:val="Normal"/>
    <w:rsid w:val="00F86DEA"/>
    <w:pPr>
      <w:ind w:left="2835" w:hanging="567"/>
      <w:outlineLvl w:val="3"/>
    </w:pPr>
  </w:style>
  <w:style w:type="paragraph" w:customStyle="1" w:styleId="PointDoubleManual">
    <w:name w:val="Point Double Manual"/>
    <w:basedOn w:val="Normal"/>
    <w:rsid w:val="00F86DEA"/>
    <w:pPr>
      <w:tabs>
        <w:tab w:val="left" w:pos="567"/>
      </w:tabs>
      <w:ind w:left="1134" w:hanging="1134"/>
    </w:pPr>
  </w:style>
  <w:style w:type="paragraph" w:customStyle="1" w:styleId="PointDoubleManual1">
    <w:name w:val="Point Double Manual (1)"/>
    <w:basedOn w:val="Normal"/>
    <w:rsid w:val="00F86DEA"/>
    <w:pPr>
      <w:tabs>
        <w:tab w:val="left" w:pos="1134"/>
      </w:tabs>
      <w:ind w:left="1701" w:hanging="1134"/>
      <w:outlineLvl w:val="0"/>
    </w:pPr>
  </w:style>
  <w:style w:type="paragraph" w:customStyle="1" w:styleId="PointDoubleManual2">
    <w:name w:val="Point Double Manual (2)"/>
    <w:basedOn w:val="Normal"/>
    <w:rsid w:val="00F86DEA"/>
    <w:pPr>
      <w:tabs>
        <w:tab w:val="left" w:pos="1701"/>
      </w:tabs>
      <w:ind w:left="2268" w:hanging="1134"/>
      <w:outlineLvl w:val="1"/>
    </w:pPr>
  </w:style>
  <w:style w:type="paragraph" w:customStyle="1" w:styleId="PointDoubleManual3">
    <w:name w:val="Point Double Manual (3)"/>
    <w:basedOn w:val="Normal"/>
    <w:rsid w:val="00F86DEA"/>
    <w:pPr>
      <w:tabs>
        <w:tab w:val="left" w:pos="2268"/>
      </w:tabs>
      <w:ind w:left="2835" w:hanging="1134"/>
      <w:outlineLvl w:val="2"/>
    </w:pPr>
  </w:style>
  <w:style w:type="paragraph" w:customStyle="1" w:styleId="PointDoubleManual4">
    <w:name w:val="Point Double Manual (4)"/>
    <w:basedOn w:val="Normal"/>
    <w:rsid w:val="00F86DEA"/>
    <w:pPr>
      <w:tabs>
        <w:tab w:val="left" w:pos="2835"/>
      </w:tabs>
      <w:ind w:left="3402" w:hanging="1134"/>
      <w:outlineLvl w:val="3"/>
    </w:pPr>
  </w:style>
  <w:style w:type="paragraph" w:customStyle="1" w:styleId="Pointabc">
    <w:name w:val="Point abc"/>
    <w:basedOn w:val="Normal"/>
    <w:rsid w:val="00F86DEA"/>
    <w:pPr>
      <w:numPr>
        <w:ilvl w:val="1"/>
        <w:numId w:val="16"/>
      </w:numPr>
    </w:pPr>
  </w:style>
  <w:style w:type="paragraph" w:customStyle="1" w:styleId="Pointabc1">
    <w:name w:val="Point abc (1)"/>
    <w:basedOn w:val="Normal"/>
    <w:rsid w:val="00F86DEA"/>
    <w:pPr>
      <w:numPr>
        <w:ilvl w:val="3"/>
        <w:numId w:val="16"/>
      </w:numPr>
      <w:outlineLvl w:val="0"/>
    </w:pPr>
  </w:style>
  <w:style w:type="paragraph" w:customStyle="1" w:styleId="Pointabc2">
    <w:name w:val="Point abc (2)"/>
    <w:basedOn w:val="Normal"/>
    <w:rsid w:val="00F86DEA"/>
    <w:pPr>
      <w:numPr>
        <w:ilvl w:val="5"/>
        <w:numId w:val="16"/>
      </w:numPr>
      <w:outlineLvl w:val="1"/>
    </w:pPr>
  </w:style>
  <w:style w:type="paragraph" w:customStyle="1" w:styleId="Pointabc3">
    <w:name w:val="Point abc (3)"/>
    <w:basedOn w:val="Normal"/>
    <w:rsid w:val="00F86DEA"/>
    <w:pPr>
      <w:numPr>
        <w:ilvl w:val="7"/>
        <w:numId w:val="16"/>
      </w:numPr>
      <w:outlineLvl w:val="2"/>
    </w:pPr>
  </w:style>
  <w:style w:type="paragraph" w:customStyle="1" w:styleId="Pointabc4">
    <w:name w:val="Point abc (4)"/>
    <w:basedOn w:val="Normal"/>
    <w:rsid w:val="00F86DEA"/>
    <w:pPr>
      <w:numPr>
        <w:ilvl w:val="8"/>
        <w:numId w:val="16"/>
      </w:numPr>
      <w:outlineLvl w:val="3"/>
    </w:pPr>
  </w:style>
  <w:style w:type="paragraph" w:customStyle="1" w:styleId="Point123">
    <w:name w:val="Point 123"/>
    <w:basedOn w:val="Normal"/>
    <w:rsid w:val="00F86DEA"/>
    <w:pPr>
      <w:numPr>
        <w:numId w:val="16"/>
      </w:numPr>
    </w:pPr>
  </w:style>
  <w:style w:type="paragraph" w:customStyle="1" w:styleId="Point1231">
    <w:name w:val="Point 123 (1)"/>
    <w:basedOn w:val="Normal"/>
    <w:rsid w:val="00F86DEA"/>
    <w:pPr>
      <w:numPr>
        <w:ilvl w:val="2"/>
        <w:numId w:val="16"/>
      </w:numPr>
      <w:outlineLvl w:val="0"/>
    </w:pPr>
  </w:style>
  <w:style w:type="paragraph" w:customStyle="1" w:styleId="Point1232">
    <w:name w:val="Point 123 (2)"/>
    <w:basedOn w:val="Normal"/>
    <w:rsid w:val="00F86DEA"/>
    <w:pPr>
      <w:numPr>
        <w:ilvl w:val="4"/>
        <w:numId w:val="16"/>
      </w:numPr>
      <w:outlineLvl w:val="1"/>
    </w:pPr>
  </w:style>
  <w:style w:type="paragraph" w:customStyle="1" w:styleId="Point1233">
    <w:name w:val="Point 123 (3)"/>
    <w:basedOn w:val="Normal"/>
    <w:rsid w:val="00F86DEA"/>
    <w:pPr>
      <w:numPr>
        <w:ilvl w:val="6"/>
        <w:numId w:val="16"/>
      </w:numPr>
      <w:outlineLvl w:val="2"/>
    </w:pPr>
  </w:style>
  <w:style w:type="paragraph" w:customStyle="1" w:styleId="Pointivx">
    <w:name w:val="Point ivx"/>
    <w:basedOn w:val="Normal"/>
    <w:rsid w:val="00F86DEA"/>
    <w:pPr>
      <w:numPr>
        <w:numId w:val="17"/>
      </w:numPr>
    </w:pPr>
  </w:style>
  <w:style w:type="paragraph" w:customStyle="1" w:styleId="Pointivx1">
    <w:name w:val="Point ivx (1)"/>
    <w:basedOn w:val="Normal"/>
    <w:rsid w:val="00F86DEA"/>
    <w:pPr>
      <w:numPr>
        <w:ilvl w:val="1"/>
        <w:numId w:val="17"/>
      </w:numPr>
      <w:outlineLvl w:val="0"/>
    </w:pPr>
  </w:style>
  <w:style w:type="paragraph" w:customStyle="1" w:styleId="Pointivx2">
    <w:name w:val="Point ivx (2)"/>
    <w:basedOn w:val="Normal"/>
    <w:rsid w:val="00F86DEA"/>
    <w:pPr>
      <w:numPr>
        <w:ilvl w:val="2"/>
        <w:numId w:val="17"/>
      </w:numPr>
      <w:outlineLvl w:val="1"/>
    </w:pPr>
  </w:style>
  <w:style w:type="paragraph" w:customStyle="1" w:styleId="Pointivx3">
    <w:name w:val="Point ivx (3)"/>
    <w:basedOn w:val="Normal"/>
    <w:rsid w:val="00F86DEA"/>
    <w:pPr>
      <w:numPr>
        <w:ilvl w:val="3"/>
        <w:numId w:val="17"/>
      </w:numPr>
      <w:outlineLvl w:val="2"/>
    </w:pPr>
  </w:style>
  <w:style w:type="paragraph" w:customStyle="1" w:styleId="Pointivx4">
    <w:name w:val="Point ivx (4)"/>
    <w:basedOn w:val="Normal"/>
    <w:rsid w:val="00F86DEA"/>
    <w:pPr>
      <w:numPr>
        <w:ilvl w:val="4"/>
        <w:numId w:val="17"/>
      </w:numPr>
      <w:outlineLvl w:val="3"/>
    </w:pPr>
  </w:style>
  <w:style w:type="paragraph" w:customStyle="1" w:styleId="Bullet">
    <w:name w:val="Bullet"/>
    <w:basedOn w:val="Normal"/>
    <w:rsid w:val="00F86DEA"/>
    <w:pPr>
      <w:numPr>
        <w:numId w:val="11"/>
      </w:numPr>
    </w:pPr>
  </w:style>
  <w:style w:type="paragraph" w:customStyle="1" w:styleId="Bullet1">
    <w:name w:val="Bullet 1"/>
    <w:basedOn w:val="Normal"/>
    <w:rsid w:val="00F86DEA"/>
    <w:pPr>
      <w:numPr>
        <w:numId w:val="12"/>
      </w:numPr>
      <w:outlineLvl w:val="0"/>
    </w:pPr>
  </w:style>
  <w:style w:type="paragraph" w:customStyle="1" w:styleId="Bullet2">
    <w:name w:val="Bullet 2"/>
    <w:basedOn w:val="Normal"/>
    <w:rsid w:val="00F86DEA"/>
    <w:pPr>
      <w:numPr>
        <w:numId w:val="13"/>
      </w:numPr>
      <w:outlineLvl w:val="1"/>
    </w:pPr>
  </w:style>
  <w:style w:type="paragraph" w:customStyle="1" w:styleId="Bullet3">
    <w:name w:val="Bullet 3"/>
    <w:basedOn w:val="Normal"/>
    <w:rsid w:val="00F86DEA"/>
    <w:pPr>
      <w:numPr>
        <w:numId w:val="14"/>
      </w:numPr>
      <w:outlineLvl w:val="2"/>
    </w:pPr>
  </w:style>
  <w:style w:type="paragraph" w:customStyle="1" w:styleId="Bullet4">
    <w:name w:val="Bullet 4"/>
    <w:basedOn w:val="Normal"/>
    <w:rsid w:val="00F86DEA"/>
    <w:pPr>
      <w:numPr>
        <w:numId w:val="15"/>
      </w:numPr>
      <w:outlineLvl w:val="3"/>
    </w:pPr>
  </w:style>
  <w:style w:type="paragraph" w:customStyle="1" w:styleId="Dash">
    <w:name w:val="Dash"/>
    <w:basedOn w:val="Normal"/>
    <w:rsid w:val="00F86DEA"/>
    <w:pPr>
      <w:numPr>
        <w:numId w:val="1"/>
      </w:numPr>
    </w:pPr>
  </w:style>
  <w:style w:type="paragraph" w:customStyle="1" w:styleId="Dash1">
    <w:name w:val="Dash 1"/>
    <w:basedOn w:val="Normal"/>
    <w:rsid w:val="00F86DEA"/>
    <w:pPr>
      <w:numPr>
        <w:numId w:val="2"/>
      </w:numPr>
      <w:outlineLvl w:val="0"/>
    </w:pPr>
  </w:style>
  <w:style w:type="paragraph" w:customStyle="1" w:styleId="Dash2">
    <w:name w:val="Dash 2"/>
    <w:basedOn w:val="Normal"/>
    <w:rsid w:val="00F86DEA"/>
    <w:pPr>
      <w:numPr>
        <w:numId w:val="3"/>
      </w:numPr>
      <w:outlineLvl w:val="1"/>
    </w:pPr>
  </w:style>
  <w:style w:type="paragraph" w:customStyle="1" w:styleId="Dash3">
    <w:name w:val="Dash 3"/>
    <w:basedOn w:val="Normal"/>
    <w:rsid w:val="00F86DEA"/>
    <w:pPr>
      <w:numPr>
        <w:numId w:val="4"/>
      </w:numPr>
      <w:outlineLvl w:val="2"/>
    </w:pPr>
  </w:style>
  <w:style w:type="paragraph" w:customStyle="1" w:styleId="Dash4">
    <w:name w:val="Dash 4"/>
    <w:basedOn w:val="Normal"/>
    <w:rsid w:val="00F86DEA"/>
    <w:pPr>
      <w:numPr>
        <w:numId w:val="5"/>
      </w:numPr>
      <w:outlineLvl w:val="3"/>
    </w:pPr>
  </w:style>
  <w:style w:type="paragraph" w:customStyle="1" w:styleId="DashEqual">
    <w:name w:val="Dash Equal"/>
    <w:basedOn w:val="Dash"/>
    <w:rsid w:val="00F86DEA"/>
    <w:pPr>
      <w:numPr>
        <w:numId w:val="6"/>
      </w:numPr>
    </w:pPr>
  </w:style>
  <w:style w:type="paragraph" w:customStyle="1" w:styleId="DashEqual1">
    <w:name w:val="Dash Equal 1"/>
    <w:basedOn w:val="Dash1"/>
    <w:rsid w:val="00F86DEA"/>
    <w:pPr>
      <w:numPr>
        <w:numId w:val="7"/>
      </w:numPr>
    </w:pPr>
  </w:style>
  <w:style w:type="paragraph" w:customStyle="1" w:styleId="DashEqual2">
    <w:name w:val="Dash Equal 2"/>
    <w:basedOn w:val="Dash2"/>
    <w:rsid w:val="00F86DEA"/>
    <w:pPr>
      <w:numPr>
        <w:numId w:val="8"/>
      </w:numPr>
    </w:pPr>
  </w:style>
  <w:style w:type="paragraph" w:customStyle="1" w:styleId="DashEqual3">
    <w:name w:val="Dash Equal 3"/>
    <w:basedOn w:val="Dash3"/>
    <w:rsid w:val="00F86DEA"/>
    <w:pPr>
      <w:numPr>
        <w:numId w:val="9"/>
      </w:numPr>
    </w:pPr>
  </w:style>
  <w:style w:type="paragraph" w:customStyle="1" w:styleId="DashEqual4">
    <w:name w:val="Dash Equal 4"/>
    <w:basedOn w:val="Dash4"/>
    <w:rsid w:val="00F86DEA"/>
    <w:pPr>
      <w:numPr>
        <w:numId w:val="10"/>
      </w:numPr>
    </w:pPr>
  </w:style>
  <w:style w:type="character" w:customStyle="1" w:styleId="Marker">
    <w:name w:val="Marker"/>
    <w:rsid w:val="00F86DEA"/>
    <w:rPr>
      <w:color w:val="0000FF"/>
      <w:shd w:val="clear" w:color="auto" w:fill="auto"/>
    </w:rPr>
  </w:style>
  <w:style w:type="character" w:customStyle="1" w:styleId="Marker1">
    <w:name w:val="Marker1"/>
    <w:rsid w:val="00F86DEA"/>
    <w:rPr>
      <w:color w:val="008000"/>
      <w:shd w:val="clear" w:color="auto" w:fill="auto"/>
    </w:rPr>
  </w:style>
  <w:style w:type="paragraph" w:customStyle="1" w:styleId="HeadingLeft">
    <w:name w:val="Heading Left"/>
    <w:basedOn w:val="Normal"/>
    <w:next w:val="Normal"/>
    <w:rsid w:val="00F86DEA"/>
    <w:pPr>
      <w:spacing w:before="360"/>
      <w:outlineLvl w:val="0"/>
    </w:pPr>
    <w:rPr>
      <w:b/>
      <w:caps/>
      <w:u w:val="single"/>
    </w:rPr>
  </w:style>
  <w:style w:type="paragraph" w:customStyle="1" w:styleId="HeadingIVX">
    <w:name w:val="Heading IVX"/>
    <w:basedOn w:val="HeadingLeft"/>
    <w:next w:val="Normal"/>
    <w:rsid w:val="00F86DEA"/>
    <w:pPr>
      <w:numPr>
        <w:numId w:val="20"/>
      </w:numPr>
    </w:pPr>
  </w:style>
  <w:style w:type="paragraph" w:customStyle="1" w:styleId="Heading123">
    <w:name w:val="Heading 123"/>
    <w:basedOn w:val="HeadingLeft"/>
    <w:next w:val="Normal"/>
    <w:rsid w:val="00F86DEA"/>
    <w:pPr>
      <w:numPr>
        <w:numId w:val="19"/>
      </w:numPr>
    </w:pPr>
  </w:style>
  <w:style w:type="paragraph" w:customStyle="1" w:styleId="HeadingABC">
    <w:name w:val="Heading ABC"/>
    <w:basedOn w:val="HeadingLeft"/>
    <w:next w:val="Normal"/>
    <w:rsid w:val="00F86DEA"/>
    <w:pPr>
      <w:numPr>
        <w:numId w:val="18"/>
      </w:numPr>
    </w:pPr>
  </w:style>
  <w:style w:type="paragraph" w:customStyle="1" w:styleId="HeadingCentered">
    <w:name w:val="Heading Centered"/>
    <w:basedOn w:val="HeadingLeft"/>
    <w:next w:val="Normal"/>
    <w:rsid w:val="00F86DEA"/>
    <w:pPr>
      <w:jc w:val="center"/>
    </w:pPr>
  </w:style>
  <w:style w:type="paragraph" w:customStyle="1" w:styleId="Amendment">
    <w:name w:val="Amendment"/>
    <w:basedOn w:val="Normal"/>
    <w:next w:val="Normal"/>
    <w:rsid w:val="00F86DEA"/>
    <w:rPr>
      <w:i/>
      <w:u w:val="single"/>
    </w:rPr>
  </w:style>
  <w:style w:type="paragraph" w:customStyle="1" w:styleId="AmendmentList">
    <w:name w:val="Amendment List"/>
    <w:basedOn w:val="Normal"/>
    <w:rsid w:val="00F86DEA"/>
    <w:pPr>
      <w:ind w:left="2268" w:hanging="2268"/>
    </w:pPr>
  </w:style>
  <w:style w:type="paragraph" w:customStyle="1" w:styleId="ReplyRE">
    <w:name w:val="Reply RE"/>
    <w:basedOn w:val="Normal"/>
    <w:next w:val="Normal"/>
    <w:rsid w:val="00B54F86"/>
    <w:pPr>
      <w:spacing w:after="480" w:line="240" w:lineRule="auto"/>
      <w:contextualSpacing/>
    </w:pPr>
  </w:style>
  <w:style w:type="paragraph" w:customStyle="1" w:styleId="ReplyBold">
    <w:name w:val="Reply Bold"/>
    <w:basedOn w:val="ReplyRE"/>
    <w:next w:val="Normal"/>
    <w:rsid w:val="00B54F86"/>
    <w:rPr>
      <w:b/>
    </w:rPr>
  </w:style>
  <w:style w:type="paragraph" w:customStyle="1" w:styleId="Annex">
    <w:name w:val="Annex"/>
    <w:basedOn w:val="Normal"/>
    <w:next w:val="Normal"/>
    <w:rsid w:val="00F86DEA"/>
    <w:pPr>
      <w:jc w:val="right"/>
    </w:pPr>
    <w:rPr>
      <w:b/>
      <w:u w:val="single"/>
    </w:rPr>
  </w:style>
  <w:style w:type="paragraph" w:customStyle="1" w:styleId="Sign">
    <w:name w:val="Sign"/>
    <w:basedOn w:val="Normal"/>
    <w:rsid w:val="00F86DEA"/>
    <w:pPr>
      <w:tabs>
        <w:tab w:val="center" w:pos="7087"/>
      </w:tabs>
    </w:pPr>
  </w:style>
  <w:style w:type="paragraph" w:customStyle="1" w:styleId="NotDeclassified">
    <w:name w:val="Not Declassified"/>
    <w:basedOn w:val="Normal"/>
    <w:qFormat/>
    <w:rsid w:val="00625999"/>
    <w:rPr>
      <w:b/>
      <w:bCs/>
      <w:bdr w:val="single" w:sz="4" w:space="0" w:color="auto"/>
      <w:shd w:val="solid" w:color="CCCCCC" w:fill="CCCCCC"/>
    </w:rPr>
  </w:style>
  <w:style w:type="paragraph" w:customStyle="1" w:styleId="HeaderCouncilLarge">
    <w:name w:val="Header Council Large"/>
    <w:basedOn w:val="Normal"/>
    <w:link w:val="HeaderCouncilLargeChar"/>
    <w:rsid w:val="00421A9A"/>
    <w:pPr>
      <w:spacing w:before="0" w:after="440"/>
      <w:ind w:left="-1134" w:right="-1134"/>
    </w:pPr>
    <w:rPr>
      <w:sz w:val="2"/>
      <w:lang w:eastAsia="en-US" w:bidi="ar-SA"/>
    </w:rPr>
  </w:style>
  <w:style w:type="character" w:customStyle="1" w:styleId="TechnicalBlockChar">
    <w:name w:val="Technical Block Char"/>
    <w:basedOn w:val="DefaultParagraphFont"/>
    <w:link w:val="TechnicalBlock"/>
    <w:rsid w:val="00421A9A"/>
    <w:rPr>
      <w:sz w:val="24"/>
      <w:szCs w:val="24"/>
      <w:lang w:eastAsia="en-US" w:bidi="ar-SA"/>
    </w:rPr>
  </w:style>
  <w:style w:type="character" w:customStyle="1" w:styleId="HeaderCouncilLargeChar">
    <w:name w:val="Header Council Large Char"/>
    <w:basedOn w:val="TechnicalBlockChar"/>
    <w:link w:val="HeaderCouncilLarge"/>
    <w:rsid w:val="00421A9A"/>
    <w:rPr>
      <w:sz w:val="2"/>
      <w:szCs w:val="24"/>
      <w:lang w:eastAsia="en-US" w:bidi="ar-SA"/>
    </w:rPr>
  </w:style>
  <w:style w:type="paragraph" w:customStyle="1" w:styleId="FooterText">
    <w:name w:val="Footer Text"/>
    <w:basedOn w:val="Normal"/>
    <w:rsid w:val="00421A9A"/>
    <w:pPr>
      <w:spacing w:before="0" w:after="0" w:line="240" w:lineRule="auto"/>
    </w:pPr>
  </w:style>
  <w:style w:type="character" w:customStyle="1" w:styleId="FootnoteTextChar">
    <w:name w:val="Footnote Text Char"/>
    <w:link w:val="FootnoteText"/>
    <w:uiPriority w:val="99"/>
    <w:rsid w:val="00AB785D"/>
    <w:rPr>
      <w:sz w:val="24"/>
      <w:lang w:val="bg-BG" w:eastAsia="bg-BG"/>
    </w:rPr>
  </w:style>
  <w:style w:type="paragraph" w:customStyle="1" w:styleId="Default">
    <w:name w:val="Default"/>
    <w:rsid w:val="00AB785D"/>
    <w:pPr>
      <w:autoSpaceDE w:val="0"/>
      <w:autoSpaceDN w:val="0"/>
      <w:adjustRightInd w:val="0"/>
    </w:pPr>
    <w:rPr>
      <w:rFonts w:eastAsia="Calibri"/>
      <w:color w:val="000000"/>
      <w:sz w:val="24"/>
      <w:szCs w:val="24"/>
    </w:r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COUNCI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768FD-4E3D-4DE1-B602-FB082498D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DW_COUNCIL.dotm</Template>
  <TotalTime>3</TotalTime>
  <Pages>6</Pages>
  <Words>1347</Words>
  <Characters>7679</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9008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BRUNETTO Monica</dc:creator>
  <cp:lastModifiedBy>STANKOVA Albena</cp:lastModifiedBy>
  <cp:revision>4</cp:revision>
  <cp:lastPrinted>2015-05-29T11:45:00Z</cp:lastPrinted>
  <dcterms:created xsi:type="dcterms:W3CDTF">2015-06-05T09:56:00Z</dcterms:created>
  <dcterms:modified xsi:type="dcterms:W3CDTF">2015-06-05T09:59:00Z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3.5.3, Build 20150508</vt:lpwstr>
  </property>
  <property fmtid="{D5CDD505-2E9C-101B-9397-08002B2CF9AE}" pid="4" name="Last edited using">
    <vt:lpwstr>DocuWrite 3.5.3, Build 20150508</vt:lpwstr>
  </property>
  <property fmtid="{D5CDD505-2E9C-101B-9397-08002B2CF9AE}" pid="5" name="SkipControlLengthPage">
    <vt:lpwstr/>
  </property>
</Properties>
</file>