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72" w:rsidRPr="00D0087C" w:rsidRDefault="007B17E2" w:rsidP="00D0087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8310b3-ab59-4398-a7ad-805ac2960526_0" style="width:573.75pt;height:437.25pt">
            <v:imagedata r:id="rId8" o:title=""/>
          </v:shape>
        </w:pict>
      </w:r>
      <w:bookmarkEnd w:id="0"/>
    </w:p>
    <w:p w:rsidR="00356060" w:rsidRPr="00CA3FA9" w:rsidRDefault="00356060" w:rsidP="00356060">
      <w:pPr>
        <w:pStyle w:val="TechnicalBlock"/>
        <w:ind w:left="-1134" w:right="-1134"/>
        <w:sectPr w:rsidR="00356060" w:rsidRPr="00CA3FA9" w:rsidSect="007B17E2">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A3673C" w:rsidRDefault="00D0087C" w:rsidP="00D0087C">
      <w:pPr>
        <w:pStyle w:val="TOCHeading"/>
      </w:pPr>
      <w:r>
        <w:lastRenderedPageBreak/>
        <w:t>CONTENTS</w:t>
      </w:r>
      <w:r w:rsidRPr="00D0087C">
        <w:rPr>
          <w:vertAlign w:val="superscript"/>
        </w:rPr>
        <w:t>1</w:t>
      </w:r>
    </w:p>
    <w:p w:rsidR="00D0087C" w:rsidRDefault="00D0087C" w:rsidP="00D0087C">
      <w:pPr>
        <w:pStyle w:val="TOC5"/>
      </w:pPr>
      <w:r>
        <w:t>ITEMS DEBATED</w:t>
      </w:r>
    </w:p>
    <w:p w:rsidR="00D0087C" w:rsidRDefault="00D0087C" w:rsidP="00D0087C">
      <w:pPr>
        <w:pStyle w:val="TOC6"/>
        <w:keepNext/>
        <w:rPr>
          <w:rFonts w:asciiTheme="minorHAnsi" w:eastAsiaTheme="minorEastAsia" w:hAnsiTheme="minorHAnsi" w:cstheme="minorBidi"/>
          <w:noProof/>
          <w:sz w:val="22"/>
          <w:szCs w:val="22"/>
          <w:lang w:eastAsia="en-GB"/>
        </w:rPr>
      </w:pPr>
      <w:r>
        <w:rPr>
          <w:noProof/>
        </w:rPr>
        <w:t>EDUCATION</w:t>
      </w:r>
      <w:r>
        <w:rPr>
          <w:noProof/>
        </w:rPr>
        <w:tab/>
      </w:r>
      <w:r>
        <w:rPr>
          <w:noProof/>
        </w:rPr>
        <w:fldChar w:fldCharType="begin"/>
      </w:r>
      <w:r>
        <w:rPr>
          <w:noProof/>
        </w:rPr>
        <w:instrText xml:space="preserve"> PAGEREF \h _Toc421186381 \* MERGEFORMAT </w:instrText>
      </w:r>
      <w:r>
        <w:rPr>
          <w:noProof/>
        </w:rPr>
      </w:r>
      <w:r>
        <w:rPr>
          <w:noProof/>
        </w:rPr>
        <w:fldChar w:fldCharType="separate"/>
      </w:r>
      <w:r w:rsidR="007B17E2">
        <w:rPr>
          <w:noProof/>
        </w:rPr>
        <w:t>4</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ET 2020 mid-term stocktaking</w:t>
      </w:r>
      <w:r>
        <w:rPr>
          <w:noProof/>
        </w:rPr>
        <w:tab/>
      </w:r>
      <w:r>
        <w:rPr>
          <w:noProof/>
        </w:rPr>
        <w:fldChar w:fldCharType="begin"/>
      </w:r>
      <w:r>
        <w:rPr>
          <w:noProof/>
        </w:rPr>
        <w:instrText xml:space="preserve"> PAGEREF \h _Toc421186382 \* MERGEFORMAT </w:instrText>
      </w:r>
      <w:r>
        <w:rPr>
          <w:noProof/>
        </w:rPr>
      </w:r>
      <w:r>
        <w:rPr>
          <w:noProof/>
        </w:rPr>
        <w:fldChar w:fldCharType="separate"/>
      </w:r>
      <w:r w:rsidR="007B17E2">
        <w:rPr>
          <w:noProof/>
        </w:rPr>
        <w:t>4</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The role of early childhood education and primary education</w:t>
      </w:r>
      <w:r>
        <w:rPr>
          <w:noProof/>
        </w:rPr>
        <w:tab/>
      </w:r>
      <w:r>
        <w:rPr>
          <w:noProof/>
        </w:rPr>
        <w:fldChar w:fldCharType="begin"/>
      </w:r>
      <w:r>
        <w:rPr>
          <w:noProof/>
        </w:rPr>
        <w:instrText xml:space="preserve"> PAGEREF \h _Toc421186383 \* MERGEFORMAT </w:instrText>
      </w:r>
      <w:r>
        <w:rPr>
          <w:noProof/>
        </w:rPr>
      </w:r>
      <w:r>
        <w:rPr>
          <w:noProof/>
        </w:rPr>
        <w:fldChar w:fldCharType="separate"/>
      </w:r>
      <w:r w:rsidR="007B17E2">
        <w:rPr>
          <w:noProof/>
        </w:rPr>
        <w:t>5</w:t>
      </w:r>
      <w:r>
        <w:rPr>
          <w:noProof/>
        </w:rPr>
        <w:fldChar w:fldCharType="end"/>
      </w:r>
    </w:p>
    <w:p w:rsidR="00D0087C" w:rsidRDefault="00D0087C" w:rsidP="00D0087C">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_Toc421186384 \* MERGEFORMAT </w:instrText>
      </w:r>
      <w:r>
        <w:rPr>
          <w:noProof/>
        </w:rPr>
      </w:r>
      <w:r>
        <w:rPr>
          <w:noProof/>
        </w:rPr>
        <w:fldChar w:fldCharType="separate"/>
      </w:r>
      <w:r w:rsidR="007B17E2">
        <w:rPr>
          <w:noProof/>
        </w:rPr>
        <w:t>6</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Pr>
          <w:noProof/>
        </w:rPr>
        <w:t>Paris declaration: Promoting citizenship and the common values of freedom, tolerance and non-discrimination through education</w:t>
      </w:r>
      <w:r>
        <w:rPr>
          <w:noProof/>
        </w:rPr>
        <w:tab/>
      </w:r>
      <w:r>
        <w:rPr>
          <w:noProof/>
        </w:rPr>
        <w:fldChar w:fldCharType="begin"/>
      </w:r>
      <w:r>
        <w:rPr>
          <w:noProof/>
        </w:rPr>
        <w:instrText xml:space="preserve"> PAGEREF \h _Toc421186385 \* MERGEFORMAT </w:instrText>
      </w:r>
      <w:r>
        <w:rPr>
          <w:noProof/>
        </w:rPr>
      </w:r>
      <w:r>
        <w:rPr>
          <w:noProof/>
        </w:rPr>
        <w:fldChar w:fldCharType="separate"/>
      </w:r>
      <w:r w:rsidR="007B17E2">
        <w:rPr>
          <w:noProof/>
        </w:rPr>
        <w:t>6</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Pr>
          <w:noProof/>
        </w:rPr>
        <w:t>Work programme of the incoming presidency</w:t>
      </w:r>
      <w:r>
        <w:rPr>
          <w:noProof/>
        </w:rPr>
        <w:tab/>
      </w:r>
      <w:r>
        <w:rPr>
          <w:noProof/>
        </w:rPr>
        <w:fldChar w:fldCharType="begin"/>
      </w:r>
      <w:r>
        <w:rPr>
          <w:noProof/>
        </w:rPr>
        <w:instrText xml:space="preserve"> PAGEREF \h _Toc421186386 \* MERGEFORMAT </w:instrText>
      </w:r>
      <w:r>
        <w:rPr>
          <w:noProof/>
        </w:rPr>
      </w:r>
      <w:r>
        <w:rPr>
          <w:noProof/>
        </w:rPr>
        <w:fldChar w:fldCharType="separate"/>
      </w:r>
      <w:r w:rsidR="007B17E2">
        <w:rPr>
          <w:noProof/>
        </w:rPr>
        <w:t>7</w:t>
      </w:r>
      <w:r>
        <w:rPr>
          <w:noProof/>
        </w:rPr>
        <w:fldChar w:fldCharType="end"/>
      </w:r>
    </w:p>
    <w:p w:rsidR="00D0087C" w:rsidRDefault="00D0087C" w:rsidP="00D0087C">
      <w:pPr>
        <w:pStyle w:val="TOC6"/>
        <w:keepNext/>
        <w:rPr>
          <w:rFonts w:asciiTheme="minorHAnsi" w:eastAsiaTheme="minorEastAsia" w:hAnsiTheme="minorHAnsi" w:cstheme="minorBidi"/>
          <w:noProof/>
          <w:sz w:val="22"/>
          <w:szCs w:val="22"/>
          <w:lang w:eastAsia="en-GB"/>
        </w:rPr>
      </w:pPr>
      <w:r>
        <w:rPr>
          <w:noProof/>
        </w:rPr>
        <w:t>YOUTH</w:t>
      </w:r>
      <w:r>
        <w:rPr>
          <w:noProof/>
        </w:rPr>
        <w:tab/>
      </w:r>
      <w:r>
        <w:rPr>
          <w:noProof/>
        </w:rPr>
        <w:fldChar w:fldCharType="begin"/>
      </w:r>
      <w:r>
        <w:rPr>
          <w:noProof/>
        </w:rPr>
        <w:instrText xml:space="preserve"> PAGEREF \h _Toc421186387 \* MERGEFORMAT </w:instrText>
      </w:r>
      <w:r>
        <w:rPr>
          <w:noProof/>
        </w:rPr>
      </w:r>
      <w:r>
        <w:rPr>
          <w:noProof/>
        </w:rPr>
        <w:fldChar w:fldCharType="separate"/>
      </w:r>
      <w:r w:rsidR="007B17E2">
        <w:rPr>
          <w:noProof/>
        </w:rPr>
        <w:t>7</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Structured dialogue</w:t>
      </w:r>
      <w:r>
        <w:rPr>
          <w:noProof/>
        </w:rPr>
        <w:tab/>
      </w:r>
      <w:r>
        <w:rPr>
          <w:noProof/>
        </w:rPr>
        <w:fldChar w:fldCharType="begin"/>
      </w:r>
      <w:r>
        <w:rPr>
          <w:noProof/>
        </w:rPr>
        <w:instrText xml:space="preserve"> PAGEREF \h _Toc421186388 \* MERGEFORMAT </w:instrText>
      </w:r>
      <w:r>
        <w:rPr>
          <w:noProof/>
        </w:rPr>
      </w:r>
      <w:r>
        <w:rPr>
          <w:noProof/>
        </w:rPr>
        <w:fldChar w:fldCharType="separate"/>
      </w:r>
      <w:r w:rsidR="007B17E2">
        <w:rPr>
          <w:noProof/>
        </w:rPr>
        <w:t>7</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Cross-sectorial policy cooperation</w:t>
      </w:r>
      <w:r>
        <w:rPr>
          <w:noProof/>
        </w:rPr>
        <w:tab/>
      </w:r>
      <w:r>
        <w:rPr>
          <w:noProof/>
        </w:rPr>
        <w:fldChar w:fldCharType="begin"/>
      </w:r>
      <w:r>
        <w:rPr>
          <w:noProof/>
        </w:rPr>
        <w:instrText xml:space="preserve"> PAGEREF \h _Toc421186389 \* MERGEFORMAT </w:instrText>
      </w:r>
      <w:r>
        <w:rPr>
          <w:noProof/>
        </w:rPr>
      </w:r>
      <w:r>
        <w:rPr>
          <w:noProof/>
        </w:rPr>
        <w:fldChar w:fldCharType="separate"/>
      </w:r>
      <w:r w:rsidR="007B17E2">
        <w:rPr>
          <w:noProof/>
        </w:rPr>
        <w:t>7</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Youth work</w:t>
      </w:r>
      <w:r>
        <w:rPr>
          <w:noProof/>
        </w:rPr>
        <w:tab/>
      </w:r>
      <w:r>
        <w:rPr>
          <w:noProof/>
        </w:rPr>
        <w:fldChar w:fldCharType="begin"/>
      </w:r>
      <w:r>
        <w:rPr>
          <w:noProof/>
        </w:rPr>
        <w:instrText xml:space="preserve"> PAGEREF \h _Toc421186390 \* MERGEFORMAT </w:instrText>
      </w:r>
      <w:r>
        <w:rPr>
          <w:noProof/>
        </w:rPr>
      </w:r>
      <w:r>
        <w:rPr>
          <w:noProof/>
        </w:rPr>
        <w:fldChar w:fldCharType="separate"/>
      </w:r>
      <w:r w:rsidR="007B17E2">
        <w:rPr>
          <w:noProof/>
        </w:rPr>
        <w:t>8</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Political participation of young people</w:t>
      </w:r>
      <w:r>
        <w:rPr>
          <w:noProof/>
        </w:rPr>
        <w:tab/>
      </w:r>
      <w:r>
        <w:rPr>
          <w:noProof/>
        </w:rPr>
        <w:fldChar w:fldCharType="begin"/>
      </w:r>
      <w:r>
        <w:rPr>
          <w:noProof/>
        </w:rPr>
        <w:instrText xml:space="preserve"> PAGEREF \h _Toc421186391 \* MERGEFORMAT </w:instrText>
      </w:r>
      <w:r>
        <w:rPr>
          <w:noProof/>
        </w:rPr>
      </w:r>
      <w:r>
        <w:rPr>
          <w:noProof/>
        </w:rPr>
        <w:fldChar w:fldCharType="separate"/>
      </w:r>
      <w:r w:rsidR="007B17E2">
        <w:rPr>
          <w:noProof/>
        </w:rPr>
        <w:t>9</w:t>
      </w:r>
      <w:r>
        <w:rPr>
          <w:noProof/>
        </w:rPr>
        <w:fldChar w:fldCharType="end"/>
      </w:r>
    </w:p>
    <w:p w:rsidR="00D0087C" w:rsidRDefault="00D0087C" w:rsidP="00D0087C">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_Toc421186392 \* MERGEFORMAT </w:instrText>
      </w:r>
      <w:r>
        <w:rPr>
          <w:noProof/>
        </w:rPr>
      </w:r>
      <w:r>
        <w:rPr>
          <w:noProof/>
        </w:rPr>
        <w:fldChar w:fldCharType="separate"/>
      </w:r>
      <w:r w:rsidR="007B17E2">
        <w:rPr>
          <w:noProof/>
        </w:rPr>
        <w:t>10</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Pr>
          <w:noProof/>
        </w:rPr>
        <w:t>European declaration on youth work in the context of the Second European Youth Work Convention</w:t>
      </w:r>
      <w:r>
        <w:rPr>
          <w:noProof/>
        </w:rPr>
        <w:tab/>
      </w:r>
      <w:r>
        <w:rPr>
          <w:noProof/>
        </w:rPr>
        <w:fldChar w:fldCharType="begin"/>
      </w:r>
      <w:r>
        <w:rPr>
          <w:noProof/>
        </w:rPr>
        <w:instrText xml:space="preserve"> PAGEREF \h _Toc421186393 \* MERGEFORMAT </w:instrText>
      </w:r>
      <w:r>
        <w:rPr>
          <w:noProof/>
        </w:rPr>
      </w:r>
      <w:r>
        <w:rPr>
          <w:noProof/>
        </w:rPr>
        <w:fldChar w:fldCharType="separate"/>
      </w:r>
      <w:r w:rsidR="007B17E2">
        <w:rPr>
          <w:noProof/>
        </w:rPr>
        <w:t>10</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Pr>
          <w:noProof/>
        </w:rPr>
        <w:t>Work programme of the incoming presidency</w:t>
      </w:r>
      <w:r>
        <w:rPr>
          <w:noProof/>
        </w:rPr>
        <w:tab/>
      </w:r>
      <w:r>
        <w:rPr>
          <w:noProof/>
        </w:rPr>
        <w:fldChar w:fldCharType="begin"/>
      </w:r>
      <w:r>
        <w:rPr>
          <w:noProof/>
        </w:rPr>
        <w:instrText xml:space="preserve"> PAGEREF \h _Toc421186394 \* MERGEFORMAT </w:instrText>
      </w:r>
      <w:r>
        <w:rPr>
          <w:noProof/>
        </w:rPr>
      </w:r>
      <w:r>
        <w:rPr>
          <w:noProof/>
        </w:rPr>
        <w:fldChar w:fldCharType="separate"/>
      </w:r>
      <w:r w:rsidR="007B17E2">
        <w:rPr>
          <w:noProof/>
        </w:rPr>
        <w:t>10</w:t>
      </w:r>
      <w:r>
        <w:rPr>
          <w:noProof/>
        </w:rPr>
        <w:fldChar w:fldCharType="end"/>
      </w:r>
    </w:p>
    <w:p w:rsidR="00D0087C" w:rsidRDefault="00D0087C" w:rsidP="00D0087C">
      <w:pPr>
        <w:pStyle w:val="TOC6"/>
        <w:keepNext/>
        <w:rPr>
          <w:rFonts w:asciiTheme="minorHAnsi" w:eastAsiaTheme="minorEastAsia" w:hAnsiTheme="minorHAnsi" w:cstheme="minorBidi"/>
          <w:noProof/>
          <w:sz w:val="22"/>
          <w:szCs w:val="22"/>
          <w:lang w:eastAsia="en-GB"/>
        </w:rPr>
      </w:pPr>
      <w:r>
        <w:rPr>
          <w:noProof/>
        </w:rPr>
        <w:t>CULTURE and AUDIOVISUAL</w:t>
      </w:r>
      <w:r>
        <w:rPr>
          <w:noProof/>
        </w:rPr>
        <w:tab/>
      </w:r>
      <w:r>
        <w:rPr>
          <w:noProof/>
        </w:rPr>
        <w:fldChar w:fldCharType="begin"/>
      </w:r>
      <w:r>
        <w:rPr>
          <w:noProof/>
        </w:rPr>
        <w:instrText xml:space="preserve"> PAGEREF \h _Toc421186395 \* MERGEFORMAT </w:instrText>
      </w:r>
      <w:r>
        <w:rPr>
          <w:noProof/>
        </w:rPr>
      </w:r>
      <w:r>
        <w:rPr>
          <w:noProof/>
        </w:rPr>
        <w:fldChar w:fldCharType="separate"/>
      </w:r>
      <w:r w:rsidR="007B17E2">
        <w:rPr>
          <w:noProof/>
        </w:rPr>
        <w:t>10</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European audiovisual policy</w:t>
      </w:r>
      <w:r>
        <w:rPr>
          <w:noProof/>
        </w:rPr>
        <w:tab/>
      </w:r>
      <w:r>
        <w:rPr>
          <w:noProof/>
        </w:rPr>
        <w:fldChar w:fldCharType="begin"/>
      </w:r>
      <w:r>
        <w:rPr>
          <w:noProof/>
        </w:rPr>
        <w:instrText xml:space="preserve"> PAGEREF \h _Toc421186396 \* MERGEFORMAT </w:instrText>
      </w:r>
      <w:r>
        <w:rPr>
          <w:noProof/>
        </w:rPr>
      </w:r>
      <w:r>
        <w:rPr>
          <w:noProof/>
        </w:rPr>
        <w:fldChar w:fldCharType="separate"/>
      </w:r>
      <w:r w:rsidR="007B17E2">
        <w:rPr>
          <w:noProof/>
        </w:rPr>
        <w:t>10</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Cultural and creative cross-overs</w:t>
      </w:r>
      <w:r>
        <w:rPr>
          <w:noProof/>
        </w:rPr>
        <w:tab/>
      </w:r>
      <w:r>
        <w:rPr>
          <w:noProof/>
        </w:rPr>
        <w:fldChar w:fldCharType="begin"/>
      </w:r>
      <w:r>
        <w:rPr>
          <w:noProof/>
        </w:rPr>
        <w:instrText xml:space="preserve"> PAGEREF \h _Toc421186397 \* MERGEFORMAT </w:instrText>
      </w:r>
      <w:r>
        <w:rPr>
          <w:noProof/>
        </w:rPr>
      </w:r>
      <w:r>
        <w:rPr>
          <w:noProof/>
        </w:rPr>
        <w:fldChar w:fldCharType="separate"/>
      </w:r>
      <w:r w:rsidR="007B17E2">
        <w:rPr>
          <w:noProof/>
        </w:rPr>
        <w:t>12</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European Capitals of Culture in 2019</w:t>
      </w:r>
      <w:r>
        <w:rPr>
          <w:noProof/>
        </w:rPr>
        <w:tab/>
      </w:r>
      <w:r>
        <w:rPr>
          <w:noProof/>
        </w:rPr>
        <w:fldChar w:fldCharType="begin"/>
      </w:r>
      <w:r>
        <w:rPr>
          <w:noProof/>
        </w:rPr>
        <w:instrText xml:space="preserve"> PAGEREF \h _Toc421186398 \* MERGEFORMAT </w:instrText>
      </w:r>
      <w:r>
        <w:rPr>
          <w:noProof/>
        </w:rPr>
      </w:r>
      <w:r>
        <w:rPr>
          <w:noProof/>
        </w:rPr>
        <w:fldChar w:fldCharType="separate"/>
      </w:r>
      <w:r w:rsidR="007B17E2">
        <w:rPr>
          <w:noProof/>
        </w:rPr>
        <w:t>12</w:t>
      </w:r>
      <w:r>
        <w:rPr>
          <w:noProof/>
        </w:rPr>
        <w:fldChar w:fldCharType="end"/>
      </w:r>
    </w:p>
    <w:p w:rsidR="00D0087C" w:rsidRDefault="00D0087C" w:rsidP="00D0087C">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_Toc421186399 \* MERGEFORMAT </w:instrText>
      </w:r>
      <w:r>
        <w:rPr>
          <w:noProof/>
        </w:rPr>
      </w:r>
      <w:r>
        <w:rPr>
          <w:noProof/>
        </w:rPr>
        <w:fldChar w:fldCharType="separate"/>
      </w:r>
      <w:r w:rsidR="007B17E2">
        <w:rPr>
          <w:noProof/>
        </w:rPr>
        <w:t>13</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Pr>
          <w:noProof/>
        </w:rPr>
        <w:t>Destruction of cultural sites perpetrated by ISIL/Da'esh</w:t>
      </w:r>
      <w:r>
        <w:rPr>
          <w:noProof/>
        </w:rPr>
        <w:tab/>
      </w:r>
      <w:r>
        <w:rPr>
          <w:noProof/>
        </w:rPr>
        <w:fldChar w:fldCharType="begin"/>
      </w:r>
      <w:r>
        <w:rPr>
          <w:noProof/>
        </w:rPr>
        <w:instrText xml:space="preserve"> PAGEREF \h _Toc421186400 \* MERGEFORMAT </w:instrText>
      </w:r>
      <w:r>
        <w:rPr>
          <w:noProof/>
        </w:rPr>
      </w:r>
      <w:r>
        <w:rPr>
          <w:noProof/>
        </w:rPr>
        <w:fldChar w:fldCharType="separate"/>
      </w:r>
      <w:r w:rsidR="007B17E2">
        <w:rPr>
          <w:noProof/>
        </w:rPr>
        <w:t>13</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sidRPr="00A97AC9">
        <w:rPr>
          <w:rFonts w:asciiTheme="majorBidi" w:hAnsiTheme="majorBidi" w:cstheme="majorBidi"/>
          <w:bCs/>
          <w:noProof/>
        </w:rPr>
        <w:lastRenderedPageBreak/>
        <w:t xml:space="preserve">Financing of small-scale </w:t>
      </w:r>
      <w:r>
        <w:rPr>
          <w:noProof/>
        </w:rPr>
        <w:t>cultural</w:t>
      </w:r>
      <w:r w:rsidRPr="00A97AC9">
        <w:rPr>
          <w:rFonts w:asciiTheme="majorBidi" w:hAnsiTheme="majorBidi" w:cstheme="majorBidi"/>
          <w:bCs/>
          <w:noProof/>
        </w:rPr>
        <w:t xml:space="preserve"> infrastructure projects</w:t>
      </w:r>
      <w:r>
        <w:rPr>
          <w:noProof/>
        </w:rPr>
        <w:tab/>
      </w:r>
      <w:r>
        <w:rPr>
          <w:noProof/>
        </w:rPr>
        <w:fldChar w:fldCharType="begin"/>
      </w:r>
      <w:r>
        <w:rPr>
          <w:noProof/>
        </w:rPr>
        <w:instrText xml:space="preserve"> PAGEREF \h _Toc421186401 \* MERGEFORMAT </w:instrText>
      </w:r>
      <w:r>
        <w:rPr>
          <w:noProof/>
        </w:rPr>
      </w:r>
      <w:r>
        <w:rPr>
          <w:noProof/>
        </w:rPr>
        <w:fldChar w:fldCharType="separate"/>
      </w:r>
      <w:r w:rsidR="007B17E2">
        <w:rPr>
          <w:noProof/>
        </w:rPr>
        <w:t>14</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sidRPr="00A97AC9">
        <w:rPr>
          <w:rFonts w:asciiTheme="majorBidi" w:hAnsiTheme="majorBidi" w:cstheme="majorBidi"/>
          <w:bCs/>
          <w:noProof/>
        </w:rPr>
        <w:t xml:space="preserve">Council conclusions on </w:t>
      </w:r>
      <w:r>
        <w:rPr>
          <w:noProof/>
        </w:rPr>
        <w:t>cultural</w:t>
      </w:r>
      <w:r w:rsidRPr="00A97AC9">
        <w:rPr>
          <w:rFonts w:asciiTheme="majorBidi" w:hAnsiTheme="majorBidi" w:cstheme="majorBidi"/>
          <w:bCs/>
          <w:noProof/>
        </w:rPr>
        <w:t xml:space="preserve"> governance</w:t>
      </w:r>
      <w:r>
        <w:rPr>
          <w:noProof/>
        </w:rPr>
        <w:tab/>
      </w:r>
      <w:r>
        <w:rPr>
          <w:noProof/>
        </w:rPr>
        <w:fldChar w:fldCharType="begin"/>
      </w:r>
      <w:r>
        <w:rPr>
          <w:noProof/>
        </w:rPr>
        <w:instrText xml:space="preserve"> PAGEREF \h _Toc421186402 \* MERGEFORMAT </w:instrText>
      </w:r>
      <w:r>
        <w:rPr>
          <w:noProof/>
        </w:rPr>
      </w:r>
      <w:r>
        <w:rPr>
          <w:noProof/>
        </w:rPr>
        <w:fldChar w:fldCharType="separate"/>
      </w:r>
      <w:r w:rsidR="007B17E2">
        <w:rPr>
          <w:noProof/>
        </w:rPr>
        <w:t>14</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sidRPr="00A97AC9">
        <w:rPr>
          <w:rFonts w:asciiTheme="majorBidi" w:hAnsiTheme="majorBidi" w:cstheme="majorBidi"/>
          <w:bCs/>
          <w:noProof/>
        </w:rPr>
        <w:t>Work programme of the incoming presidency</w:t>
      </w:r>
      <w:r>
        <w:rPr>
          <w:noProof/>
        </w:rPr>
        <w:tab/>
      </w:r>
      <w:r>
        <w:rPr>
          <w:noProof/>
        </w:rPr>
        <w:fldChar w:fldCharType="begin"/>
      </w:r>
      <w:r>
        <w:rPr>
          <w:noProof/>
        </w:rPr>
        <w:instrText xml:space="preserve"> PAGEREF \h _Toc421186403 \* MERGEFORMAT </w:instrText>
      </w:r>
      <w:r>
        <w:rPr>
          <w:noProof/>
        </w:rPr>
      </w:r>
      <w:r>
        <w:rPr>
          <w:noProof/>
        </w:rPr>
        <w:fldChar w:fldCharType="separate"/>
      </w:r>
      <w:r w:rsidR="007B17E2">
        <w:rPr>
          <w:noProof/>
        </w:rPr>
        <w:t>14</w:t>
      </w:r>
      <w:r>
        <w:rPr>
          <w:noProof/>
        </w:rPr>
        <w:fldChar w:fldCharType="end"/>
      </w:r>
    </w:p>
    <w:p w:rsidR="00D0087C" w:rsidRDefault="00D0087C" w:rsidP="00D0087C">
      <w:pPr>
        <w:pStyle w:val="TOC6"/>
        <w:keepNext/>
        <w:rPr>
          <w:rFonts w:asciiTheme="minorHAnsi" w:eastAsiaTheme="minorEastAsia" w:hAnsiTheme="minorHAnsi" w:cstheme="minorBidi"/>
          <w:noProof/>
          <w:sz w:val="22"/>
          <w:szCs w:val="22"/>
          <w:lang w:eastAsia="en-GB"/>
        </w:rPr>
      </w:pPr>
      <w:r>
        <w:rPr>
          <w:noProof/>
        </w:rPr>
        <w:t>SPORT</w:t>
      </w:r>
      <w:r>
        <w:rPr>
          <w:noProof/>
        </w:rPr>
        <w:tab/>
      </w:r>
      <w:r>
        <w:rPr>
          <w:noProof/>
        </w:rPr>
        <w:fldChar w:fldCharType="begin"/>
      </w:r>
      <w:r>
        <w:rPr>
          <w:noProof/>
        </w:rPr>
        <w:instrText xml:space="preserve"> PAGEREF \h _Toc421186404 \* MERGEFORMAT </w:instrText>
      </w:r>
      <w:r>
        <w:rPr>
          <w:noProof/>
        </w:rPr>
      </w:r>
      <w:r>
        <w:rPr>
          <w:noProof/>
        </w:rPr>
        <w:fldChar w:fldCharType="separate"/>
      </w:r>
      <w:r w:rsidR="007B17E2">
        <w:rPr>
          <w:noProof/>
        </w:rPr>
        <w:t>14</w:t>
      </w:r>
      <w:r>
        <w:rPr>
          <w:noProof/>
        </w:rPr>
        <w:fldChar w:fldCharType="end"/>
      </w:r>
    </w:p>
    <w:p w:rsidR="00D0087C" w:rsidRDefault="00D0087C" w:rsidP="00D0087C">
      <w:pPr>
        <w:pStyle w:val="TOC7"/>
        <w:keepNext/>
        <w:rPr>
          <w:rFonts w:asciiTheme="minorHAnsi" w:eastAsiaTheme="minorEastAsia" w:hAnsiTheme="minorHAnsi" w:cstheme="minorBidi"/>
          <w:noProof/>
          <w:sz w:val="22"/>
          <w:szCs w:val="22"/>
          <w:lang w:eastAsia="en-GB"/>
        </w:rPr>
      </w:pPr>
      <w:r>
        <w:rPr>
          <w:noProof/>
        </w:rPr>
        <w:t>Role of grassroots sport</w:t>
      </w:r>
      <w:r>
        <w:rPr>
          <w:noProof/>
        </w:rPr>
        <w:tab/>
      </w:r>
      <w:r>
        <w:rPr>
          <w:noProof/>
        </w:rPr>
        <w:fldChar w:fldCharType="begin"/>
      </w:r>
      <w:r>
        <w:rPr>
          <w:noProof/>
        </w:rPr>
        <w:instrText xml:space="preserve"> PAGEREF \h _Toc421186405 \* MERGEFORMAT </w:instrText>
      </w:r>
      <w:r>
        <w:rPr>
          <w:noProof/>
        </w:rPr>
      </w:r>
      <w:r>
        <w:rPr>
          <w:noProof/>
        </w:rPr>
        <w:fldChar w:fldCharType="separate"/>
      </w:r>
      <w:r w:rsidR="007B17E2">
        <w:rPr>
          <w:noProof/>
        </w:rPr>
        <w:t>14</w:t>
      </w:r>
      <w:r>
        <w:rPr>
          <w:noProof/>
        </w:rPr>
        <w:fldChar w:fldCharType="end"/>
      </w:r>
    </w:p>
    <w:p w:rsidR="00D0087C" w:rsidRDefault="00D0087C" w:rsidP="00D0087C">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_Toc421186406 \* MERGEFORMAT </w:instrText>
      </w:r>
      <w:r>
        <w:rPr>
          <w:noProof/>
        </w:rPr>
      </w:r>
      <w:r>
        <w:rPr>
          <w:noProof/>
        </w:rPr>
        <w:fldChar w:fldCharType="separate"/>
      </w:r>
      <w:r w:rsidR="007B17E2">
        <w:rPr>
          <w:noProof/>
        </w:rPr>
        <w:t>16</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sidRPr="00A97AC9">
        <w:rPr>
          <w:rFonts w:asciiTheme="majorBidi" w:hAnsiTheme="majorBidi" w:cstheme="majorBidi"/>
          <w:bCs/>
          <w:noProof/>
        </w:rPr>
        <w:t xml:space="preserve">Council of Europe </w:t>
      </w:r>
      <w:r>
        <w:rPr>
          <w:noProof/>
        </w:rPr>
        <w:t>Convention</w:t>
      </w:r>
      <w:r w:rsidRPr="00A97AC9">
        <w:rPr>
          <w:rFonts w:asciiTheme="majorBidi" w:hAnsiTheme="majorBidi" w:cstheme="majorBidi"/>
          <w:bCs/>
          <w:noProof/>
        </w:rPr>
        <w:t xml:space="preserve"> on the manipulation of sports competitions</w:t>
      </w:r>
      <w:r>
        <w:rPr>
          <w:noProof/>
        </w:rPr>
        <w:tab/>
      </w:r>
      <w:r>
        <w:rPr>
          <w:noProof/>
        </w:rPr>
        <w:fldChar w:fldCharType="begin"/>
      </w:r>
      <w:r>
        <w:rPr>
          <w:noProof/>
        </w:rPr>
        <w:instrText xml:space="preserve"> PAGEREF \h _Toc421186407 \* MERGEFORMAT </w:instrText>
      </w:r>
      <w:r>
        <w:rPr>
          <w:noProof/>
        </w:rPr>
      </w:r>
      <w:r>
        <w:rPr>
          <w:noProof/>
        </w:rPr>
        <w:fldChar w:fldCharType="separate"/>
      </w:r>
      <w:r w:rsidR="007B17E2">
        <w:rPr>
          <w:noProof/>
        </w:rPr>
        <w:t>16</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sidRPr="00A97AC9">
        <w:rPr>
          <w:rFonts w:asciiTheme="majorBidi" w:hAnsiTheme="majorBidi" w:cstheme="majorBidi"/>
          <w:bCs/>
          <w:noProof/>
        </w:rPr>
        <w:t xml:space="preserve">World Anti-Doping </w:t>
      </w:r>
      <w:r>
        <w:rPr>
          <w:noProof/>
        </w:rPr>
        <w:t>Agency</w:t>
      </w:r>
      <w:r w:rsidRPr="00A97AC9">
        <w:rPr>
          <w:rFonts w:asciiTheme="majorBidi" w:hAnsiTheme="majorBidi" w:cstheme="majorBidi"/>
          <w:bCs/>
          <w:noProof/>
        </w:rPr>
        <w:t xml:space="preserve"> (WADA) meetings</w:t>
      </w:r>
      <w:r>
        <w:rPr>
          <w:noProof/>
        </w:rPr>
        <w:tab/>
      </w:r>
      <w:r>
        <w:rPr>
          <w:noProof/>
        </w:rPr>
        <w:fldChar w:fldCharType="begin"/>
      </w:r>
      <w:r>
        <w:rPr>
          <w:noProof/>
        </w:rPr>
        <w:instrText xml:space="preserve"> PAGEREF \h _Toc421186408 \* MERGEFORMAT </w:instrText>
      </w:r>
      <w:r>
        <w:rPr>
          <w:noProof/>
        </w:rPr>
      </w:r>
      <w:r>
        <w:rPr>
          <w:noProof/>
        </w:rPr>
        <w:fldChar w:fldCharType="separate"/>
      </w:r>
      <w:r w:rsidR="007B17E2">
        <w:rPr>
          <w:noProof/>
        </w:rPr>
        <w:t>17</w:t>
      </w:r>
      <w:r>
        <w:rPr>
          <w:noProof/>
        </w:rPr>
        <w:fldChar w:fldCharType="end"/>
      </w:r>
    </w:p>
    <w:p w:rsidR="00D0087C" w:rsidRPr="00D0087C" w:rsidRDefault="00D0087C" w:rsidP="00D0087C">
      <w:pPr>
        <w:pStyle w:val="TOC9"/>
      </w:pPr>
      <w:r w:rsidRPr="00D0087C">
        <w:rPr>
          <w:rFonts w:asciiTheme="majorBidi" w:hAnsiTheme="majorBidi" w:cstheme="majorBidi"/>
          <w:bCs/>
          <w:noProof/>
        </w:rPr>
        <w:t xml:space="preserve">Work programme of the </w:t>
      </w:r>
      <w:r>
        <w:rPr>
          <w:noProof/>
        </w:rPr>
        <w:t>incoming</w:t>
      </w:r>
      <w:r w:rsidRPr="00D0087C">
        <w:rPr>
          <w:rFonts w:asciiTheme="majorBidi" w:hAnsiTheme="majorBidi" w:cstheme="majorBidi"/>
          <w:bCs/>
          <w:noProof/>
        </w:rPr>
        <w:t xml:space="preserve"> presidency</w:t>
      </w:r>
      <w:r>
        <w:rPr>
          <w:noProof/>
        </w:rPr>
        <w:tab/>
      </w:r>
      <w:r>
        <w:rPr>
          <w:noProof/>
        </w:rPr>
        <w:fldChar w:fldCharType="begin"/>
      </w:r>
      <w:r>
        <w:rPr>
          <w:noProof/>
        </w:rPr>
        <w:instrText xml:space="preserve"> PAGEREF \h _Toc421186409 \* MERGEFORMAT </w:instrText>
      </w:r>
      <w:r>
        <w:rPr>
          <w:noProof/>
        </w:rPr>
      </w:r>
      <w:r>
        <w:rPr>
          <w:noProof/>
        </w:rPr>
        <w:fldChar w:fldCharType="separate"/>
      </w:r>
      <w:r w:rsidR="007B17E2">
        <w:rPr>
          <w:noProof/>
        </w:rPr>
        <w:t>17</w:t>
      </w:r>
      <w:r>
        <w:rPr>
          <w:noProof/>
        </w:rPr>
        <w:fldChar w:fldCharType="end"/>
      </w:r>
    </w:p>
    <w:p w:rsidR="00D0087C" w:rsidRDefault="00D0087C" w:rsidP="00D0087C">
      <w:pPr>
        <w:pStyle w:val="TOC5"/>
      </w:pPr>
      <w:r>
        <w:t>OTHER ITEMS APPROVED</w:t>
      </w:r>
    </w:p>
    <w:p w:rsidR="00D0087C" w:rsidRDefault="00D0087C" w:rsidP="00D0087C">
      <w:pPr>
        <w:pStyle w:val="TOC8"/>
        <w:rPr>
          <w:rFonts w:asciiTheme="minorHAnsi" w:eastAsiaTheme="minorEastAsia" w:hAnsiTheme="minorHAnsi" w:cstheme="minorBidi"/>
          <w:i w:val="0"/>
          <w:noProof/>
          <w:sz w:val="22"/>
          <w:szCs w:val="22"/>
          <w:lang w:eastAsia="en-GB"/>
        </w:rPr>
      </w:pPr>
      <w:r>
        <w:rPr>
          <w:noProof/>
        </w:rPr>
        <w:t>GENERAL AFFAIRS</w:t>
      </w:r>
    </w:p>
    <w:p w:rsidR="00D0087C" w:rsidRDefault="00D0087C" w:rsidP="00D0087C">
      <w:pPr>
        <w:pStyle w:val="TOC9"/>
        <w:rPr>
          <w:rFonts w:asciiTheme="minorHAnsi" w:eastAsiaTheme="minorEastAsia" w:hAnsiTheme="minorHAnsi" w:cstheme="minorBidi"/>
          <w:noProof/>
          <w:sz w:val="22"/>
          <w:szCs w:val="22"/>
          <w:lang w:eastAsia="en-GB"/>
        </w:rPr>
      </w:pPr>
      <w:r>
        <w:rPr>
          <w:noProof/>
        </w:rPr>
        <w:t>Inland waterway transport in Europe - Report of the European Court of Auditors</w:t>
      </w:r>
      <w:r>
        <w:rPr>
          <w:noProof/>
        </w:rPr>
        <w:tab/>
      </w:r>
      <w:r>
        <w:rPr>
          <w:noProof/>
        </w:rPr>
        <w:fldChar w:fldCharType="begin"/>
      </w:r>
      <w:r>
        <w:rPr>
          <w:noProof/>
        </w:rPr>
        <w:instrText xml:space="preserve"> PAGEREF \h _Toc421186411 \* MERGEFORMAT </w:instrText>
      </w:r>
      <w:r>
        <w:rPr>
          <w:noProof/>
        </w:rPr>
      </w:r>
      <w:r>
        <w:rPr>
          <w:noProof/>
        </w:rPr>
        <w:fldChar w:fldCharType="separate"/>
      </w:r>
      <w:r w:rsidR="007B17E2">
        <w:rPr>
          <w:noProof/>
        </w:rPr>
        <w:t>18</w:t>
      </w:r>
      <w:r>
        <w:rPr>
          <w:noProof/>
        </w:rPr>
        <w:fldChar w:fldCharType="end"/>
      </w:r>
    </w:p>
    <w:p w:rsidR="00D0087C" w:rsidRDefault="00D0087C" w:rsidP="00D0087C">
      <w:pPr>
        <w:pStyle w:val="TOC8"/>
        <w:rPr>
          <w:rFonts w:asciiTheme="minorHAnsi" w:eastAsiaTheme="minorEastAsia" w:hAnsiTheme="minorHAnsi" w:cstheme="minorBidi"/>
          <w:i w:val="0"/>
          <w:noProof/>
          <w:sz w:val="22"/>
          <w:szCs w:val="22"/>
          <w:lang w:eastAsia="en-GB"/>
        </w:rPr>
      </w:pPr>
      <w:r>
        <w:rPr>
          <w:noProof/>
        </w:rPr>
        <w:t>TRANSPORT</w:t>
      </w:r>
    </w:p>
    <w:p w:rsidR="00D0087C" w:rsidRDefault="00D0087C" w:rsidP="00D0087C">
      <w:pPr>
        <w:pStyle w:val="TOC9"/>
        <w:keepNext/>
        <w:rPr>
          <w:rFonts w:asciiTheme="minorHAnsi" w:eastAsiaTheme="minorEastAsia" w:hAnsiTheme="minorHAnsi" w:cstheme="minorBidi"/>
          <w:noProof/>
          <w:sz w:val="22"/>
          <w:szCs w:val="22"/>
          <w:lang w:eastAsia="en-GB"/>
        </w:rPr>
      </w:pPr>
      <w:r>
        <w:rPr>
          <w:noProof/>
        </w:rPr>
        <w:t>Fishing vessel personnel</w:t>
      </w:r>
      <w:r>
        <w:rPr>
          <w:noProof/>
        </w:rPr>
        <w:tab/>
      </w:r>
      <w:r>
        <w:rPr>
          <w:noProof/>
        </w:rPr>
        <w:fldChar w:fldCharType="begin"/>
      </w:r>
      <w:r>
        <w:rPr>
          <w:noProof/>
        </w:rPr>
        <w:instrText xml:space="preserve"> PAGEREF \h _Toc421186413 \* MERGEFORMAT </w:instrText>
      </w:r>
      <w:r>
        <w:rPr>
          <w:noProof/>
        </w:rPr>
      </w:r>
      <w:r>
        <w:rPr>
          <w:noProof/>
        </w:rPr>
        <w:fldChar w:fldCharType="separate"/>
      </w:r>
      <w:r w:rsidR="007B17E2">
        <w:rPr>
          <w:noProof/>
        </w:rPr>
        <w:t>18</w:t>
      </w:r>
      <w:r>
        <w:rPr>
          <w:noProof/>
        </w:rPr>
        <w:fldChar w:fldCharType="end"/>
      </w:r>
    </w:p>
    <w:p w:rsidR="00D0087C" w:rsidRDefault="00D0087C" w:rsidP="00D0087C">
      <w:pPr>
        <w:pStyle w:val="TOC9"/>
        <w:rPr>
          <w:rFonts w:asciiTheme="minorHAnsi" w:eastAsiaTheme="minorEastAsia" w:hAnsiTheme="minorHAnsi" w:cstheme="minorBidi"/>
          <w:noProof/>
          <w:sz w:val="22"/>
          <w:szCs w:val="22"/>
          <w:lang w:eastAsia="en-GB"/>
        </w:rPr>
      </w:pPr>
      <w:r>
        <w:rPr>
          <w:noProof/>
        </w:rPr>
        <w:t>Port state control*</w:t>
      </w:r>
      <w:r>
        <w:rPr>
          <w:noProof/>
        </w:rPr>
        <w:tab/>
      </w:r>
      <w:r>
        <w:rPr>
          <w:noProof/>
        </w:rPr>
        <w:fldChar w:fldCharType="begin"/>
      </w:r>
      <w:r>
        <w:rPr>
          <w:noProof/>
        </w:rPr>
        <w:instrText xml:space="preserve"> PAGEREF \h _Toc421186414 \* MERGEFORMAT </w:instrText>
      </w:r>
      <w:r>
        <w:rPr>
          <w:noProof/>
        </w:rPr>
      </w:r>
      <w:r>
        <w:rPr>
          <w:noProof/>
        </w:rPr>
        <w:fldChar w:fldCharType="separate"/>
      </w:r>
      <w:r w:rsidR="007B17E2">
        <w:rPr>
          <w:noProof/>
        </w:rPr>
        <w:t>18</w:t>
      </w:r>
      <w:r>
        <w:rPr>
          <w:noProof/>
        </w:rPr>
        <w:fldChar w:fldCharType="end"/>
      </w:r>
    </w:p>
    <w:p w:rsidR="00D0087C" w:rsidRDefault="00D0087C" w:rsidP="00D0087C">
      <w:pPr>
        <w:pStyle w:val="TOC8"/>
        <w:rPr>
          <w:rFonts w:asciiTheme="minorHAnsi" w:eastAsiaTheme="minorEastAsia" w:hAnsiTheme="minorHAnsi" w:cstheme="minorBidi"/>
          <w:i w:val="0"/>
          <w:noProof/>
          <w:sz w:val="22"/>
          <w:szCs w:val="22"/>
          <w:lang w:eastAsia="en-GB"/>
        </w:rPr>
      </w:pPr>
      <w:r>
        <w:rPr>
          <w:noProof/>
        </w:rPr>
        <w:t>ENVIRONMENT</w:t>
      </w:r>
    </w:p>
    <w:p w:rsidR="00D0087C" w:rsidRDefault="00D0087C" w:rsidP="00D0087C">
      <w:pPr>
        <w:pStyle w:val="TOC9"/>
        <w:rPr>
          <w:rFonts w:asciiTheme="minorHAnsi" w:eastAsiaTheme="minorEastAsia" w:hAnsiTheme="minorHAnsi" w:cstheme="minorBidi"/>
          <w:noProof/>
          <w:sz w:val="22"/>
          <w:szCs w:val="22"/>
          <w:lang w:eastAsia="en-GB"/>
        </w:rPr>
      </w:pPr>
      <w:r>
        <w:rPr>
          <w:noProof/>
        </w:rPr>
        <w:t>List of restricted substances</w:t>
      </w:r>
      <w:r>
        <w:rPr>
          <w:noProof/>
        </w:rPr>
        <w:tab/>
      </w:r>
      <w:r>
        <w:rPr>
          <w:noProof/>
        </w:rPr>
        <w:fldChar w:fldCharType="begin"/>
      </w:r>
      <w:r>
        <w:rPr>
          <w:noProof/>
        </w:rPr>
        <w:instrText xml:space="preserve"> PAGEREF \h _Toc421186416 \* MERGEFORMAT </w:instrText>
      </w:r>
      <w:r>
        <w:rPr>
          <w:noProof/>
        </w:rPr>
      </w:r>
      <w:r>
        <w:rPr>
          <w:noProof/>
        </w:rPr>
        <w:fldChar w:fldCharType="separate"/>
      </w:r>
      <w:r w:rsidR="007B17E2">
        <w:rPr>
          <w:noProof/>
        </w:rPr>
        <w:t>19</w:t>
      </w:r>
      <w:r>
        <w:rPr>
          <w:noProof/>
        </w:rPr>
        <w:fldChar w:fldCharType="end"/>
      </w:r>
    </w:p>
    <w:p w:rsidR="00D0087C" w:rsidRDefault="00D0087C" w:rsidP="00D0087C">
      <w:pPr>
        <w:pStyle w:val="TOC8"/>
        <w:rPr>
          <w:rFonts w:asciiTheme="minorHAnsi" w:eastAsiaTheme="minorEastAsia" w:hAnsiTheme="minorHAnsi" w:cstheme="minorBidi"/>
          <w:i w:val="0"/>
          <w:noProof/>
          <w:sz w:val="22"/>
          <w:szCs w:val="22"/>
          <w:lang w:eastAsia="en-GB"/>
        </w:rPr>
      </w:pPr>
      <w:r>
        <w:rPr>
          <w:noProof/>
        </w:rPr>
        <w:t>TRANSPARENCY</w:t>
      </w:r>
    </w:p>
    <w:p w:rsidR="00D0087C" w:rsidRDefault="00D0087C" w:rsidP="00D0087C">
      <w:pPr>
        <w:pStyle w:val="TOC9"/>
      </w:pPr>
      <w:r>
        <w:rPr>
          <w:noProof/>
        </w:rPr>
        <w:t>Public access to documents</w:t>
      </w:r>
      <w:r>
        <w:rPr>
          <w:noProof/>
        </w:rPr>
        <w:tab/>
      </w:r>
      <w:r>
        <w:rPr>
          <w:noProof/>
        </w:rPr>
        <w:fldChar w:fldCharType="begin"/>
      </w:r>
      <w:r>
        <w:rPr>
          <w:noProof/>
        </w:rPr>
        <w:instrText xml:space="preserve"> PAGEREF \h _Toc421186418 \* MERGEFORMAT </w:instrText>
      </w:r>
      <w:r>
        <w:rPr>
          <w:noProof/>
        </w:rPr>
      </w:r>
      <w:r>
        <w:rPr>
          <w:noProof/>
        </w:rPr>
        <w:fldChar w:fldCharType="separate"/>
      </w:r>
      <w:r w:rsidR="007B17E2">
        <w:rPr>
          <w:noProof/>
        </w:rPr>
        <w:t>19</w:t>
      </w:r>
      <w:r>
        <w:rPr>
          <w:noProof/>
        </w:rPr>
        <w:fldChar w:fldCharType="end"/>
      </w:r>
    </w:p>
    <w:p w:rsidR="00D0087C" w:rsidRPr="00CA3FA9" w:rsidRDefault="00D0087C" w:rsidP="00356060">
      <w:pPr>
        <w:sectPr w:rsidR="00D0087C" w:rsidRPr="00CA3FA9" w:rsidSect="007B17E2">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356060" w:rsidRPr="00CA3FA9" w:rsidRDefault="00356060" w:rsidP="00356060">
      <w:pPr>
        <w:pStyle w:val="ItemsDebatedHeading"/>
      </w:pPr>
      <w:r w:rsidRPr="00CA3FA9">
        <w:lastRenderedPageBreak/>
        <w:t>ITEMS DEBATED</w:t>
      </w:r>
    </w:p>
    <w:p w:rsidR="00DD190F" w:rsidRPr="00CA3FA9" w:rsidRDefault="00DD190F" w:rsidP="00DD190F">
      <w:pPr>
        <w:pStyle w:val="ItemDebated"/>
      </w:pPr>
      <w:bookmarkStart w:id="5" w:name="_Toc421186381"/>
      <w:r w:rsidRPr="00CA3FA9">
        <w:t>EDUCATION</w:t>
      </w:r>
      <w:bookmarkEnd w:id="5"/>
    </w:p>
    <w:p w:rsidR="00DD190F" w:rsidRPr="00CA3FA9" w:rsidRDefault="00DD190F" w:rsidP="00DD190F">
      <w:pPr>
        <w:pStyle w:val="Sub-itemDebated"/>
      </w:pPr>
      <w:bookmarkStart w:id="6" w:name="_Toc421186382"/>
      <w:r w:rsidRPr="00CA3FA9">
        <w:t>ET 2020 mid-term stocktaking</w:t>
      </w:r>
      <w:bookmarkEnd w:id="6"/>
    </w:p>
    <w:p w:rsidR="00DD190F" w:rsidRPr="00CA3FA9" w:rsidRDefault="00853B4E" w:rsidP="00CA3FA9">
      <w:pPr>
        <w:rPr>
          <w:rFonts w:asciiTheme="majorBidi" w:hAnsiTheme="majorBidi" w:cstheme="majorBidi"/>
        </w:rPr>
      </w:pPr>
      <w:r w:rsidRPr="00CA3FA9">
        <w:rPr>
          <w:rFonts w:asciiTheme="majorBidi" w:hAnsiTheme="majorBidi" w:cstheme="majorBidi"/>
        </w:rPr>
        <w:t>M</w:t>
      </w:r>
      <w:r w:rsidR="00DD190F" w:rsidRPr="00CA3FA9">
        <w:rPr>
          <w:rFonts w:asciiTheme="majorBidi" w:hAnsiTheme="majorBidi" w:cstheme="majorBidi"/>
        </w:rPr>
        <w:t>inisters expressed their views on the achievements of</w:t>
      </w:r>
      <w:r w:rsidR="00DD190F" w:rsidRPr="00CA3FA9">
        <w:rPr>
          <w:rFonts w:asciiTheme="majorBidi" w:hAnsiTheme="majorBidi" w:cstheme="majorBidi"/>
          <w:b/>
          <w:bCs/>
        </w:rPr>
        <w:t xml:space="preserve"> European cooperation in education and training </w:t>
      </w:r>
      <w:r w:rsidR="00DD190F" w:rsidRPr="00CA3FA9">
        <w:rPr>
          <w:rFonts w:asciiTheme="majorBidi" w:hAnsiTheme="majorBidi" w:cstheme="majorBidi"/>
        </w:rPr>
        <w:t xml:space="preserve">to date and how </w:t>
      </w:r>
      <w:r w:rsidR="00CA3FA9">
        <w:rPr>
          <w:rFonts w:asciiTheme="majorBidi" w:hAnsiTheme="majorBidi" w:cstheme="majorBidi"/>
        </w:rPr>
        <w:t xml:space="preserve">it should develop, </w:t>
      </w:r>
      <w:r w:rsidR="00DD190F" w:rsidRPr="00CA3FA9">
        <w:rPr>
          <w:rFonts w:asciiTheme="majorBidi" w:hAnsiTheme="majorBidi" w:cstheme="majorBidi"/>
        </w:rPr>
        <w:t>and in which direction. The debate took place in the context of the mid-term stocktaking and the 2015 Joint Report, which is due for publication this summer.</w:t>
      </w:r>
    </w:p>
    <w:p w:rsidR="00DD190F" w:rsidRPr="00CA3FA9" w:rsidRDefault="00DD190F" w:rsidP="00DD190F">
      <w:pPr>
        <w:rPr>
          <w:rFonts w:asciiTheme="majorBidi" w:hAnsiTheme="majorBidi" w:cstheme="majorBidi"/>
        </w:rPr>
      </w:pPr>
      <w:r w:rsidRPr="00CA3FA9">
        <w:t>ET 2020 is the key European-level framework that helps member states to modernise their</w:t>
      </w:r>
      <w:r w:rsidRPr="00CA3FA9">
        <w:rPr>
          <w:rFonts w:asciiTheme="majorBidi" w:hAnsiTheme="majorBidi" w:cstheme="majorBidi"/>
        </w:rPr>
        <w:t xml:space="preserve"> education and training systems, thus contributing to the overall political priorities set under the Europe 2020 strategy. The ET 2020 strategic framework was adopted in May 2009 (</w:t>
      </w:r>
      <w:hyperlink r:id="rId18" w:history="1">
        <w:r w:rsidRPr="00CA3FA9">
          <w:rPr>
            <w:rStyle w:val="Hyperlink"/>
            <w:rFonts w:asciiTheme="majorBidi" w:hAnsiTheme="majorBidi" w:cstheme="majorBidi"/>
            <w:i/>
            <w:iCs/>
          </w:rPr>
          <w:t>OJ C 119, 28.5.2009</w:t>
        </w:r>
      </w:hyperlink>
      <w:r w:rsidRPr="00CA3FA9">
        <w:rPr>
          <w:rFonts w:asciiTheme="majorBidi" w:hAnsiTheme="majorBidi" w:cstheme="majorBidi"/>
        </w:rPr>
        <w:t>) and established four broad long-term objectives which European cooperation in education and training should seek to achieve by the end of this decade.</w:t>
      </w:r>
    </w:p>
    <w:p w:rsidR="00DD190F" w:rsidRPr="00CA3FA9" w:rsidRDefault="00DD190F" w:rsidP="00F46816">
      <w:pPr>
        <w:rPr>
          <w:rFonts w:asciiTheme="majorBidi" w:hAnsiTheme="majorBidi" w:cstheme="majorBidi"/>
        </w:rPr>
      </w:pPr>
      <w:r w:rsidRPr="00CA3FA9">
        <w:rPr>
          <w:rFonts w:asciiTheme="majorBidi" w:hAnsiTheme="majorBidi" w:cstheme="majorBidi"/>
        </w:rPr>
        <w:t xml:space="preserve">The Commission </w:t>
      </w:r>
      <w:r w:rsidR="00F46816">
        <w:rPr>
          <w:rFonts w:asciiTheme="majorBidi" w:hAnsiTheme="majorBidi" w:cstheme="majorBidi"/>
        </w:rPr>
        <w:t>thinks</w:t>
      </w:r>
      <w:r w:rsidR="00F46816" w:rsidRPr="00CA3FA9">
        <w:rPr>
          <w:rFonts w:asciiTheme="majorBidi" w:hAnsiTheme="majorBidi" w:cstheme="majorBidi"/>
        </w:rPr>
        <w:t xml:space="preserve"> </w:t>
      </w:r>
      <w:r w:rsidRPr="00CA3FA9">
        <w:rPr>
          <w:rFonts w:asciiTheme="majorBidi" w:hAnsiTheme="majorBidi" w:cstheme="majorBidi"/>
        </w:rPr>
        <w:t>that the ET</w:t>
      </w:r>
      <w:r w:rsidR="00F46816">
        <w:rPr>
          <w:rFonts w:asciiTheme="majorBidi" w:hAnsiTheme="majorBidi" w:cstheme="majorBidi"/>
        </w:rPr>
        <w:t> </w:t>
      </w:r>
      <w:r w:rsidRPr="00CA3FA9">
        <w:rPr>
          <w:rFonts w:asciiTheme="majorBidi" w:hAnsiTheme="majorBidi" w:cstheme="majorBidi"/>
        </w:rPr>
        <w:t>2020 framework needs to become more operational and focused. One of its main priorities should be to improve basic skills and competences, as well as digital literacy, in a lifelong learning perspective.</w:t>
      </w:r>
    </w:p>
    <w:p w:rsidR="00DD190F" w:rsidRPr="00CA3FA9" w:rsidRDefault="00DD190F" w:rsidP="00DD190F">
      <w:pPr>
        <w:rPr>
          <w:rFonts w:asciiTheme="majorBidi" w:hAnsiTheme="majorBidi" w:cstheme="majorBidi"/>
        </w:rPr>
      </w:pPr>
      <w:r w:rsidRPr="00CA3FA9">
        <w:rPr>
          <w:rFonts w:asciiTheme="majorBidi" w:hAnsiTheme="majorBidi" w:cstheme="majorBidi"/>
        </w:rPr>
        <w:t>The main outcomes of the ministerial debate were the following:</w:t>
      </w:r>
    </w:p>
    <w:p w:rsidR="00DD190F" w:rsidRPr="00CA3FA9" w:rsidRDefault="00DD190F" w:rsidP="00DD190F">
      <w:pPr>
        <w:pStyle w:val="Tiret0"/>
      </w:pPr>
      <w:r w:rsidRPr="00CA3FA9">
        <w:t>ET 2020 strategic objectives remain relevant but the current priority areas should be streamlined</w:t>
      </w:r>
      <w:r w:rsidR="00F46816">
        <w:t>,</w:t>
      </w:r>
      <w:r w:rsidRPr="00CA3FA9">
        <w:t xml:space="preserve"> focusing on a few headline priorities with clear European added value, while also increasing the efficiency of working methods;</w:t>
      </w:r>
    </w:p>
    <w:p w:rsidR="00DD190F" w:rsidRPr="00CA3FA9" w:rsidRDefault="00DD190F" w:rsidP="00F46816">
      <w:pPr>
        <w:pStyle w:val="Tiret0"/>
        <w:rPr>
          <w:rFonts w:asciiTheme="majorBidi" w:hAnsiTheme="majorBidi" w:cstheme="majorBidi"/>
          <w:bCs/>
        </w:rPr>
      </w:pPr>
      <w:r w:rsidRPr="00CA3FA9">
        <w:rPr>
          <w:rFonts w:asciiTheme="majorBidi" w:hAnsiTheme="majorBidi" w:cstheme="majorBidi"/>
          <w:bCs/>
        </w:rPr>
        <w:t>The ET 2020 work cycle should be extended from three to five years, thus enabling better synchronisation between the objectives of ET 2020 and the broader EU 2020 strategy for jobs and growth and reducing the reporting burden on member states:</w:t>
      </w:r>
    </w:p>
    <w:p w:rsidR="00DD190F" w:rsidRPr="00CA3FA9" w:rsidRDefault="00DD190F" w:rsidP="00F46816">
      <w:pPr>
        <w:pStyle w:val="Tiret0"/>
      </w:pPr>
      <w:r w:rsidRPr="00CA3FA9">
        <w:t>in the follow-up to the back</w:t>
      </w:r>
      <w:r w:rsidR="00F46816">
        <w:t>-</w:t>
      </w:r>
      <w:r w:rsidRPr="00CA3FA9">
        <w:t>to</w:t>
      </w:r>
      <w:r w:rsidR="00F46816">
        <w:t>-</w:t>
      </w:r>
      <w:r w:rsidRPr="00CA3FA9">
        <w:t>back meeting of EPSCO and Education ministers in December 2014, cooperation and closer synergy between the education and training sector and the employment policy sector should be pursued and strengthened, thereby acknowledging the role of quality education in promoting employability and competitiveness;</w:t>
      </w:r>
    </w:p>
    <w:p w:rsidR="00DD190F" w:rsidRPr="00CA3FA9" w:rsidRDefault="00861ADC" w:rsidP="00DD190F">
      <w:pPr>
        <w:pStyle w:val="Tiret0"/>
      </w:pPr>
      <w:r w:rsidRPr="00CA3FA9">
        <w:br w:type="page"/>
      </w:r>
      <w:r w:rsidR="00DD190F" w:rsidRPr="00CA3FA9">
        <w:lastRenderedPageBreak/>
        <w:t>more efficient use should be made of available EU financial instruments, such as Erasmus+ and the Youth Guarantee, as well as the recently proposed Investment Plan for Europe, which emphasises the need to swiftly increase the volume of investments in certain key policy areas, including education and training, by attracting private capital to strategic projects;</w:t>
      </w:r>
    </w:p>
    <w:p w:rsidR="00DD190F" w:rsidRPr="00CA3FA9" w:rsidRDefault="00DD190F" w:rsidP="00DD190F">
      <w:pPr>
        <w:pStyle w:val="Tiret0"/>
        <w:rPr>
          <w:rFonts w:asciiTheme="majorBidi" w:hAnsiTheme="majorBidi" w:cstheme="majorBidi"/>
          <w:bCs/>
        </w:rPr>
      </w:pPr>
      <w:r w:rsidRPr="00CA3FA9">
        <w:rPr>
          <w:rFonts w:asciiTheme="majorBidi" w:hAnsiTheme="majorBidi" w:cstheme="majorBidi"/>
          <w:bCs/>
        </w:rPr>
        <w:t xml:space="preserve">vocational </w:t>
      </w:r>
      <w:r w:rsidRPr="00CA3FA9">
        <w:t>education</w:t>
      </w:r>
      <w:r w:rsidRPr="00CA3FA9">
        <w:rPr>
          <w:rFonts w:asciiTheme="majorBidi" w:hAnsiTheme="majorBidi" w:cstheme="majorBidi"/>
          <w:bCs/>
        </w:rPr>
        <w:t xml:space="preserve"> and training must be developed in parallel with formal education, as is already the case in some member states, and the exchange of best practices should be conducted on a regular basis:</w:t>
      </w:r>
    </w:p>
    <w:p w:rsidR="00DD190F" w:rsidRPr="00CA3FA9" w:rsidRDefault="00DD190F" w:rsidP="00DD190F">
      <w:pPr>
        <w:pStyle w:val="Tiret0"/>
        <w:rPr>
          <w:rFonts w:asciiTheme="majorBidi" w:hAnsiTheme="majorBidi" w:cstheme="majorBidi"/>
          <w:bCs/>
        </w:rPr>
      </w:pPr>
      <w:r w:rsidRPr="00CA3FA9">
        <w:rPr>
          <w:rFonts w:asciiTheme="majorBidi" w:hAnsiTheme="majorBidi" w:cstheme="majorBidi"/>
          <w:bCs/>
        </w:rPr>
        <w:t>though important, education cannot only be limited to finding a job. It should also promote personal development, critical thinking and active citizenship, focusing on European common values. In this context, ministers stressed the importance of ensuring</w:t>
      </w:r>
      <w:r w:rsidR="00F46816">
        <w:rPr>
          <w:rFonts w:asciiTheme="majorBidi" w:hAnsiTheme="majorBidi" w:cstheme="majorBidi"/>
          <w:bCs/>
        </w:rPr>
        <w:t xml:space="preserve"> a</w:t>
      </w:r>
      <w:r w:rsidRPr="00CA3FA9">
        <w:rPr>
          <w:rFonts w:asciiTheme="majorBidi" w:hAnsiTheme="majorBidi" w:cstheme="majorBidi"/>
          <w:bCs/>
        </w:rPr>
        <w:t xml:space="preserve"> concrete follow-up to the declaration they adopted at their informal meeting in Paris in March on education for citizenship and ways of countering radicalisation.</w:t>
      </w:r>
    </w:p>
    <w:p w:rsidR="00DD190F" w:rsidRPr="00CA3FA9" w:rsidRDefault="00DD190F" w:rsidP="00DD190F">
      <w:pPr>
        <w:rPr>
          <w:rFonts w:asciiTheme="majorBidi" w:hAnsiTheme="majorBidi" w:cstheme="majorBidi"/>
        </w:rPr>
      </w:pPr>
      <w:r w:rsidRPr="00CA3FA9">
        <w:rPr>
          <w:rFonts w:asciiTheme="majorBidi" w:hAnsiTheme="majorBidi" w:cstheme="majorBidi"/>
          <w:bCs/>
        </w:rPr>
        <w:t xml:space="preserve">The Commission concluded that main priorities to be developed in the post-2015 ET 2020 should be promoting </w:t>
      </w:r>
      <w:r w:rsidRPr="00CA3FA9">
        <w:rPr>
          <w:rFonts w:asciiTheme="majorBidi" w:hAnsiTheme="majorBidi" w:cstheme="majorBidi"/>
        </w:rPr>
        <w:t>inclusive education and active citizenship, increasing youth employability, and encouraging the exchange of best practices,</w:t>
      </w:r>
    </w:p>
    <w:p w:rsidR="00DD190F" w:rsidRPr="00CA3FA9" w:rsidRDefault="00DD190F" w:rsidP="00DD190F">
      <w:pPr>
        <w:pStyle w:val="Sub-itemDebated"/>
      </w:pPr>
      <w:bookmarkStart w:id="7" w:name="_Toc421186383"/>
      <w:r w:rsidRPr="00CA3FA9">
        <w:t>The role of early childhood education and primary education</w:t>
      </w:r>
      <w:bookmarkEnd w:id="7"/>
    </w:p>
    <w:p w:rsidR="00DD190F" w:rsidRPr="00CA3FA9" w:rsidRDefault="00DD190F" w:rsidP="00DD190F">
      <w:pPr>
        <w:rPr>
          <w:rFonts w:asciiTheme="majorBidi" w:hAnsiTheme="majorBidi" w:cstheme="majorBidi"/>
        </w:rPr>
      </w:pPr>
      <w:r w:rsidRPr="00CA3FA9">
        <w:rPr>
          <w:rFonts w:asciiTheme="majorBidi" w:hAnsiTheme="majorBidi" w:cstheme="majorBidi"/>
        </w:rPr>
        <w:t xml:space="preserve">The Council adopted conclusions on the </w:t>
      </w:r>
      <w:r w:rsidRPr="00CA3FA9">
        <w:rPr>
          <w:rFonts w:asciiTheme="majorBidi" w:hAnsiTheme="majorBidi" w:cstheme="majorBidi"/>
          <w:b/>
          <w:bCs/>
        </w:rPr>
        <w:t>role of early childhood education and primary education in fostering creativity, innovation and digital competence</w:t>
      </w:r>
      <w:r w:rsidRPr="00CA3FA9">
        <w:rPr>
          <w:rFonts w:asciiTheme="majorBidi" w:hAnsiTheme="majorBidi" w:cstheme="majorBidi"/>
        </w:rPr>
        <w:t xml:space="preserve"> </w:t>
      </w:r>
      <w:r w:rsidRPr="00CA3FA9">
        <w:rPr>
          <w:rFonts w:asciiTheme="majorBidi" w:hAnsiTheme="majorBidi" w:cstheme="majorBidi"/>
          <w:i/>
          <w:iCs/>
        </w:rPr>
        <w:t>(</w:t>
      </w:r>
      <w:hyperlink r:id="rId19" w:tooltip="http://data.consilium.europa.eu/doc/document/ST-8397-2015-INIT/en/pdf" w:history="1">
        <w:r w:rsidR="00861ADC" w:rsidRPr="00CA3FA9">
          <w:rPr>
            <w:rStyle w:val="Hyperlink"/>
            <w:rFonts w:asciiTheme="majorBidi" w:hAnsiTheme="majorBidi" w:cstheme="majorBidi"/>
            <w:i/>
            <w:iCs/>
          </w:rPr>
          <w:t>8397/15</w:t>
        </w:r>
      </w:hyperlink>
      <w:r w:rsidRPr="00CA3FA9">
        <w:rPr>
          <w:rFonts w:asciiTheme="majorBidi" w:hAnsiTheme="majorBidi" w:cstheme="majorBidi"/>
          <w:i/>
          <w:iCs/>
        </w:rPr>
        <w:t>)</w:t>
      </w:r>
      <w:r w:rsidRPr="00CA3FA9">
        <w:rPr>
          <w:rFonts w:asciiTheme="majorBidi" w:hAnsiTheme="majorBidi" w:cstheme="majorBidi"/>
        </w:rPr>
        <w:t>.</w:t>
      </w:r>
    </w:p>
    <w:p w:rsidR="00DD190F" w:rsidRPr="00CA3FA9" w:rsidRDefault="00DD190F" w:rsidP="00DD190F">
      <w:pPr>
        <w:rPr>
          <w:rFonts w:asciiTheme="majorBidi" w:hAnsiTheme="majorBidi" w:cstheme="majorBidi"/>
        </w:rPr>
      </w:pPr>
      <w:r w:rsidRPr="00CA3FA9">
        <w:rPr>
          <w:rFonts w:asciiTheme="majorBidi" w:hAnsiTheme="majorBidi" w:cstheme="majorBidi"/>
        </w:rPr>
        <w:t>The conclusions examine ways and means of ensuring that today's young people are equipped with the skills needed to meet the challenges of an increasingly digital economy and society.</w:t>
      </w:r>
    </w:p>
    <w:p w:rsidR="00DD190F" w:rsidRPr="00CA3FA9" w:rsidRDefault="00DD190F" w:rsidP="00DD190F">
      <w:pPr>
        <w:rPr>
          <w:rFonts w:asciiTheme="majorBidi" w:hAnsiTheme="majorBidi" w:cstheme="majorBidi"/>
        </w:rPr>
      </w:pPr>
      <w:r w:rsidRPr="00CA3FA9">
        <w:rPr>
          <w:rFonts w:asciiTheme="majorBidi" w:hAnsiTheme="majorBidi" w:cstheme="majorBidi"/>
        </w:rPr>
        <w:t>They also emphasise the part which creativity, innovation and digital resources can play in the learning process itself, as well as the importance of ensuring that teachers are suitably trained and schools adequately prepared for this task.</w:t>
      </w:r>
    </w:p>
    <w:p w:rsidR="00DD190F" w:rsidRPr="00CA3FA9" w:rsidRDefault="00861ADC" w:rsidP="00DD190F">
      <w:pPr>
        <w:pStyle w:val="Sub-itemDebated"/>
      </w:pPr>
      <w:r w:rsidRPr="00CA3FA9">
        <w:br w:type="page"/>
      </w:r>
      <w:bookmarkStart w:id="8" w:name="_Toc421186384"/>
      <w:r w:rsidR="00DD190F" w:rsidRPr="00CA3FA9">
        <w:lastRenderedPageBreak/>
        <w:t>Other business</w:t>
      </w:r>
      <w:bookmarkEnd w:id="8"/>
    </w:p>
    <w:p w:rsidR="00DD190F" w:rsidRPr="00CA3FA9" w:rsidRDefault="00DD190F" w:rsidP="00DD190F">
      <w:pPr>
        <w:pStyle w:val="Sub-sub-itemDebated"/>
      </w:pPr>
      <w:bookmarkStart w:id="9" w:name="_Toc421186385"/>
      <w:r w:rsidRPr="00CA3FA9">
        <w:t>Paris declaration: Promoting citizenship and the common values of freedom, tolerance and non-discrimination through education</w:t>
      </w:r>
      <w:bookmarkEnd w:id="9"/>
    </w:p>
    <w:p w:rsidR="00DD190F" w:rsidRPr="00CA3FA9" w:rsidRDefault="00DD190F" w:rsidP="00DD190F">
      <w:r w:rsidRPr="00CA3FA9">
        <w:t>The Council took note of information from the Presidency, the French delegation and the Commission on the follow-up to the informal meeting of EU education ministers on 17 March 2015 in Paris (</w:t>
      </w:r>
      <w:r w:rsidRPr="00CA3FA9">
        <w:rPr>
          <w:i/>
          <w:iCs/>
        </w:rPr>
        <w:t>8496/15</w:t>
      </w:r>
      <w:r w:rsidRPr="00CA3FA9">
        <w:t>).</w:t>
      </w:r>
    </w:p>
    <w:p w:rsidR="00DD190F" w:rsidRPr="00CA3FA9" w:rsidRDefault="00DD190F" w:rsidP="00DD190F">
      <w:r w:rsidRPr="00CA3FA9">
        <w:t>The meeting was organised by the French delegation - supported by the Latvian Presidency and the Commission - in the wake of the terrorist attacks in Paris in January this year. It brought together all the member states - 26 at ministerial level - and adopted a declaration calling for the education sector to play its part in preventing radicalisation by promoting citizenship and fostering social inclusion, and common European values such as tolerance and mutual respect.</w:t>
      </w:r>
    </w:p>
    <w:p w:rsidR="00DD190F" w:rsidRPr="00CA3FA9" w:rsidRDefault="00DD190F" w:rsidP="00DD190F">
      <w:r w:rsidRPr="00CA3FA9">
        <w:t xml:space="preserve">The French minister stressed again that employability must be promoted in parallel with citizenship education. She also suggested that the Horizon 2020 programme could support research </w:t>
      </w:r>
      <w:r w:rsidR="00F46816">
        <w:t>into</w:t>
      </w:r>
      <w:r w:rsidRPr="00CA3FA9">
        <w:t xml:space="preserve"> the reasons that lead to radicalisation among young people and called for the regular exchange of best practices on this topic.</w:t>
      </w:r>
    </w:p>
    <w:p w:rsidR="00DD190F" w:rsidRPr="00CA3FA9" w:rsidRDefault="00DD190F" w:rsidP="00F46816">
      <w:r w:rsidRPr="00CA3FA9">
        <w:t xml:space="preserve">The Commission stated that preventing radicalisation was a strong priority, which </w:t>
      </w:r>
      <w:r w:rsidR="00F46816">
        <w:t>is</w:t>
      </w:r>
      <w:r w:rsidR="00F46816" w:rsidRPr="00CA3FA9">
        <w:t xml:space="preserve"> </w:t>
      </w:r>
      <w:r w:rsidRPr="00CA3FA9">
        <w:t>why the recently published European Agenda on Security (</w:t>
      </w:r>
      <w:hyperlink r:id="rId20" w:tooltip="http://data.consilium.europa.eu/doc/document/ST-8293-2015-INIT/en/pdf" w:history="1">
        <w:r w:rsidR="00861ADC" w:rsidRPr="00CA3FA9">
          <w:rPr>
            <w:rStyle w:val="Hyperlink"/>
            <w:i/>
            <w:iCs/>
          </w:rPr>
          <w:t>8293/15</w:t>
        </w:r>
      </w:hyperlink>
      <w:r w:rsidRPr="00CA3FA9">
        <w:t>) gives such a large place to the role of education. Furthermore, EU instruments such as ET 2020 and Erasmus + can also be used in this field.</w:t>
      </w:r>
    </w:p>
    <w:p w:rsidR="00DD190F" w:rsidRPr="00CA3FA9" w:rsidRDefault="00DD190F" w:rsidP="00F46816">
      <w:pPr>
        <w:rPr>
          <w:rFonts w:asciiTheme="majorBidi" w:hAnsiTheme="majorBidi" w:cstheme="majorBidi"/>
        </w:rPr>
      </w:pPr>
      <w:r w:rsidRPr="00CA3FA9">
        <w:rPr>
          <w:rFonts w:asciiTheme="majorBidi" w:hAnsiTheme="majorBidi" w:cstheme="majorBidi"/>
        </w:rPr>
        <w:t xml:space="preserve">The Commission </w:t>
      </w:r>
      <w:r w:rsidRPr="00CA3FA9">
        <w:t>considered</w:t>
      </w:r>
      <w:r w:rsidRPr="00CA3FA9">
        <w:rPr>
          <w:rFonts w:asciiTheme="majorBidi" w:hAnsiTheme="majorBidi" w:cstheme="majorBidi"/>
        </w:rPr>
        <w:t xml:space="preserve"> that any measures taken should reach down to grassroots level and signalled that a number of projects </w:t>
      </w:r>
      <w:r w:rsidR="00F46816">
        <w:rPr>
          <w:rFonts w:asciiTheme="majorBidi" w:hAnsiTheme="majorBidi" w:cstheme="majorBidi"/>
        </w:rPr>
        <w:t>were</w:t>
      </w:r>
      <w:r w:rsidR="00F46816" w:rsidRPr="00CA3FA9">
        <w:rPr>
          <w:rFonts w:asciiTheme="majorBidi" w:hAnsiTheme="majorBidi" w:cstheme="majorBidi"/>
        </w:rPr>
        <w:t xml:space="preserve"> </w:t>
      </w:r>
      <w:r w:rsidRPr="00CA3FA9">
        <w:rPr>
          <w:rFonts w:asciiTheme="majorBidi" w:hAnsiTheme="majorBidi" w:cstheme="majorBidi"/>
        </w:rPr>
        <w:t xml:space="preserve">already being implemented. It announced that the Commission </w:t>
      </w:r>
      <w:r w:rsidR="00F46816">
        <w:rPr>
          <w:rFonts w:asciiTheme="majorBidi" w:hAnsiTheme="majorBidi" w:cstheme="majorBidi"/>
        </w:rPr>
        <w:t>would</w:t>
      </w:r>
      <w:r w:rsidR="00F46816" w:rsidRPr="00CA3FA9">
        <w:rPr>
          <w:rFonts w:asciiTheme="majorBidi" w:hAnsiTheme="majorBidi" w:cstheme="majorBidi"/>
        </w:rPr>
        <w:t xml:space="preserve"> </w:t>
      </w:r>
      <w:r w:rsidRPr="00CA3FA9">
        <w:rPr>
          <w:rFonts w:asciiTheme="majorBidi" w:hAnsiTheme="majorBidi" w:cstheme="majorBidi"/>
        </w:rPr>
        <w:t>present a specific initiative in this area in the context of the 2016 Erasmus + work programme.</w:t>
      </w:r>
    </w:p>
    <w:p w:rsidR="00DD190F" w:rsidRPr="00CA3FA9" w:rsidRDefault="00DD190F" w:rsidP="00DD190F">
      <w:pPr>
        <w:spacing w:after="200"/>
        <w:rPr>
          <w:rFonts w:asciiTheme="majorBidi" w:hAnsiTheme="majorBidi" w:cstheme="majorBidi"/>
        </w:rPr>
      </w:pPr>
      <w:r w:rsidRPr="00CA3FA9">
        <w:rPr>
          <w:rFonts w:asciiTheme="majorBidi" w:hAnsiTheme="majorBidi" w:cstheme="majorBidi"/>
        </w:rPr>
        <w:t>Member states briefly indicated some of the programmes and measures under way at national level to promote inclusion and fight radicalisation. Ministers also underlined that concrete actions at both national and European level should seek to involve sports clubs, NGOs, youth associations, parents and families, as well as develop specific teacher training programmes aimed at preventing radicalisation.</w:t>
      </w:r>
    </w:p>
    <w:p w:rsidR="00DD190F" w:rsidRPr="00CA3FA9" w:rsidRDefault="00861ADC" w:rsidP="00DD190F">
      <w:pPr>
        <w:pStyle w:val="Sub-sub-itemDebated"/>
      </w:pPr>
      <w:r w:rsidRPr="00CA3FA9">
        <w:br w:type="page"/>
      </w:r>
      <w:bookmarkStart w:id="10" w:name="_Toc421186386"/>
      <w:r w:rsidR="00DD190F" w:rsidRPr="00CA3FA9">
        <w:lastRenderedPageBreak/>
        <w:t>Work programme of the incoming presidency</w:t>
      </w:r>
      <w:bookmarkEnd w:id="10"/>
    </w:p>
    <w:p w:rsidR="00DD190F" w:rsidRPr="00CA3FA9" w:rsidRDefault="00DD190F" w:rsidP="00DD190F">
      <w:pPr>
        <w:rPr>
          <w:rFonts w:asciiTheme="majorBidi" w:hAnsiTheme="majorBidi" w:cstheme="majorBidi"/>
        </w:rPr>
      </w:pPr>
      <w:r w:rsidRPr="00CA3FA9">
        <w:rPr>
          <w:rFonts w:asciiTheme="majorBidi" w:hAnsiTheme="majorBidi" w:cstheme="majorBidi"/>
        </w:rPr>
        <w:t>The Council took note of information from the Luxembourg delegation concerning its main priorities in the education field for the coming six months</w:t>
      </w:r>
      <w:r w:rsidR="00F46816">
        <w:rPr>
          <w:rFonts w:asciiTheme="majorBidi" w:hAnsiTheme="majorBidi" w:cstheme="majorBidi"/>
        </w:rPr>
        <w:t>:</w:t>
      </w:r>
    </w:p>
    <w:p w:rsidR="00DD190F" w:rsidRPr="00CA3FA9" w:rsidRDefault="00274B06" w:rsidP="00274B06">
      <w:pPr>
        <w:pStyle w:val="Tiret0"/>
      </w:pPr>
      <w:r>
        <w:t>d</w:t>
      </w:r>
      <w:r w:rsidR="00DD190F" w:rsidRPr="00CA3FA9">
        <w:t>evelop linguistic diversity at both formal and non-formal level</w:t>
      </w:r>
    </w:p>
    <w:p w:rsidR="00DD190F" w:rsidRPr="00CA3FA9" w:rsidRDefault="00274B06" w:rsidP="00274B06">
      <w:pPr>
        <w:pStyle w:val="Tiret0"/>
        <w:rPr>
          <w:rFonts w:asciiTheme="majorBidi" w:hAnsiTheme="majorBidi" w:cstheme="majorBidi"/>
        </w:rPr>
      </w:pPr>
      <w:r>
        <w:rPr>
          <w:rFonts w:asciiTheme="majorBidi" w:hAnsiTheme="majorBidi" w:cstheme="majorBidi"/>
        </w:rPr>
        <w:t>i</w:t>
      </w:r>
      <w:r w:rsidR="00DD190F" w:rsidRPr="00CA3FA9">
        <w:rPr>
          <w:rFonts w:asciiTheme="majorBidi" w:hAnsiTheme="majorBidi" w:cstheme="majorBidi"/>
        </w:rPr>
        <w:t xml:space="preserve">mprove early </w:t>
      </w:r>
      <w:r w:rsidR="00DD190F" w:rsidRPr="00CA3FA9">
        <w:t>childhood</w:t>
      </w:r>
      <w:r w:rsidR="00DD190F" w:rsidRPr="00CA3FA9">
        <w:rPr>
          <w:rFonts w:asciiTheme="majorBidi" w:hAnsiTheme="majorBidi" w:cstheme="majorBidi"/>
        </w:rPr>
        <w:t xml:space="preserve"> facilities</w:t>
      </w:r>
    </w:p>
    <w:p w:rsidR="00DD190F" w:rsidRPr="00CA3FA9" w:rsidRDefault="00274B06" w:rsidP="00DD190F">
      <w:pPr>
        <w:pStyle w:val="Tiret0"/>
        <w:rPr>
          <w:rFonts w:asciiTheme="majorBidi" w:hAnsiTheme="majorBidi" w:cstheme="majorBidi"/>
        </w:rPr>
      </w:pPr>
      <w:r>
        <w:rPr>
          <w:rFonts w:asciiTheme="majorBidi" w:hAnsiTheme="majorBidi" w:cstheme="majorBidi"/>
        </w:rPr>
        <w:t>i</w:t>
      </w:r>
      <w:r w:rsidR="00DD190F" w:rsidRPr="00CA3FA9">
        <w:rPr>
          <w:rFonts w:asciiTheme="majorBidi" w:hAnsiTheme="majorBidi" w:cstheme="majorBidi"/>
        </w:rPr>
        <w:t>ncrease access to tertiary education</w:t>
      </w:r>
    </w:p>
    <w:p w:rsidR="00DD190F" w:rsidRPr="00CA3FA9" w:rsidRDefault="00274B06" w:rsidP="00DD190F">
      <w:pPr>
        <w:pStyle w:val="Tiret0"/>
        <w:rPr>
          <w:rFonts w:asciiTheme="majorBidi" w:hAnsiTheme="majorBidi" w:cstheme="majorBidi"/>
        </w:rPr>
      </w:pPr>
      <w:r>
        <w:rPr>
          <w:rFonts w:asciiTheme="majorBidi" w:hAnsiTheme="majorBidi" w:cstheme="majorBidi"/>
        </w:rPr>
        <w:t>p</w:t>
      </w:r>
      <w:r w:rsidR="00DD190F" w:rsidRPr="00CA3FA9">
        <w:rPr>
          <w:rFonts w:asciiTheme="majorBidi" w:hAnsiTheme="majorBidi" w:cstheme="majorBidi"/>
        </w:rPr>
        <w:t xml:space="preserve">romote </w:t>
      </w:r>
      <w:r w:rsidR="00DD190F" w:rsidRPr="00CA3FA9">
        <w:t>inclusive</w:t>
      </w:r>
      <w:r w:rsidR="00DD190F" w:rsidRPr="00CA3FA9">
        <w:rPr>
          <w:rFonts w:asciiTheme="majorBidi" w:hAnsiTheme="majorBidi" w:cstheme="majorBidi"/>
        </w:rPr>
        <w:t xml:space="preserve"> education</w:t>
      </w:r>
    </w:p>
    <w:p w:rsidR="00DD190F" w:rsidRPr="00CA3FA9" w:rsidRDefault="00DD190F" w:rsidP="00DD190F">
      <w:pPr>
        <w:pStyle w:val="ItemDebated"/>
      </w:pPr>
      <w:bookmarkStart w:id="11" w:name="_Toc421186387"/>
      <w:r w:rsidRPr="00CA3FA9">
        <w:t>YOUTH</w:t>
      </w:r>
      <w:bookmarkEnd w:id="11"/>
    </w:p>
    <w:p w:rsidR="00DD190F" w:rsidRPr="00CA3FA9" w:rsidRDefault="00DD190F" w:rsidP="00DD190F">
      <w:pPr>
        <w:pStyle w:val="Sub-itemDebated"/>
      </w:pPr>
      <w:bookmarkStart w:id="12" w:name="_Toc421186388"/>
      <w:r w:rsidRPr="00CA3FA9">
        <w:t>Structured dialogue</w:t>
      </w:r>
      <w:bookmarkEnd w:id="12"/>
    </w:p>
    <w:p w:rsidR="00742F81" w:rsidRPr="00CA3FA9" w:rsidRDefault="00742F81" w:rsidP="00274B06">
      <w:pPr>
        <w:rPr>
          <w:rFonts w:asciiTheme="majorBidi" w:hAnsiTheme="majorBidi" w:cstheme="majorBidi"/>
        </w:rPr>
      </w:pPr>
      <w:r w:rsidRPr="00CA3FA9">
        <w:rPr>
          <w:rFonts w:asciiTheme="majorBidi" w:hAnsiTheme="majorBidi" w:cstheme="majorBidi"/>
        </w:rPr>
        <w:t>Before starting with the formal items on the agenda, the Presidency briefly outlined the main outcome of the informal meeting between government representatives and the representatives from youth organi</w:t>
      </w:r>
      <w:r w:rsidR="00274B06">
        <w:rPr>
          <w:rFonts w:asciiTheme="majorBidi" w:hAnsiTheme="majorBidi" w:cstheme="majorBidi"/>
        </w:rPr>
        <w:t>s</w:t>
      </w:r>
      <w:r w:rsidRPr="00CA3FA9">
        <w:rPr>
          <w:rFonts w:asciiTheme="majorBidi" w:hAnsiTheme="majorBidi" w:cstheme="majorBidi"/>
        </w:rPr>
        <w:t xml:space="preserve">ations which </w:t>
      </w:r>
      <w:r w:rsidR="00274B06">
        <w:rPr>
          <w:rFonts w:asciiTheme="majorBidi" w:hAnsiTheme="majorBidi" w:cstheme="majorBidi"/>
        </w:rPr>
        <w:t>had taken</w:t>
      </w:r>
      <w:r w:rsidRPr="00CA3FA9">
        <w:rPr>
          <w:rFonts w:asciiTheme="majorBidi" w:hAnsiTheme="majorBidi" w:cstheme="majorBidi"/>
        </w:rPr>
        <w:t xml:space="preserve"> place </w:t>
      </w:r>
      <w:r w:rsidR="00274B06">
        <w:rPr>
          <w:rFonts w:asciiTheme="majorBidi" w:hAnsiTheme="majorBidi" w:cstheme="majorBidi"/>
        </w:rPr>
        <w:t xml:space="preserve">in the morning </w:t>
      </w:r>
      <w:r w:rsidRPr="00CA3FA9">
        <w:rPr>
          <w:rFonts w:asciiTheme="majorBidi" w:hAnsiTheme="majorBidi" w:cstheme="majorBidi"/>
        </w:rPr>
        <w:t>before the Council meeting.</w:t>
      </w:r>
    </w:p>
    <w:p w:rsidR="00742F81" w:rsidRPr="00CA3FA9" w:rsidRDefault="00742F81" w:rsidP="00742F81">
      <w:pPr>
        <w:rPr>
          <w:rFonts w:asciiTheme="majorBidi" w:hAnsiTheme="majorBidi" w:cstheme="majorBidi"/>
        </w:rPr>
      </w:pPr>
      <w:r w:rsidRPr="00CA3FA9">
        <w:rPr>
          <w:rFonts w:asciiTheme="majorBidi" w:hAnsiTheme="majorBidi" w:cstheme="majorBidi"/>
        </w:rPr>
        <w:t>The youth representatives stressed the need to develop a positive youth policy where young people could be seen as assets rather than problems</w:t>
      </w:r>
      <w:r w:rsidR="00010FB0">
        <w:rPr>
          <w:rFonts w:asciiTheme="majorBidi" w:hAnsiTheme="majorBidi" w:cstheme="majorBidi"/>
        </w:rPr>
        <w:t>,</w:t>
      </w:r>
      <w:r w:rsidRPr="00CA3FA9">
        <w:rPr>
          <w:rFonts w:asciiTheme="majorBidi" w:hAnsiTheme="majorBidi" w:cstheme="majorBidi"/>
        </w:rPr>
        <w:t xml:space="preserve"> and highlighted the importance of enhancing participation and social inclusion.</w:t>
      </w:r>
    </w:p>
    <w:p w:rsidR="00853B4E" w:rsidRPr="00CA3FA9" w:rsidRDefault="00742F81" w:rsidP="00742F81">
      <w:pPr>
        <w:rPr>
          <w:rFonts w:asciiTheme="majorBidi" w:hAnsiTheme="majorBidi" w:cstheme="majorBidi"/>
        </w:rPr>
      </w:pPr>
      <w:r w:rsidRPr="00CA3FA9">
        <w:rPr>
          <w:rFonts w:asciiTheme="majorBidi" w:hAnsiTheme="majorBidi" w:cstheme="majorBidi"/>
        </w:rPr>
        <w:t>They acknowledged in particular the value of the “structured dialogue” and of a cross-sectoral approach, called for an effective implementation of the rights of young people, the recognition of the value of youth work, further measures to combat youth unemployment, in particular through increased implementation of the Youth Guarantee.</w:t>
      </w:r>
    </w:p>
    <w:p w:rsidR="00DD190F" w:rsidRPr="00CA3FA9" w:rsidRDefault="00DD190F" w:rsidP="00DD190F">
      <w:pPr>
        <w:pStyle w:val="Sub-itemDebated"/>
      </w:pPr>
      <w:bookmarkStart w:id="13" w:name="_Toc421186389"/>
      <w:r w:rsidRPr="00CA3FA9">
        <w:t>Cross-sectorial policy cooperation</w:t>
      </w:r>
      <w:bookmarkEnd w:id="13"/>
    </w:p>
    <w:p w:rsidR="00DD190F" w:rsidRPr="00CA3FA9" w:rsidRDefault="00DD190F" w:rsidP="00DD190F">
      <w:pPr>
        <w:rPr>
          <w:rFonts w:asciiTheme="majorBidi" w:hAnsiTheme="majorBidi" w:cstheme="majorBidi"/>
        </w:rPr>
      </w:pPr>
      <w:r w:rsidRPr="00CA3FA9">
        <w:rPr>
          <w:rFonts w:asciiTheme="majorBidi" w:hAnsiTheme="majorBidi" w:cstheme="majorBidi"/>
        </w:rPr>
        <w:t xml:space="preserve">The Council adopted conclusions on enhancing </w:t>
      </w:r>
      <w:r w:rsidRPr="00CA3FA9">
        <w:rPr>
          <w:rFonts w:asciiTheme="majorBidi" w:hAnsiTheme="majorBidi" w:cstheme="majorBidi"/>
          <w:b/>
          <w:bCs/>
        </w:rPr>
        <w:t xml:space="preserve">cross-sectorial policy cooperation to effectively address the socio-economic challenges facing young people </w:t>
      </w:r>
      <w:r w:rsidRPr="00CA3FA9">
        <w:rPr>
          <w:rFonts w:asciiTheme="majorBidi" w:hAnsiTheme="majorBidi" w:cstheme="majorBidi"/>
          <w:i/>
          <w:iCs/>
        </w:rPr>
        <w:t>(</w:t>
      </w:r>
      <w:hyperlink r:id="rId21" w:tooltip="http://data.consilium.europa.eu/doc/document/ST-7863-2015-INIT/en/pdf" w:history="1">
        <w:r w:rsidRPr="00CA3FA9">
          <w:rPr>
            <w:rStyle w:val="Hyperlink"/>
            <w:rFonts w:asciiTheme="majorBidi" w:hAnsiTheme="majorBidi" w:cstheme="majorBidi"/>
            <w:i/>
            <w:iCs/>
          </w:rPr>
          <w:t>7863/15</w:t>
        </w:r>
      </w:hyperlink>
      <w:r w:rsidRPr="00CA3FA9">
        <w:rPr>
          <w:rFonts w:asciiTheme="majorBidi" w:hAnsiTheme="majorBidi" w:cstheme="majorBidi"/>
          <w:i/>
          <w:iCs/>
        </w:rPr>
        <w:t>)</w:t>
      </w:r>
      <w:r w:rsidRPr="00CA3FA9">
        <w:rPr>
          <w:rFonts w:asciiTheme="majorBidi" w:hAnsiTheme="majorBidi" w:cstheme="majorBidi"/>
        </w:rPr>
        <w:t xml:space="preserve">. Cross-sectorial policy cooperation is also one of the three main priorities set out in the recently adopted EU Work Plan for Youth 2014-2015 </w:t>
      </w:r>
      <w:r w:rsidRPr="00CA3FA9">
        <w:rPr>
          <w:rFonts w:asciiTheme="majorBidi" w:hAnsiTheme="majorBidi" w:cstheme="majorBidi"/>
          <w:i/>
          <w:iCs/>
        </w:rPr>
        <w:t>(</w:t>
      </w:r>
      <w:hyperlink r:id="rId22" w:history="1">
        <w:r w:rsidRPr="00CA3FA9">
          <w:rPr>
            <w:rStyle w:val="Hyperlink"/>
            <w:rFonts w:asciiTheme="majorBidi" w:hAnsiTheme="majorBidi" w:cstheme="majorBidi"/>
            <w:i/>
            <w:iCs/>
          </w:rPr>
          <w:t>OJ C 183/02,14.6.2014</w:t>
        </w:r>
      </w:hyperlink>
      <w:r w:rsidRPr="00CA3FA9">
        <w:rPr>
          <w:rFonts w:asciiTheme="majorBidi" w:hAnsiTheme="majorBidi" w:cstheme="majorBidi"/>
          <w:i/>
          <w:iCs/>
        </w:rPr>
        <w:t>).</w:t>
      </w:r>
    </w:p>
    <w:p w:rsidR="00DD190F" w:rsidRPr="00CA3FA9" w:rsidRDefault="00853B4E" w:rsidP="00DD190F">
      <w:pPr>
        <w:rPr>
          <w:rFonts w:asciiTheme="majorBidi" w:hAnsiTheme="majorBidi" w:cstheme="majorBidi"/>
        </w:rPr>
      </w:pPr>
      <w:r w:rsidRPr="00CA3FA9">
        <w:rPr>
          <w:rFonts w:asciiTheme="majorBidi" w:hAnsiTheme="majorBidi" w:cstheme="majorBidi"/>
        </w:rPr>
        <w:br w:type="page"/>
      </w:r>
      <w:r w:rsidR="00DD190F" w:rsidRPr="00CA3FA9">
        <w:rPr>
          <w:rFonts w:asciiTheme="majorBidi" w:hAnsiTheme="majorBidi" w:cstheme="majorBidi"/>
        </w:rPr>
        <w:lastRenderedPageBreak/>
        <w:t>Although significant steps have been taken to improve the situation of young people in Europe, youth unemployment rates remain high with increasing numbers of long term unemployed and demotivated young workers who have a higher risk of social exclusion. There is still a skills gap between education and the world of work and the transition from school to work is often difficult.</w:t>
      </w:r>
    </w:p>
    <w:p w:rsidR="00DD190F" w:rsidRPr="00CA3FA9" w:rsidRDefault="00DD190F" w:rsidP="00DD190F">
      <w:pPr>
        <w:rPr>
          <w:rFonts w:asciiTheme="majorBidi" w:hAnsiTheme="majorBidi" w:cstheme="majorBidi"/>
        </w:rPr>
      </w:pPr>
      <w:r w:rsidRPr="00CA3FA9">
        <w:rPr>
          <w:rFonts w:asciiTheme="majorBidi" w:hAnsiTheme="majorBidi" w:cstheme="majorBidi"/>
        </w:rPr>
        <w:t>The conclusions consider strategies to strengthen the cross-sectorial approach to youth issues so that policy-makers can react more effectively and promptly to problems, making the best use of all available EU funding and programmes in this field, such as the Youth Guarantee and Erasmus+.</w:t>
      </w:r>
    </w:p>
    <w:p w:rsidR="00DD190F" w:rsidRPr="00CA3FA9" w:rsidRDefault="00DD190F" w:rsidP="00DD190F">
      <w:pPr>
        <w:rPr>
          <w:rFonts w:asciiTheme="majorBidi" w:hAnsiTheme="majorBidi" w:cstheme="majorBidi"/>
        </w:rPr>
      </w:pPr>
      <w:r w:rsidRPr="00CA3FA9">
        <w:rPr>
          <w:rFonts w:asciiTheme="majorBidi" w:hAnsiTheme="majorBidi" w:cstheme="majorBidi"/>
        </w:rPr>
        <w:t>They also underline that certain core elements of the youth sector (youth work, non-formal learning) could be integrated into other sectors (education, employment, social policy and health) and could play a crucial role in addressing the main socio-economic problems of young people in the EU.</w:t>
      </w:r>
    </w:p>
    <w:p w:rsidR="00DD190F" w:rsidRPr="00CA3FA9" w:rsidRDefault="00DD190F" w:rsidP="00742F81">
      <w:pPr>
        <w:rPr>
          <w:rFonts w:asciiTheme="majorBidi" w:hAnsiTheme="majorBidi" w:cstheme="majorBidi"/>
        </w:rPr>
      </w:pPr>
      <w:r w:rsidRPr="00CA3FA9">
        <w:rPr>
          <w:rFonts w:asciiTheme="majorBidi" w:hAnsiTheme="majorBidi" w:cstheme="majorBidi"/>
        </w:rPr>
        <w:t>The Commission said that the forthcoming Youth Report (scheduled for early Autumn) will be an important tool to assess youth policy to date and will also show that the cross-sectoral approach is already bringing results. The report will also include a list of member states</w:t>
      </w:r>
      <w:r w:rsidR="00010FB0">
        <w:rPr>
          <w:rFonts w:asciiTheme="majorBidi" w:hAnsiTheme="majorBidi" w:cstheme="majorBidi"/>
        </w:rPr>
        <w:t>'</w:t>
      </w:r>
      <w:r w:rsidRPr="00CA3FA9">
        <w:rPr>
          <w:rFonts w:asciiTheme="majorBidi" w:hAnsiTheme="majorBidi" w:cstheme="majorBidi"/>
        </w:rPr>
        <w:t xml:space="preserve"> </w:t>
      </w:r>
      <w:r w:rsidR="00853B4E" w:rsidRPr="00CA3FA9">
        <w:rPr>
          <w:rFonts w:asciiTheme="majorBidi" w:hAnsiTheme="majorBidi" w:cstheme="majorBidi"/>
        </w:rPr>
        <w:t>best practices in this</w:t>
      </w:r>
      <w:r w:rsidR="00742F81" w:rsidRPr="00CA3FA9">
        <w:rPr>
          <w:rFonts w:asciiTheme="majorBidi" w:hAnsiTheme="majorBidi" w:cstheme="majorBidi"/>
        </w:rPr>
        <w:t xml:space="preserve"> regard</w:t>
      </w:r>
      <w:r w:rsidRPr="00CA3FA9">
        <w:rPr>
          <w:rFonts w:asciiTheme="majorBidi" w:hAnsiTheme="majorBidi" w:cstheme="majorBidi"/>
        </w:rPr>
        <w:t>.</w:t>
      </w:r>
    </w:p>
    <w:p w:rsidR="00DD190F" w:rsidRPr="00CA3FA9" w:rsidRDefault="00DD190F" w:rsidP="00DD190F">
      <w:pPr>
        <w:pStyle w:val="Sub-itemDebated"/>
      </w:pPr>
      <w:bookmarkStart w:id="14" w:name="_Toc421186390"/>
      <w:r w:rsidRPr="00CA3FA9">
        <w:t>Youth work</w:t>
      </w:r>
      <w:bookmarkEnd w:id="14"/>
    </w:p>
    <w:p w:rsidR="00DD190F" w:rsidRPr="00CA3FA9" w:rsidRDefault="00DD190F" w:rsidP="00DD190F">
      <w:pPr>
        <w:rPr>
          <w:rFonts w:asciiTheme="majorBidi" w:hAnsiTheme="majorBidi" w:cstheme="majorBidi"/>
        </w:rPr>
      </w:pPr>
      <w:r w:rsidRPr="00CA3FA9">
        <w:rPr>
          <w:rFonts w:asciiTheme="majorBidi" w:hAnsiTheme="majorBidi" w:cstheme="majorBidi"/>
        </w:rPr>
        <w:t xml:space="preserve">The Council adopted conclusions on </w:t>
      </w:r>
      <w:r w:rsidRPr="00CA3FA9">
        <w:rPr>
          <w:rFonts w:asciiTheme="majorBidi" w:hAnsiTheme="majorBidi" w:cstheme="majorBidi"/>
          <w:b/>
          <w:bCs/>
        </w:rPr>
        <w:t xml:space="preserve">reinforcing youth work to ensure cohesive societies </w:t>
      </w:r>
      <w:r w:rsidRPr="00CA3FA9">
        <w:rPr>
          <w:rFonts w:asciiTheme="majorBidi" w:hAnsiTheme="majorBidi" w:cstheme="majorBidi"/>
          <w:i/>
          <w:iCs/>
        </w:rPr>
        <w:t>(</w:t>
      </w:r>
      <w:hyperlink r:id="rId23" w:tooltip="http://data.consilium.europa.eu/doc/document/ST-8407-2015-INIT/en/pdf" w:history="1">
        <w:r w:rsidRPr="00CA3FA9">
          <w:rPr>
            <w:rStyle w:val="Hyperlink"/>
            <w:rFonts w:asciiTheme="majorBidi" w:hAnsiTheme="majorBidi" w:cstheme="majorBidi"/>
            <w:i/>
            <w:iCs/>
          </w:rPr>
          <w:t>8407/15</w:t>
        </w:r>
      </w:hyperlink>
      <w:r w:rsidRPr="00CA3FA9">
        <w:rPr>
          <w:rFonts w:asciiTheme="majorBidi" w:hAnsiTheme="majorBidi" w:cstheme="majorBidi"/>
          <w:i/>
          <w:iCs/>
        </w:rPr>
        <w:t>),</w:t>
      </w:r>
      <w:r w:rsidRPr="00CA3FA9">
        <w:rPr>
          <w:rFonts w:asciiTheme="majorBidi" w:hAnsiTheme="majorBidi" w:cstheme="majorBidi"/>
        </w:rPr>
        <w:t xml:space="preserve"> which highlight the contribution of youth work to personal development, social inclusion, cultural diversity and active citizenship.</w:t>
      </w:r>
    </w:p>
    <w:p w:rsidR="00DD190F" w:rsidRPr="00CA3FA9" w:rsidRDefault="00DD190F" w:rsidP="00853B4E">
      <w:pPr>
        <w:rPr>
          <w:rFonts w:asciiTheme="majorBidi" w:hAnsiTheme="majorBidi" w:cstheme="majorBidi"/>
        </w:rPr>
      </w:pPr>
      <w:r w:rsidRPr="00CA3FA9">
        <w:rPr>
          <w:rFonts w:asciiTheme="majorBidi" w:hAnsiTheme="majorBidi" w:cstheme="majorBidi"/>
        </w:rPr>
        <w:t>The conclusions also underline that these values are at the core of European democracies and should also be promoted and supported outside the formal education structures.</w:t>
      </w:r>
    </w:p>
    <w:p w:rsidR="00DD190F" w:rsidRPr="00CA3FA9" w:rsidRDefault="00DD190F" w:rsidP="00DD190F">
      <w:pPr>
        <w:rPr>
          <w:rFonts w:asciiTheme="majorBidi" w:hAnsiTheme="majorBidi" w:cstheme="majorBidi"/>
        </w:rPr>
      </w:pPr>
      <w:r w:rsidRPr="00CA3FA9">
        <w:rPr>
          <w:rFonts w:asciiTheme="majorBidi" w:hAnsiTheme="majorBidi" w:cstheme="majorBidi"/>
        </w:rPr>
        <w:t>There are estimated to be around 3 million youth workers (both voluntary and paid) in the EU, often neither recognised nor regulated by any kind of framework.</w:t>
      </w:r>
    </w:p>
    <w:p w:rsidR="00DD190F" w:rsidRPr="00CA3FA9" w:rsidRDefault="00DD190F" w:rsidP="00DD190F">
      <w:pPr>
        <w:rPr>
          <w:rFonts w:asciiTheme="majorBidi" w:hAnsiTheme="majorBidi" w:cstheme="majorBidi"/>
        </w:rPr>
      </w:pPr>
      <w:r w:rsidRPr="00CA3FA9">
        <w:rPr>
          <w:rFonts w:asciiTheme="majorBidi" w:hAnsiTheme="majorBidi" w:cstheme="majorBidi"/>
        </w:rPr>
        <w:t>A number of member states were in favour of the Commission presenting a proposal for a Council recommendation, which would strengthen the recognition of youth work, addressing the persistently high level of youth unemployment and its negative consequences in terms of social exclusion, marginalisation, extremism and</w:t>
      </w:r>
      <w:r w:rsidR="00010FB0">
        <w:rPr>
          <w:rFonts w:asciiTheme="majorBidi" w:hAnsiTheme="majorBidi" w:cstheme="majorBidi"/>
        </w:rPr>
        <w:t>,</w:t>
      </w:r>
      <w:r w:rsidRPr="00CA3FA9">
        <w:rPr>
          <w:rFonts w:asciiTheme="majorBidi" w:hAnsiTheme="majorBidi" w:cstheme="majorBidi"/>
        </w:rPr>
        <w:t xml:space="preserve"> potentially</w:t>
      </w:r>
      <w:r w:rsidR="00010FB0">
        <w:rPr>
          <w:rFonts w:asciiTheme="majorBidi" w:hAnsiTheme="majorBidi" w:cstheme="majorBidi"/>
        </w:rPr>
        <w:t>,</w:t>
      </w:r>
      <w:r w:rsidRPr="00CA3FA9">
        <w:rPr>
          <w:rFonts w:asciiTheme="majorBidi" w:hAnsiTheme="majorBidi" w:cstheme="majorBidi"/>
        </w:rPr>
        <w:t xml:space="preserve"> radicalisation.</w:t>
      </w:r>
    </w:p>
    <w:p w:rsidR="00DD190F" w:rsidRPr="00CA3FA9" w:rsidRDefault="00DD190F" w:rsidP="00DD190F">
      <w:pPr>
        <w:rPr>
          <w:rFonts w:asciiTheme="majorBidi" w:hAnsiTheme="majorBidi" w:cstheme="majorBidi"/>
        </w:rPr>
      </w:pPr>
      <w:r w:rsidRPr="00CA3FA9">
        <w:rPr>
          <w:rFonts w:asciiTheme="majorBidi" w:hAnsiTheme="majorBidi" w:cstheme="majorBidi"/>
        </w:rPr>
        <w:t>Many ministers underlined that youth work plays an important role in reaching out to all young people of different backgrounds, including marginalised young people and those not in employment, education or training (NEETs).</w:t>
      </w:r>
    </w:p>
    <w:p w:rsidR="00DD190F" w:rsidRPr="00CA3FA9" w:rsidRDefault="00D0087C" w:rsidP="00DD190F">
      <w:pPr>
        <w:rPr>
          <w:rFonts w:asciiTheme="majorBidi" w:hAnsiTheme="majorBidi" w:cstheme="majorBidi"/>
        </w:rPr>
      </w:pPr>
      <w:r>
        <w:rPr>
          <w:rFonts w:asciiTheme="majorBidi" w:hAnsiTheme="majorBidi" w:cstheme="majorBidi"/>
        </w:rPr>
        <w:br w:type="page"/>
      </w:r>
      <w:r w:rsidR="00DD190F" w:rsidRPr="00CA3FA9">
        <w:rPr>
          <w:rFonts w:asciiTheme="majorBidi" w:hAnsiTheme="majorBidi" w:cstheme="majorBidi"/>
        </w:rPr>
        <w:lastRenderedPageBreak/>
        <w:t>The Commission is examining this issue at several levels and is preparing a study on quality youth work.</w:t>
      </w:r>
      <w:r w:rsidR="00742F81" w:rsidRPr="00CA3FA9">
        <w:rPr>
          <w:rFonts w:asciiTheme="majorBidi" w:hAnsiTheme="majorBidi" w:cstheme="majorBidi"/>
        </w:rPr>
        <w:t xml:space="preserve"> This study could form the basis for a possible Council recommendation</w:t>
      </w:r>
    </w:p>
    <w:p w:rsidR="00DD190F" w:rsidRPr="00CA3FA9" w:rsidRDefault="00DD190F" w:rsidP="00DD190F">
      <w:pPr>
        <w:pStyle w:val="Sub-itemDebated"/>
      </w:pPr>
      <w:bookmarkStart w:id="15" w:name="_Toc421186391"/>
      <w:r w:rsidRPr="00CA3FA9">
        <w:t>Political participation of young people</w:t>
      </w:r>
      <w:bookmarkEnd w:id="15"/>
    </w:p>
    <w:p w:rsidR="00DD190F" w:rsidRPr="00CA3FA9" w:rsidRDefault="00DD190F" w:rsidP="00010FB0">
      <w:pPr>
        <w:rPr>
          <w:rFonts w:asciiTheme="majorBidi" w:hAnsiTheme="majorBidi" w:cstheme="majorBidi"/>
        </w:rPr>
      </w:pPr>
      <w:r w:rsidRPr="00CA3FA9">
        <w:rPr>
          <w:rFonts w:asciiTheme="majorBidi" w:hAnsiTheme="majorBidi" w:cstheme="majorBidi"/>
        </w:rPr>
        <w:t xml:space="preserve">Ministers discussed how to improve </w:t>
      </w:r>
      <w:r w:rsidRPr="00CA3FA9">
        <w:rPr>
          <w:rFonts w:asciiTheme="majorBidi" w:hAnsiTheme="majorBidi" w:cstheme="majorBidi"/>
          <w:b/>
          <w:bCs/>
        </w:rPr>
        <w:t>young people’s political participation in the democratic life of Europe</w:t>
      </w:r>
      <w:r w:rsidRPr="00CA3FA9">
        <w:rPr>
          <w:rFonts w:asciiTheme="majorBidi" w:hAnsiTheme="majorBidi" w:cstheme="majorBidi"/>
        </w:rPr>
        <w:t>. This is one of the overall thematic priorities of the trio presidencies in the framework of the "structured dialogue" and was also the subject of the last EU Youth Conference that took place in Riga on 23</w:t>
      </w:r>
      <w:r w:rsidR="00010FB0">
        <w:rPr>
          <w:rFonts w:asciiTheme="majorBidi" w:hAnsiTheme="majorBidi" w:cstheme="majorBidi"/>
        </w:rPr>
        <w:t xml:space="preserve"> to </w:t>
      </w:r>
      <w:r w:rsidRPr="00CA3FA9">
        <w:rPr>
          <w:rFonts w:asciiTheme="majorBidi" w:hAnsiTheme="majorBidi" w:cstheme="majorBidi"/>
        </w:rPr>
        <w:t>26 March,'</w:t>
      </w:r>
      <w:r w:rsidRPr="00CA3FA9">
        <w:rPr>
          <w:rStyle w:val="FootnoteReference"/>
          <w:rFonts w:asciiTheme="majorBidi" w:hAnsiTheme="majorBidi" w:cstheme="majorBidi"/>
        </w:rPr>
        <w:footnoteReference w:id="1"/>
      </w:r>
      <w:r w:rsidRPr="00CA3FA9">
        <w:rPr>
          <w:rFonts w:asciiTheme="majorBidi" w:hAnsiTheme="majorBidi" w:cstheme="majorBidi"/>
        </w:rPr>
        <w:t>.</w:t>
      </w:r>
    </w:p>
    <w:p w:rsidR="00DD190F" w:rsidRPr="00CA3FA9" w:rsidRDefault="00742F81" w:rsidP="00010FB0">
      <w:pPr>
        <w:rPr>
          <w:rFonts w:asciiTheme="majorBidi" w:hAnsiTheme="majorBidi" w:cstheme="majorBidi"/>
        </w:rPr>
      </w:pPr>
      <w:r w:rsidRPr="00CA3FA9">
        <w:rPr>
          <w:rFonts w:asciiTheme="majorBidi" w:hAnsiTheme="majorBidi" w:cstheme="majorBidi"/>
        </w:rPr>
        <w:t xml:space="preserve">Member </w:t>
      </w:r>
      <w:r w:rsidR="00010FB0">
        <w:rPr>
          <w:rFonts w:asciiTheme="majorBidi" w:hAnsiTheme="majorBidi" w:cstheme="majorBidi"/>
        </w:rPr>
        <w:t>s</w:t>
      </w:r>
      <w:r w:rsidRPr="00CA3FA9">
        <w:rPr>
          <w:rFonts w:asciiTheme="majorBidi" w:hAnsiTheme="majorBidi" w:cstheme="majorBidi"/>
        </w:rPr>
        <w:t>tates stressed that young people are interested in political participation, but are participating in new and less conventional ways, such as through social media and internet campaigns. Consequently, member states are already implementing a large number of measures to enhance political participation of young people, focusing in particular on election turn-outs</w:t>
      </w:r>
      <w:r w:rsidR="00DD190F" w:rsidRPr="00CA3FA9">
        <w:rPr>
          <w:rFonts w:asciiTheme="majorBidi" w:hAnsiTheme="majorBidi" w:cstheme="majorBidi"/>
        </w:rPr>
        <w:t>.</w:t>
      </w:r>
    </w:p>
    <w:p w:rsidR="00DD190F" w:rsidRPr="00CA3FA9" w:rsidRDefault="00DD190F" w:rsidP="00FD495E">
      <w:pPr>
        <w:rPr>
          <w:rFonts w:asciiTheme="majorBidi" w:hAnsiTheme="majorBidi" w:cstheme="majorBidi"/>
        </w:rPr>
      </w:pPr>
      <w:r w:rsidRPr="00CA3FA9">
        <w:rPr>
          <w:rFonts w:asciiTheme="majorBidi" w:hAnsiTheme="majorBidi" w:cstheme="majorBidi"/>
        </w:rPr>
        <w:t>In general ministers agreed that the focus should be on the following measures:</w:t>
      </w:r>
    </w:p>
    <w:p w:rsidR="00DD190F" w:rsidRPr="00CA3FA9" w:rsidRDefault="00DD190F" w:rsidP="00010FB0">
      <w:pPr>
        <w:pStyle w:val="Tiret0"/>
      </w:pPr>
      <w:r w:rsidRPr="00CA3FA9">
        <w:t>strengthen civi</w:t>
      </w:r>
      <w:r w:rsidR="00010FB0">
        <w:t>c</w:t>
      </w:r>
      <w:r w:rsidRPr="00CA3FA9">
        <w:t xml:space="preserve"> and political education and increas</w:t>
      </w:r>
      <w:r w:rsidR="00010FB0">
        <w:t>ing</w:t>
      </w:r>
      <w:r w:rsidRPr="00CA3FA9">
        <w:t xml:space="preserve"> support from families and school</w:t>
      </w:r>
      <w:r w:rsidR="00010FB0">
        <w:t>s</w:t>
      </w:r>
      <w:r w:rsidRPr="00CA3FA9">
        <w:t xml:space="preserve"> in order to combat extremism and radicalisation</w:t>
      </w:r>
    </w:p>
    <w:p w:rsidR="00DD190F" w:rsidRPr="00CA3FA9" w:rsidRDefault="00DD190F" w:rsidP="00010FB0">
      <w:pPr>
        <w:pStyle w:val="Tiret0"/>
        <w:rPr>
          <w:rFonts w:asciiTheme="majorBidi" w:hAnsiTheme="majorBidi" w:cstheme="majorBidi"/>
        </w:rPr>
      </w:pPr>
      <w:r w:rsidRPr="00CA3FA9">
        <w:rPr>
          <w:rFonts w:asciiTheme="majorBidi" w:hAnsiTheme="majorBidi" w:cstheme="majorBidi"/>
        </w:rPr>
        <w:t xml:space="preserve">make the best use of social media, the </w:t>
      </w:r>
      <w:hyperlink r:id="rId24" w:history="1">
        <w:r w:rsidRPr="00CA3FA9">
          <w:rPr>
            <w:rStyle w:val="Hyperlink"/>
            <w:rFonts w:asciiTheme="majorBidi" w:hAnsiTheme="majorBidi" w:cstheme="majorBidi"/>
          </w:rPr>
          <w:t>European Youth Portal</w:t>
        </w:r>
      </w:hyperlink>
      <w:r w:rsidRPr="00CA3FA9">
        <w:rPr>
          <w:rFonts w:asciiTheme="majorBidi" w:hAnsiTheme="majorBidi" w:cstheme="majorBidi"/>
        </w:rPr>
        <w:t xml:space="preserve"> and user-friendly tools for political participation</w:t>
      </w:r>
    </w:p>
    <w:p w:rsidR="00DD190F" w:rsidRPr="00CA3FA9" w:rsidRDefault="00DD190F" w:rsidP="007E50A2">
      <w:pPr>
        <w:pStyle w:val="Tiret0"/>
        <w:rPr>
          <w:rFonts w:asciiTheme="majorBidi" w:hAnsiTheme="majorBidi" w:cstheme="majorBidi"/>
        </w:rPr>
      </w:pPr>
      <w:r w:rsidRPr="00CA3FA9">
        <w:t>develop</w:t>
      </w:r>
      <w:r w:rsidRPr="00CA3FA9">
        <w:rPr>
          <w:rFonts w:asciiTheme="majorBidi" w:hAnsiTheme="majorBidi" w:cstheme="majorBidi"/>
        </w:rPr>
        <w:t xml:space="preserve"> tailored projects mainly at local level aiming to </w:t>
      </w:r>
      <w:r w:rsidR="00FD495E">
        <w:rPr>
          <w:rFonts w:asciiTheme="majorBidi" w:hAnsiTheme="majorBidi" w:cstheme="majorBidi"/>
        </w:rPr>
        <w:t>intensify</w:t>
      </w:r>
      <w:r w:rsidR="00FD495E" w:rsidRPr="00CA3FA9">
        <w:rPr>
          <w:rFonts w:asciiTheme="majorBidi" w:hAnsiTheme="majorBidi" w:cstheme="majorBidi"/>
        </w:rPr>
        <w:t xml:space="preserve"> </w:t>
      </w:r>
      <w:r w:rsidRPr="00CA3FA9">
        <w:rPr>
          <w:rFonts w:asciiTheme="majorBidi" w:hAnsiTheme="majorBidi" w:cstheme="majorBidi"/>
        </w:rPr>
        <w:t>the dialogue with and between young people</w:t>
      </w:r>
    </w:p>
    <w:p w:rsidR="00DD190F" w:rsidRPr="00CA3FA9" w:rsidRDefault="00DD190F" w:rsidP="00010FB0">
      <w:pPr>
        <w:pStyle w:val="Tiret0"/>
        <w:rPr>
          <w:rFonts w:asciiTheme="majorBidi" w:hAnsiTheme="majorBidi" w:cstheme="majorBidi"/>
        </w:rPr>
      </w:pPr>
      <w:r w:rsidRPr="00CA3FA9">
        <w:t>continue</w:t>
      </w:r>
      <w:r w:rsidRPr="00CA3FA9">
        <w:rPr>
          <w:rFonts w:asciiTheme="majorBidi" w:hAnsiTheme="majorBidi" w:cstheme="majorBidi"/>
        </w:rPr>
        <w:t xml:space="preserve"> to exchange best practices</w:t>
      </w:r>
    </w:p>
    <w:p w:rsidR="00DD190F" w:rsidRPr="00CA3FA9" w:rsidRDefault="00DD190F" w:rsidP="00742F81">
      <w:pPr>
        <w:rPr>
          <w:rFonts w:asciiTheme="majorBidi" w:hAnsiTheme="majorBidi" w:cstheme="majorBidi"/>
        </w:rPr>
      </w:pPr>
      <w:r w:rsidRPr="00CA3FA9">
        <w:rPr>
          <w:rFonts w:asciiTheme="majorBidi" w:hAnsiTheme="majorBidi" w:cstheme="majorBidi"/>
        </w:rPr>
        <w:t xml:space="preserve">The Commission announced that it was preparing a set of measures in this field to be presented </w:t>
      </w:r>
      <w:r w:rsidR="00742F81" w:rsidRPr="00CA3FA9">
        <w:rPr>
          <w:rFonts w:asciiTheme="majorBidi" w:hAnsiTheme="majorBidi" w:cstheme="majorBidi"/>
        </w:rPr>
        <w:t xml:space="preserve">at the end of the </w:t>
      </w:r>
      <w:r w:rsidRPr="00CA3FA9">
        <w:rPr>
          <w:rFonts w:asciiTheme="majorBidi" w:hAnsiTheme="majorBidi" w:cstheme="majorBidi"/>
        </w:rPr>
        <w:t>year.</w:t>
      </w:r>
    </w:p>
    <w:p w:rsidR="00DD190F" w:rsidRPr="00CA3FA9" w:rsidRDefault="00861ADC" w:rsidP="00DD190F">
      <w:pPr>
        <w:pStyle w:val="Sub-itemDebated"/>
      </w:pPr>
      <w:r w:rsidRPr="00CA3FA9">
        <w:br w:type="page"/>
      </w:r>
      <w:bookmarkStart w:id="16" w:name="_Toc421186392"/>
      <w:r w:rsidR="00DD190F" w:rsidRPr="00CA3FA9">
        <w:lastRenderedPageBreak/>
        <w:t>Other business</w:t>
      </w:r>
      <w:bookmarkEnd w:id="16"/>
    </w:p>
    <w:p w:rsidR="00DD190F" w:rsidRPr="00CA3FA9" w:rsidRDefault="00DD190F" w:rsidP="00861ADC">
      <w:pPr>
        <w:pStyle w:val="Sub-sub-itemDebated"/>
      </w:pPr>
      <w:bookmarkStart w:id="17" w:name="_Toc421186393"/>
      <w:r w:rsidRPr="00CA3FA9">
        <w:t>European declaration on youth work in the context of the Second European Youth Work Convention</w:t>
      </w:r>
      <w:bookmarkEnd w:id="17"/>
    </w:p>
    <w:p w:rsidR="00DD190F" w:rsidRPr="00CA3FA9" w:rsidRDefault="00DD190F" w:rsidP="00FD495E">
      <w:pPr>
        <w:rPr>
          <w:rFonts w:asciiTheme="majorBidi" w:hAnsiTheme="majorBidi" w:cstheme="majorBidi"/>
        </w:rPr>
      </w:pPr>
      <w:r w:rsidRPr="00CA3FA9">
        <w:rPr>
          <w:rFonts w:asciiTheme="majorBidi" w:hAnsiTheme="majorBidi" w:cstheme="majorBidi"/>
        </w:rPr>
        <w:t xml:space="preserve">The Council was briefed by the Belgian delegation on the </w:t>
      </w:r>
      <w:hyperlink r:id="rId25" w:history="1">
        <w:r w:rsidRPr="00CA3FA9">
          <w:rPr>
            <w:rStyle w:val="Hyperlink"/>
            <w:rFonts w:asciiTheme="majorBidi" w:hAnsiTheme="majorBidi" w:cstheme="majorBidi"/>
          </w:rPr>
          <w:t>outcome Second European Youth Work Convention</w:t>
        </w:r>
      </w:hyperlink>
      <w:r w:rsidRPr="00CA3FA9">
        <w:rPr>
          <w:rFonts w:asciiTheme="majorBidi" w:hAnsiTheme="majorBidi" w:cstheme="majorBidi"/>
          <w:i/>
          <w:iCs/>
        </w:rPr>
        <w:t xml:space="preserve"> </w:t>
      </w:r>
      <w:r w:rsidRPr="00CA3FA9">
        <w:rPr>
          <w:rFonts w:asciiTheme="majorBidi" w:hAnsiTheme="majorBidi" w:cstheme="majorBidi"/>
        </w:rPr>
        <w:t xml:space="preserve">which took place from 27 to 30 April 2015 in Brussels, in the framework of the Belgian Chairmanship of the Committee of Ministers of the Council of Europe </w:t>
      </w:r>
      <w:r w:rsidRPr="00CA3FA9">
        <w:rPr>
          <w:rFonts w:asciiTheme="majorBidi" w:hAnsiTheme="majorBidi" w:cstheme="majorBidi"/>
          <w:i/>
          <w:iCs/>
        </w:rPr>
        <w:t>(</w:t>
      </w:r>
      <w:hyperlink r:id="rId26" w:tooltip="http://data.consilium.europa.eu/doc/document/ST-8491-2015-REV-1/en/pdf" w:history="1">
        <w:r w:rsidR="00861ADC" w:rsidRPr="00CA3FA9">
          <w:rPr>
            <w:rStyle w:val="Hyperlink"/>
            <w:rFonts w:asciiTheme="majorBidi" w:hAnsiTheme="majorBidi" w:cstheme="majorBidi"/>
            <w:i/>
            <w:iCs/>
          </w:rPr>
          <w:t>8491/1/15 REV 1</w:t>
        </w:r>
      </w:hyperlink>
      <w:r w:rsidRPr="00CA3FA9">
        <w:rPr>
          <w:rFonts w:asciiTheme="majorBidi" w:hAnsiTheme="majorBidi" w:cstheme="majorBidi"/>
          <w:i/>
          <w:iCs/>
        </w:rPr>
        <w:t>).</w:t>
      </w:r>
    </w:p>
    <w:p w:rsidR="00DD190F" w:rsidRPr="00CA3FA9" w:rsidRDefault="00DD190F" w:rsidP="00861ADC">
      <w:pPr>
        <w:pStyle w:val="Sub-sub-itemDebated"/>
      </w:pPr>
      <w:bookmarkStart w:id="18" w:name="_Toc421186394"/>
      <w:r w:rsidRPr="00CA3FA9">
        <w:t>Work programme of the incoming presidency</w:t>
      </w:r>
      <w:bookmarkEnd w:id="18"/>
    </w:p>
    <w:p w:rsidR="00DD190F" w:rsidRPr="00CA3FA9" w:rsidRDefault="00861ADC" w:rsidP="00DD190F">
      <w:pPr>
        <w:rPr>
          <w:rFonts w:asciiTheme="majorBidi" w:hAnsiTheme="majorBidi" w:cstheme="majorBidi"/>
        </w:rPr>
      </w:pPr>
      <w:r w:rsidRPr="00CA3FA9">
        <w:rPr>
          <w:rFonts w:asciiTheme="majorBidi" w:hAnsiTheme="majorBidi" w:cstheme="majorBidi"/>
        </w:rPr>
        <w:t>The Council t</w:t>
      </w:r>
      <w:r w:rsidR="00DD190F" w:rsidRPr="00CA3FA9">
        <w:rPr>
          <w:rFonts w:asciiTheme="majorBidi" w:hAnsiTheme="majorBidi" w:cstheme="majorBidi"/>
        </w:rPr>
        <w:t>ook note of information from the Luxembourg delegation concerning its main priorities in the youth sector for the coming six months.</w:t>
      </w:r>
    </w:p>
    <w:p w:rsidR="00DD190F" w:rsidRPr="00CA3FA9" w:rsidRDefault="00FD495E" w:rsidP="00FD495E">
      <w:pPr>
        <w:pStyle w:val="Tiret0"/>
      </w:pPr>
      <w:r>
        <w:t>a</w:t>
      </w:r>
      <w:r w:rsidR="00DD190F" w:rsidRPr="00CA3FA9">
        <w:t>doption of a recommendation on the political participation of young people</w:t>
      </w:r>
    </w:p>
    <w:p w:rsidR="00DD190F" w:rsidRPr="00CA3FA9" w:rsidRDefault="00FD495E" w:rsidP="00861ADC">
      <w:pPr>
        <w:pStyle w:val="Tiret0"/>
        <w:rPr>
          <w:rFonts w:asciiTheme="majorBidi" w:hAnsiTheme="majorBidi" w:cstheme="majorBidi"/>
        </w:rPr>
      </w:pPr>
      <w:r>
        <w:t>a</w:t>
      </w:r>
      <w:r w:rsidR="00DD190F" w:rsidRPr="00CA3FA9">
        <w:t>doption</w:t>
      </w:r>
      <w:r w:rsidR="00DD190F" w:rsidRPr="00CA3FA9">
        <w:rPr>
          <w:rFonts w:asciiTheme="majorBidi" w:hAnsiTheme="majorBidi" w:cstheme="majorBidi"/>
        </w:rPr>
        <w:t xml:space="preserve"> of the 2015 Joint Report</w:t>
      </w:r>
    </w:p>
    <w:p w:rsidR="00DD190F" w:rsidRPr="00CA3FA9" w:rsidRDefault="00FD495E" w:rsidP="00861ADC">
      <w:pPr>
        <w:pStyle w:val="Tiret0"/>
        <w:rPr>
          <w:rFonts w:asciiTheme="majorBidi" w:hAnsiTheme="majorBidi" w:cstheme="majorBidi"/>
        </w:rPr>
      </w:pPr>
      <w:r>
        <w:t>a</w:t>
      </w:r>
      <w:r w:rsidR="00DD190F" w:rsidRPr="00CA3FA9">
        <w:t>doption</w:t>
      </w:r>
      <w:r w:rsidR="00DD190F" w:rsidRPr="00CA3FA9">
        <w:rPr>
          <w:rFonts w:asciiTheme="majorBidi" w:hAnsiTheme="majorBidi" w:cstheme="majorBidi"/>
        </w:rPr>
        <w:t xml:space="preserve"> of new Youth Work Plan</w:t>
      </w:r>
    </w:p>
    <w:p w:rsidR="00414254" w:rsidRPr="00CA3FA9" w:rsidRDefault="00414254" w:rsidP="00414254">
      <w:pPr>
        <w:pStyle w:val="ItemDebated"/>
      </w:pPr>
      <w:bookmarkStart w:id="19" w:name="_Toc421186395"/>
      <w:r w:rsidRPr="00CA3FA9">
        <w:t>CULTURE and AUDIOVISUAL</w:t>
      </w:r>
      <w:bookmarkEnd w:id="19"/>
    </w:p>
    <w:p w:rsidR="00414254" w:rsidRPr="00CA3FA9" w:rsidRDefault="00414254" w:rsidP="00FD495E">
      <w:pPr>
        <w:pStyle w:val="Sub-itemDebated"/>
      </w:pPr>
      <w:bookmarkStart w:id="20" w:name="_Toc421186396"/>
      <w:r w:rsidRPr="00CA3FA9">
        <w:t>European audiovisual policy</w:t>
      </w:r>
      <w:bookmarkEnd w:id="20"/>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Ministers had a first exchange of views on the audiovisual policy aspects of the recent </w:t>
      </w:r>
      <w:hyperlink r:id="rId27" w:history="1">
        <w:r w:rsidRPr="00CA3FA9">
          <w:rPr>
            <w:rStyle w:val="Hyperlink"/>
            <w:rFonts w:asciiTheme="majorBidi" w:hAnsiTheme="majorBidi" w:cstheme="majorBidi"/>
          </w:rPr>
          <w:t>Commission communication on the Digital Single Market Strategy</w:t>
        </w:r>
      </w:hyperlink>
      <w:r w:rsidRPr="00CA3FA9">
        <w:rPr>
          <w:rStyle w:val="Hyperlink"/>
          <w:rFonts w:asciiTheme="majorBidi" w:hAnsiTheme="majorBidi" w:cstheme="majorBidi"/>
        </w:rPr>
        <w:t xml:space="preserve"> </w:t>
      </w:r>
      <w:r w:rsidRPr="00CA3FA9">
        <w:rPr>
          <w:rFonts w:asciiTheme="majorBidi" w:hAnsiTheme="majorBidi" w:cstheme="majorBidi"/>
        </w:rPr>
        <w:t>presented by Commissioner Oettinger.</w:t>
      </w:r>
    </w:p>
    <w:p w:rsidR="003C013D" w:rsidRDefault="00414254" w:rsidP="00AC092F">
      <w:pPr>
        <w:rPr>
          <w:rFonts w:asciiTheme="majorBidi" w:hAnsiTheme="majorBidi" w:cstheme="majorBidi"/>
        </w:rPr>
      </w:pPr>
      <w:r w:rsidRPr="00CA3FA9">
        <w:rPr>
          <w:rFonts w:asciiTheme="majorBidi" w:hAnsiTheme="majorBidi" w:cstheme="majorBidi"/>
        </w:rPr>
        <w:t xml:space="preserve">The Commission underlined that </w:t>
      </w:r>
      <w:r w:rsidR="00860896">
        <w:rPr>
          <w:rFonts w:asciiTheme="majorBidi" w:hAnsiTheme="majorBidi" w:cstheme="majorBidi"/>
        </w:rPr>
        <w:t xml:space="preserve">the aim of the strategy is to </w:t>
      </w:r>
      <w:r w:rsidR="003C013D">
        <w:rPr>
          <w:rFonts w:asciiTheme="majorBidi" w:hAnsiTheme="majorBidi" w:cstheme="majorBidi"/>
        </w:rPr>
        <w:t xml:space="preserve">allow Europe to </w:t>
      </w:r>
      <w:r w:rsidR="003C013D" w:rsidRPr="003C013D">
        <w:rPr>
          <w:rFonts w:asciiTheme="majorBidi" w:hAnsiTheme="majorBidi" w:cstheme="majorBidi"/>
        </w:rPr>
        <w:t xml:space="preserve">re-establish </w:t>
      </w:r>
      <w:r w:rsidR="003C013D">
        <w:rPr>
          <w:rFonts w:asciiTheme="majorBidi" w:hAnsiTheme="majorBidi" w:cstheme="majorBidi"/>
        </w:rPr>
        <w:t xml:space="preserve">its </w:t>
      </w:r>
      <w:r w:rsidR="003C013D" w:rsidRPr="003C013D">
        <w:rPr>
          <w:rFonts w:asciiTheme="majorBidi" w:hAnsiTheme="majorBidi" w:cstheme="majorBidi"/>
        </w:rPr>
        <w:t>digital supremacy</w:t>
      </w:r>
      <w:r w:rsidR="003C013D">
        <w:rPr>
          <w:rFonts w:asciiTheme="majorBidi" w:hAnsiTheme="majorBidi" w:cstheme="majorBidi"/>
        </w:rPr>
        <w:t>,</w:t>
      </w:r>
      <w:r w:rsidR="003C013D" w:rsidRPr="003C013D">
        <w:rPr>
          <w:rFonts w:asciiTheme="majorBidi" w:hAnsiTheme="majorBidi" w:cstheme="majorBidi"/>
        </w:rPr>
        <w:t xml:space="preserve"> catch</w:t>
      </w:r>
      <w:r w:rsidR="003C013D">
        <w:rPr>
          <w:rFonts w:asciiTheme="majorBidi" w:hAnsiTheme="majorBidi" w:cstheme="majorBidi"/>
        </w:rPr>
        <w:t xml:space="preserve">ing </w:t>
      </w:r>
      <w:r w:rsidR="003C013D" w:rsidRPr="003C013D">
        <w:rPr>
          <w:rFonts w:asciiTheme="majorBidi" w:hAnsiTheme="majorBidi" w:cstheme="majorBidi"/>
        </w:rPr>
        <w:t xml:space="preserve">up </w:t>
      </w:r>
      <w:r w:rsidR="003C013D">
        <w:rPr>
          <w:rFonts w:asciiTheme="majorBidi" w:hAnsiTheme="majorBidi" w:cstheme="majorBidi"/>
        </w:rPr>
        <w:t xml:space="preserve">on </w:t>
      </w:r>
      <w:r w:rsidR="003C013D" w:rsidRPr="003C013D">
        <w:rPr>
          <w:rFonts w:asciiTheme="majorBidi" w:hAnsiTheme="majorBidi" w:cstheme="majorBidi"/>
        </w:rPr>
        <w:t>digital innovation</w:t>
      </w:r>
      <w:r w:rsidR="003C013D">
        <w:rPr>
          <w:rFonts w:asciiTheme="majorBidi" w:hAnsiTheme="majorBidi" w:cstheme="majorBidi"/>
        </w:rPr>
        <w:t xml:space="preserve"> </w:t>
      </w:r>
      <w:r w:rsidR="00AC092F">
        <w:rPr>
          <w:rFonts w:asciiTheme="majorBidi" w:hAnsiTheme="majorBidi" w:cstheme="majorBidi"/>
        </w:rPr>
        <w:t xml:space="preserve">in order </w:t>
      </w:r>
      <w:r w:rsidR="003C013D">
        <w:rPr>
          <w:rFonts w:asciiTheme="majorBidi" w:hAnsiTheme="majorBidi" w:cstheme="majorBidi"/>
        </w:rPr>
        <w:t xml:space="preserve">to </w:t>
      </w:r>
      <w:r w:rsidR="00860896">
        <w:rPr>
          <w:rFonts w:asciiTheme="majorBidi" w:hAnsiTheme="majorBidi" w:cstheme="majorBidi"/>
        </w:rPr>
        <w:t xml:space="preserve">compete in equal terms with </w:t>
      </w:r>
      <w:r w:rsidR="00860896" w:rsidRPr="00860896">
        <w:rPr>
          <w:rFonts w:asciiTheme="majorBidi" w:hAnsiTheme="majorBidi" w:cstheme="majorBidi"/>
        </w:rPr>
        <w:t>other global players</w:t>
      </w:r>
      <w:r w:rsidR="00860896">
        <w:rPr>
          <w:rFonts w:asciiTheme="majorBidi" w:hAnsiTheme="majorBidi" w:cstheme="majorBidi"/>
        </w:rPr>
        <w:t>,</w:t>
      </w:r>
      <w:r w:rsidR="00860896" w:rsidRPr="00860896">
        <w:rPr>
          <w:rFonts w:asciiTheme="majorBidi" w:hAnsiTheme="majorBidi" w:cstheme="majorBidi"/>
        </w:rPr>
        <w:t xml:space="preserve"> such as </w:t>
      </w:r>
      <w:r w:rsidRPr="00CA3FA9">
        <w:rPr>
          <w:rFonts w:asciiTheme="majorBidi" w:hAnsiTheme="majorBidi" w:cstheme="majorBidi"/>
        </w:rPr>
        <w:t>the United States, China</w:t>
      </w:r>
      <w:r w:rsidR="00FD495E">
        <w:rPr>
          <w:rFonts w:asciiTheme="majorBidi" w:hAnsiTheme="majorBidi" w:cstheme="majorBidi"/>
        </w:rPr>
        <w:t xml:space="preserve"> and</w:t>
      </w:r>
      <w:r w:rsidRPr="00CA3FA9">
        <w:rPr>
          <w:rFonts w:asciiTheme="majorBidi" w:hAnsiTheme="majorBidi" w:cstheme="majorBidi"/>
        </w:rPr>
        <w:t xml:space="preserve"> </w:t>
      </w:r>
      <w:r w:rsidR="00860896">
        <w:rPr>
          <w:rFonts w:asciiTheme="majorBidi" w:hAnsiTheme="majorBidi" w:cstheme="majorBidi"/>
        </w:rPr>
        <w:t xml:space="preserve">South </w:t>
      </w:r>
      <w:r w:rsidRPr="00CA3FA9">
        <w:rPr>
          <w:rFonts w:asciiTheme="majorBidi" w:hAnsiTheme="majorBidi" w:cstheme="majorBidi"/>
        </w:rPr>
        <w:t xml:space="preserve">Korea </w:t>
      </w:r>
      <w:r w:rsidR="00860896">
        <w:rPr>
          <w:rFonts w:asciiTheme="majorBidi" w:hAnsiTheme="majorBidi" w:cstheme="majorBidi"/>
        </w:rPr>
        <w:t xml:space="preserve">who </w:t>
      </w:r>
      <w:r w:rsidRPr="00CA3FA9">
        <w:rPr>
          <w:rFonts w:asciiTheme="majorBidi" w:hAnsiTheme="majorBidi" w:cstheme="majorBidi"/>
        </w:rPr>
        <w:t xml:space="preserve">have </w:t>
      </w:r>
      <w:r w:rsidR="00FD495E">
        <w:rPr>
          <w:rFonts w:asciiTheme="majorBidi" w:hAnsiTheme="majorBidi" w:cstheme="majorBidi"/>
        </w:rPr>
        <w:t xml:space="preserve">already </w:t>
      </w:r>
      <w:r w:rsidRPr="00CA3FA9">
        <w:rPr>
          <w:rFonts w:asciiTheme="majorBidi" w:hAnsiTheme="majorBidi" w:cstheme="majorBidi"/>
        </w:rPr>
        <w:t xml:space="preserve">a digital strategy </w:t>
      </w:r>
      <w:r w:rsidR="00860896">
        <w:rPr>
          <w:rFonts w:asciiTheme="majorBidi" w:hAnsiTheme="majorBidi" w:cstheme="majorBidi"/>
        </w:rPr>
        <w:t>for quite some time now.</w:t>
      </w:r>
    </w:p>
    <w:p w:rsidR="00414254" w:rsidRDefault="00414254" w:rsidP="00E05214">
      <w:pPr>
        <w:rPr>
          <w:rFonts w:asciiTheme="majorBidi" w:hAnsiTheme="majorBidi" w:cstheme="majorBidi"/>
        </w:rPr>
      </w:pPr>
      <w:r w:rsidRPr="00CA3FA9">
        <w:rPr>
          <w:rFonts w:asciiTheme="majorBidi" w:hAnsiTheme="majorBidi" w:cstheme="majorBidi"/>
        </w:rPr>
        <w:t xml:space="preserve">The European Union </w:t>
      </w:r>
      <w:r w:rsidR="003C013D" w:rsidRPr="00CA3FA9">
        <w:rPr>
          <w:rFonts w:asciiTheme="majorBidi" w:hAnsiTheme="majorBidi" w:cstheme="majorBidi"/>
        </w:rPr>
        <w:t xml:space="preserve">market </w:t>
      </w:r>
      <w:r w:rsidR="003C013D">
        <w:rPr>
          <w:rFonts w:asciiTheme="majorBidi" w:hAnsiTheme="majorBidi" w:cstheme="majorBidi"/>
        </w:rPr>
        <w:t xml:space="preserve">is </w:t>
      </w:r>
      <w:r w:rsidRPr="00CA3FA9">
        <w:rPr>
          <w:rFonts w:asciiTheme="majorBidi" w:hAnsiTheme="majorBidi" w:cstheme="majorBidi"/>
        </w:rPr>
        <w:t xml:space="preserve">fragmented </w:t>
      </w:r>
      <w:r w:rsidR="00FD495E">
        <w:rPr>
          <w:rFonts w:asciiTheme="majorBidi" w:hAnsiTheme="majorBidi" w:cstheme="majorBidi"/>
        </w:rPr>
        <w:t>with</w:t>
      </w:r>
      <w:r w:rsidRPr="00CA3FA9">
        <w:rPr>
          <w:rFonts w:asciiTheme="majorBidi" w:hAnsiTheme="majorBidi" w:cstheme="majorBidi"/>
        </w:rPr>
        <w:t xml:space="preserve"> different rules</w:t>
      </w:r>
      <w:r w:rsidR="003C013D">
        <w:rPr>
          <w:rFonts w:asciiTheme="majorBidi" w:hAnsiTheme="majorBidi" w:cstheme="majorBidi"/>
        </w:rPr>
        <w:t xml:space="preserve"> and regulations in many</w:t>
      </w:r>
      <w:r w:rsidR="003C013D" w:rsidRPr="00CA3FA9">
        <w:rPr>
          <w:rFonts w:asciiTheme="majorBidi" w:hAnsiTheme="majorBidi" w:cstheme="majorBidi"/>
        </w:rPr>
        <w:t xml:space="preserve"> </w:t>
      </w:r>
      <w:r w:rsidR="003C013D">
        <w:rPr>
          <w:rFonts w:asciiTheme="majorBidi" w:hAnsiTheme="majorBidi" w:cstheme="majorBidi"/>
        </w:rPr>
        <w:t xml:space="preserve">sectors, </w:t>
      </w:r>
      <w:r w:rsidR="003C013D" w:rsidRPr="003C013D">
        <w:rPr>
          <w:rFonts w:asciiTheme="majorBidi" w:hAnsiTheme="majorBidi" w:cstheme="majorBidi"/>
        </w:rPr>
        <w:t xml:space="preserve">which do not allow the EU </w:t>
      </w:r>
      <w:r w:rsidR="00E05214" w:rsidRPr="00E05214">
        <w:rPr>
          <w:rFonts w:asciiTheme="majorBidi" w:hAnsiTheme="majorBidi" w:cstheme="majorBidi"/>
        </w:rPr>
        <w:t xml:space="preserve">to compete as </w:t>
      </w:r>
      <w:r w:rsidR="00E05214">
        <w:rPr>
          <w:rFonts w:asciiTheme="majorBidi" w:hAnsiTheme="majorBidi" w:cstheme="majorBidi"/>
        </w:rPr>
        <w:t xml:space="preserve">successfully </w:t>
      </w:r>
      <w:r w:rsidR="00AC092F">
        <w:rPr>
          <w:rFonts w:asciiTheme="majorBidi" w:hAnsiTheme="majorBidi" w:cstheme="majorBidi"/>
        </w:rPr>
        <w:t xml:space="preserve">as </w:t>
      </w:r>
      <w:r w:rsidR="00E05214" w:rsidRPr="00E05214">
        <w:rPr>
          <w:rFonts w:asciiTheme="majorBidi" w:hAnsiTheme="majorBidi" w:cstheme="majorBidi"/>
        </w:rPr>
        <w:t>others</w:t>
      </w:r>
      <w:r w:rsidR="003C013D">
        <w:rPr>
          <w:rFonts w:asciiTheme="majorBidi" w:hAnsiTheme="majorBidi" w:cstheme="majorBidi"/>
        </w:rPr>
        <w:t xml:space="preserve">. </w:t>
      </w:r>
      <w:r w:rsidR="00E05214" w:rsidRPr="00CA3FA9">
        <w:rPr>
          <w:rFonts w:asciiTheme="majorBidi" w:hAnsiTheme="majorBidi" w:cstheme="majorBidi"/>
        </w:rPr>
        <w:t xml:space="preserve">To be able to </w:t>
      </w:r>
      <w:r w:rsidR="00E05214">
        <w:rPr>
          <w:rFonts w:asciiTheme="majorBidi" w:hAnsiTheme="majorBidi" w:cstheme="majorBidi"/>
        </w:rPr>
        <w:t xml:space="preserve">do so, </w:t>
      </w:r>
      <w:r w:rsidR="00E05214" w:rsidRPr="00CA3FA9">
        <w:rPr>
          <w:rFonts w:asciiTheme="majorBidi" w:hAnsiTheme="majorBidi" w:cstheme="majorBidi"/>
        </w:rPr>
        <w:t xml:space="preserve">the EU must </w:t>
      </w:r>
      <w:r w:rsidR="00E05214">
        <w:rPr>
          <w:rFonts w:asciiTheme="majorBidi" w:hAnsiTheme="majorBidi" w:cstheme="majorBidi"/>
        </w:rPr>
        <w:t xml:space="preserve">further </w:t>
      </w:r>
      <w:r w:rsidR="00E05214" w:rsidRPr="00CA3FA9">
        <w:rPr>
          <w:rFonts w:asciiTheme="majorBidi" w:hAnsiTheme="majorBidi" w:cstheme="majorBidi"/>
        </w:rPr>
        <w:t>harmoni</w:t>
      </w:r>
      <w:r w:rsidR="00E05214">
        <w:rPr>
          <w:rFonts w:asciiTheme="majorBidi" w:hAnsiTheme="majorBidi" w:cstheme="majorBidi"/>
        </w:rPr>
        <w:t>s</w:t>
      </w:r>
      <w:r w:rsidR="00E05214" w:rsidRPr="00CA3FA9">
        <w:rPr>
          <w:rFonts w:asciiTheme="majorBidi" w:hAnsiTheme="majorBidi" w:cstheme="majorBidi"/>
        </w:rPr>
        <w:t>e its copyright legislation</w:t>
      </w:r>
      <w:r w:rsidR="00E05214">
        <w:rPr>
          <w:rFonts w:asciiTheme="majorBidi" w:hAnsiTheme="majorBidi" w:cstheme="majorBidi"/>
        </w:rPr>
        <w:t xml:space="preserve"> </w:t>
      </w:r>
      <w:r w:rsidR="00E05214" w:rsidRPr="00CA3FA9">
        <w:rPr>
          <w:rFonts w:asciiTheme="majorBidi" w:hAnsiTheme="majorBidi" w:cstheme="majorBidi"/>
        </w:rPr>
        <w:t>and address issues such as</w:t>
      </w:r>
      <w:r w:rsidR="00E05214">
        <w:rPr>
          <w:rFonts w:asciiTheme="majorBidi" w:hAnsiTheme="majorBidi" w:cstheme="majorBidi"/>
        </w:rPr>
        <w:t xml:space="preserve"> e-commerce, </w:t>
      </w:r>
      <w:r w:rsidR="00E05214" w:rsidRPr="00CA3FA9">
        <w:rPr>
          <w:rFonts w:asciiTheme="majorBidi" w:hAnsiTheme="majorBidi" w:cstheme="majorBidi"/>
        </w:rPr>
        <w:t>the role of digital platforms, taxation, net neutrality</w:t>
      </w:r>
      <w:r w:rsidR="00E05214">
        <w:rPr>
          <w:rFonts w:asciiTheme="majorBidi" w:hAnsiTheme="majorBidi" w:cstheme="majorBidi"/>
        </w:rPr>
        <w:t xml:space="preserve"> and</w:t>
      </w:r>
      <w:r w:rsidR="00E05214" w:rsidRPr="00CA3FA9">
        <w:rPr>
          <w:rFonts w:asciiTheme="majorBidi" w:hAnsiTheme="majorBidi" w:cstheme="majorBidi"/>
        </w:rPr>
        <w:t xml:space="preserve"> geo</w:t>
      </w:r>
      <w:r w:rsidR="00E05214">
        <w:rPr>
          <w:rFonts w:asciiTheme="majorBidi" w:hAnsiTheme="majorBidi" w:cstheme="majorBidi"/>
        </w:rPr>
        <w:t>-</w:t>
      </w:r>
      <w:r w:rsidR="00E05214" w:rsidRPr="00CA3FA9">
        <w:rPr>
          <w:rFonts w:asciiTheme="majorBidi" w:hAnsiTheme="majorBidi" w:cstheme="majorBidi"/>
        </w:rPr>
        <w:t>blocking</w:t>
      </w:r>
      <w:r w:rsidR="00E05214">
        <w:rPr>
          <w:rFonts w:asciiTheme="majorBidi" w:hAnsiTheme="majorBidi" w:cstheme="majorBidi"/>
        </w:rPr>
        <w:t>.</w:t>
      </w:r>
    </w:p>
    <w:p w:rsidR="00E05214" w:rsidRPr="00CA3FA9" w:rsidRDefault="00D0087C" w:rsidP="00E05214">
      <w:pPr>
        <w:rPr>
          <w:rFonts w:asciiTheme="majorBidi" w:hAnsiTheme="majorBidi" w:cstheme="majorBidi"/>
        </w:rPr>
      </w:pPr>
      <w:r>
        <w:rPr>
          <w:rFonts w:asciiTheme="majorBidi" w:hAnsiTheme="majorBidi" w:cstheme="majorBidi"/>
        </w:rPr>
        <w:br w:type="page"/>
      </w:r>
      <w:r w:rsidR="00E05214" w:rsidRPr="00E05214">
        <w:rPr>
          <w:rFonts w:asciiTheme="majorBidi" w:hAnsiTheme="majorBidi" w:cstheme="majorBidi"/>
        </w:rPr>
        <w:lastRenderedPageBreak/>
        <w:t xml:space="preserve">Commissioner emphasised that </w:t>
      </w:r>
      <w:r w:rsidR="00E05214">
        <w:rPr>
          <w:rFonts w:asciiTheme="majorBidi" w:hAnsiTheme="majorBidi" w:cstheme="majorBidi"/>
        </w:rPr>
        <w:t>i</w:t>
      </w:r>
      <w:r w:rsidR="00E05214" w:rsidRPr="00CA3FA9">
        <w:rPr>
          <w:rFonts w:asciiTheme="majorBidi" w:hAnsiTheme="majorBidi" w:cstheme="majorBidi"/>
        </w:rPr>
        <w:t>f third countries want to do business in Europe, they will have to respect EU law.</w:t>
      </w:r>
    </w:p>
    <w:p w:rsidR="00414254" w:rsidRPr="00CA3FA9" w:rsidRDefault="00E05214" w:rsidP="00E05214">
      <w:pPr>
        <w:rPr>
          <w:rFonts w:asciiTheme="majorBidi" w:hAnsiTheme="majorBidi" w:cstheme="majorBidi"/>
        </w:rPr>
      </w:pPr>
      <w:r>
        <w:rPr>
          <w:rFonts w:asciiTheme="majorBidi" w:hAnsiTheme="majorBidi" w:cstheme="majorBidi"/>
        </w:rPr>
        <w:t>T</w:t>
      </w:r>
      <w:r w:rsidRPr="00E05214">
        <w:rPr>
          <w:rFonts w:asciiTheme="majorBidi" w:hAnsiTheme="majorBidi" w:cstheme="majorBidi"/>
        </w:rPr>
        <w:t xml:space="preserve">he Commission </w:t>
      </w:r>
      <w:r w:rsidR="00A6110D">
        <w:rPr>
          <w:rFonts w:asciiTheme="majorBidi" w:hAnsiTheme="majorBidi" w:cstheme="majorBidi"/>
        </w:rPr>
        <w:t xml:space="preserve">and ministers </w:t>
      </w:r>
      <w:r>
        <w:rPr>
          <w:rFonts w:asciiTheme="majorBidi" w:hAnsiTheme="majorBidi" w:cstheme="majorBidi"/>
        </w:rPr>
        <w:t>also stress</w:t>
      </w:r>
      <w:r w:rsidRPr="00E05214">
        <w:rPr>
          <w:rFonts w:asciiTheme="majorBidi" w:hAnsiTheme="majorBidi" w:cstheme="majorBidi"/>
        </w:rPr>
        <w:t>ed that the digital single market strategy is not solely about technological issue</w:t>
      </w:r>
      <w:r>
        <w:rPr>
          <w:rFonts w:asciiTheme="majorBidi" w:hAnsiTheme="majorBidi" w:cstheme="majorBidi"/>
        </w:rPr>
        <w:t xml:space="preserve">s: it </w:t>
      </w:r>
      <w:r w:rsidRPr="00E05214">
        <w:rPr>
          <w:rFonts w:asciiTheme="majorBidi" w:hAnsiTheme="majorBidi" w:cstheme="majorBidi"/>
        </w:rPr>
        <w:t xml:space="preserve">also focuses on boosting creativity, ensuring cultural diversity </w:t>
      </w:r>
      <w:r>
        <w:rPr>
          <w:rFonts w:asciiTheme="majorBidi" w:hAnsiTheme="majorBidi" w:cstheme="majorBidi"/>
        </w:rPr>
        <w:t xml:space="preserve">and </w:t>
      </w:r>
      <w:r w:rsidRPr="00E05214">
        <w:rPr>
          <w:rFonts w:asciiTheme="majorBidi" w:hAnsiTheme="majorBidi" w:cstheme="majorBidi"/>
        </w:rPr>
        <w:t>promoting cultural heritage</w:t>
      </w:r>
      <w:r>
        <w:rPr>
          <w:rFonts w:asciiTheme="majorBidi" w:hAnsiTheme="majorBidi" w:cstheme="majorBidi"/>
        </w:rPr>
        <w:t>. T</w:t>
      </w:r>
      <w:r w:rsidRPr="00E05214">
        <w:rPr>
          <w:rFonts w:asciiTheme="majorBidi" w:hAnsiTheme="majorBidi" w:cstheme="majorBidi"/>
        </w:rPr>
        <w:t xml:space="preserve">ogether </w:t>
      </w:r>
      <w:r>
        <w:rPr>
          <w:rFonts w:asciiTheme="majorBidi" w:hAnsiTheme="majorBidi" w:cstheme="majorBidi"/>
        </w:rPr>
        <w:t xml:space="preserve">all this is what </w:t>
      </w:r>
      <w:r w:rsidRPr="00E05214">
        <w:rPr>
          <w:rFonts w:asciiTheme="majorBidi" w:hAnsiTheme="majorBidi" w:cstheme="majorBidi"/>
        </w:rPr>
        <w:t>makes European culture attractive for expor</w:t>
      </w:r>
      <w:r>
        <w:rPr>
          <w:rFonts w:asciiTheme="majorBidi" w:hAnsiTheme="majorBidi" w:cstheme="majorBidi"/>
        </w:rPr>
        <w:t>t.</w:t>
      </w:r>
    </w:p>
    <w:p w:rsidR="00414254" w:rsidRDefault="00414254" w:rsidP="00414254">
      <w:pPr>
        <w:rPr>
          <w:rFonts w:asciiTheme="majorBidi" w:hAnsiTheme="majorBidi" w:cstheme="majorBidi"/>
        </w:rPr>
      </w:pPr>
      <w:r w:rsidRPr="00CA3FA9">
        <w:rPr>
          <w:rFonts w:asciiTheme="majorBidi" w:hAnsiTheme="majorBidi" w:cstheme="majorBidi"/>
        </w:rPr>
        <w:t>The main outcomes of the ministerial debate were the following</w:t>
      </w:r>
      <w:r w:rsidR="00FD495E">
        <w:rPr>
          <w:rFonts w:asciiTheme="majorBidi" w:hAnsiTheme="majorBidi" w:cstheme="majorBidi"/>
        </w:rPr>
        <w:t>:</w:t>
      </w:r>
    </w:p>
    <w:p w:rsidR="002C26C6" w:rsidRDefault="00AC092F" w:rsidP="002C26C6">
      <w:pPr>
        <w:rPr>
          <w:rFonts w:asciiTheme="majorBidi" w:hAnsiTheme="majorBidi" w:cstheme="majorBidi"/>
        </w:rPr>
      </w:pPr>
      <w:r>
        <w:rPr>
          <w:rFonts w:asciiTheme="majorBidi" w:hAnsiTheme="majorBidi" w:cstheme="majorBidi"/>
        </w:rPr>
        <w:t>-</w:t>
      </w:r>
      <w:r>
        <w:rPr>
          <w:rFonts w:asciiTheme="majorBidi" w:hAnsiTheme="majorBidi" w:cstheme="majorBidi"/>
        </w:rPr>
        <w:tab/>
      </w:r>
      <w:r w:rsidRPr="00AC092F">
        <w:rPr>
          <w:rFonts w:asciiTheme="majorBidi" w:hAnsiTheme="majorBidi" w:cstheme="majorBidi"/>
        </w:rPr>
        <w:t xml:space="preserve">regarding the </w:t>
      </w:r>
      <w:r w:rsidRPr="002C26C6">
        <w:rPr>
          <w:rFonts w:asciiTheme="majorBidi" w:hAnsiTheme="majorBidi" w:cstheme="majorBidi"/>
          <w:b/>
          <w:bCs/>
        </w:rPr>
        <w:t>digital single market strategy</w:t>
      </w:r>
      <w:r w:rsidRPr="00AC092F">
        <w:rPr>
          <w:rFonts w:asciiTheme="majorBidi" w:hAnsiTheme="majorBidi" w:cstheme="majorBidi"/>
        </w:rPr>
        <w:t xml:space="preserve">, ministers supported </w:t>
      </w:r>
      <w:r w:rsidR="002C26C6">
        <w:rPr>
          <w:rFonts w:asciiTheme="majorBidi" w:hAnsiTheme="majorBidi" w:cstheme="majorBidi"/>
        </w:rPr>
        <w:t xml:space="preserve">the </w:t>
      </w:r>
      <w:r w:rsidRPr="00AC092F">
        <w:rPr>
          <w:rFonts w:asciiTheme="majorBidi" w:hAnsiTheme="majorBidi" w:cstheme="majorBidi"/>
        </w:rPr>
        <w:t>cross-border</w:t>
      </w:r>
      <w:r w:rsidR="00C97A7F">
        <w:rPr>
          <w:rFonts w:asciiTheme="majorBidi" w:hAnsiTheme="majorBidi" w:cstheme="majorBidi"/>
        </w:rPr>
        <w:tab/>
      </w:r>
      <w:r w:rsidRPr="00AC092F">
        <w:rPr>
          <w:rFonts w:asciiTheme="majorBidi" w:hAnsiTheme="majorBidi" w:cstheme="majorBidi"/>
        </w:rPr>
        <w:t>portability of content, the</w:t>
      </w:r>
      <w:r w:rsidR="002C26C6">
        <w:rPr>
          <w:rFonts w:asciiTheme="majorBidi" w:hAnsiTheme="majorBidi" w:cstheme="majorBidi"/>
        </w:rPr>
        <w:t xml:space="preserve"> fight against illegal content </w:t>
      </w:r>
      <w:r w:rsidRPr="00AC092F">
        <w:rPr>
          <w:rFonts w:asciiTheme="majorBidi" w:hAnsiTheme="majorBidi" w:cstheme="majorBidi"/>
        </w:rPr>
        <w:t>and the need to find the</w:t>
      </w:r>
      <w:r w:rsidR="002C26C6">
        <w:rPr>
          <w:rFonts w:asciiTheme="majorBidi" w:hAnsiTheme="majorBidi" w:cstheme="majorBidi"/>
        </w:rPr>
        <w:t xml:space="preserve"> </w:t>
      </w:r>
      <w:r w:rsidRPr="00AC092F">
        <w:rPr>
          <w:rFonts w:asciiTheme="majorBidi" w:hAnsiTheme="majorBidi" w:cstheme="majorBidi"/>
        </w:rPr>
        <w:t>right balance</w:t>
      </w:r>
      <w:r w:rsidR="00C97A7F">
        <w:rPr>
          <w:rFonts w:asciiTheme="majorBidi" w:hAnsiTheme="majorBidi" w:cstheme="majorBidi"/>
        </w:rPr>
        <w:tab/>
      </w:r>
      <w:r w:rsidRPr="00AC092F">
        <w:rPr>
          <w:rFonts w:asciiTheme="majorBidi" w:hAnsiTheme="majorBidi" w:cstheme="majorBidi"/>
        </w:rPr>
        <w:t>on copyright;</w:t>
      </w:r>
    </w:p>
    <w:p w:rsidR="00AC092F" w:rsidRPr="00CA3FA9" w:rsidRDefault="002C26C6" w:rsidP="002C26C6">
      <w:pPr>
        <w:rPr>
          <w:rFonts w:asciiTheme="majorBidi" w:hAnsiTheme="majorBidi" w:cstheme="majorBidi"/>
        </w:rPr>
      </w:pPr>
      <w:r>
        <w:rPr>
          <w:rFonts w:asciiTheme="majorBidi" w:hAnsiTheme="majorBidi" w:cstheme="majorBidi"/>
        </w:rPr>
        <w:t>-</w:t>
      </w:r>
      <w:r>
        <w:rPr>
          <w:rFonts w:asciiTheme="majorBidi" w:hAnsiTheme="majorBidi" w:cstheme="majorBidi"/>
        </w:rPr>
        <w:tab/>
      </w:r>
      <w:r w:rsidR="00AC092F" w:rsidRPr="00AC092F">
        <w:rPr>
          <w:rFonts w:asciiTheme="majorBidi" w:hAnsiTheme="majorBidi" w:cstheme="majorBidi"/>
        </w:rPr>
        <w:t xml:space="preserve">they </w:t>
      </w:r>
      <w:r>
        <w:rPr>
          <w:rFonts w:asciiTheme="majorBidi" w:hAnsiTheme="majorBidi" w:cstheme="majorBidi"/>
        </w:rPr>
        <w:t xml:space="preserve">also </w:t>
      </w:r>
      <w:r w:rsidR="00AC092F" w:rsidRPr="00AC092F">
        <w:rPr>
          <w:rFonts w:asciiTheme="majorBidi" w:hAnsiTheme="majorBidi" w:cstheme="majorBidi"/>
        </w:rPr>
        <w:t xml:space="preserve">stressed that </w:t>
      </w:r>
      <w:r w:rsidR="00AC092F">
        <w:rPr>
          <w:rFonts w:asciiTheme="majorBidi" w:hAnsiTheme="majorBidi" w:cstheme="majorBidi"/>
        </w:rPr>
        <w:t xml:space="preserve">the </w:t>
      </w:r>
      <w:r w:rsidR="00AC092F" w:rsidRPr="00AC092F">
        <w:rPr>
          <w:rFonts w:asciiTheme="majorBidi" w:hAnsiTheme="majorBidi" w:cstheme="majorBidi"/>
        </w:rPr>
        <w:t>territoriality</w:t>
      </w:r>
      <w:r w:rsidR="00AC092F">
        <w:rPr>
          <w:rFonts w:asciiTheme="majorBidi" w:hAnsiTheme="majorBidi" w:cstheme="majorBidi"/>
        </w:rPr>
        <w:t xml:space="preserve"> principle </w:t>
      </w:r>
      <w:r w:rsidR="00AC092F" w:rsidRPr="00AC092F">
        <w:rPr>
          <w:rFonts w:asciiTheme="majorBidi" w:hAnsiTheme="majorBidi" w:cstheme="majorBidi"/>
        </w:rPr>
        <w:t>is important for content creation and geo-</w:t>
      </w:r>
      <w:r>
        <w:rPr>
          <w:rFonts w:asciiTheme="majorBidi" w:hAnsiTheme="majorBidi" w:cstheme="majorBidi"/>
        </w:rPr>
        <w:tab/>
      </w:r>
      <w:r w:rsidR="00AC092F" w:rsidRPr="00AC092F">
        <w:rPr>
          <w:rFonts w:asciiTheme="majorBidi" w:hAnsiTheme="majorBidi" w:cstheme="majorBidi"/>
        </w:rPr>
        <w:t xml:space="preserve">blocking might </w:t>
      </w:r>
      <w:r w:rsidR="00AC092F">
        <w:rPr>
          <w:rFonts w:asciiTheme="majorBidi" w:hAnsiTheme="majorBidi" w:cstheme="majorBidi"/>
        </w:rPr>
        <w:t xml:space="preserve">sometimes </w:t>
      </w:r>
      <w:r w:rsidR="00AC092F" w:rsidRPr="00AC092F">
        <w:rPr>
          <w:rFonts w:asciiTheme="majorBidi" w:hAnsiTheme="majorBidi" w:cstheme="majorBidi"/>
        </w:rPr>
        <w:t>be justified in particular as far as small</w:t>
      </w:r>
      <w:r w:rsidR="00C97A7F">
        <w:rPr>
          <w:rFonts w:asciiTheme="majorBidi" w:hAnsiTheme="majorBidi" w:cstheme="majorBidi"/>
        </w:rPr>
        <w:tab/>
      </w:r>
      <w:r w:rsidR="00AC092F" w:rsidRPr="00AC092F">
        <w:rPr>
          <w:rFonts w:asciiTheme="majorBidi" w:hAnsiTheme="majorBidi" w:cstheme="majorBidi"/>
        </w:rPr>
        <w:t>markets are</w:t>
      </w:r>
      <w:r w:rsidR="00AC092F">
        <w:rPr>
          <w:rFonts w:asciiTheme="majorBidi" w:hAnsiTheme="majorBidi" w:cstheme="majorBidi"/>
        </w:rPr>
        <w:t xml:space="preserve"> </w:t>
      </w:r>
      <w:r w:rsidR="00AC092F" w:rsidRPr="00AC092F">
        <w:rPr>
          <w:rFonts w:asciiTheme="majorBidi" w:hAnsiTheme="majorBidi" w:cstheme="majorBidi"/>
        </w:rPr>
        <w:t>concerned.</w:t>
      </w:r>
    </w:p>
    <w:p w:rsidR="00414254" w:rsidRPr="00CA3FA9" w:rsidRDefault="002C26C6" w:rsidP="00E05214">
      <w:pPr>
        <w:pStyle w:val="Tiret0"/>
      </w:pPr>
      <w:r>
        <w:t xml:space="preserve">concerning </w:t>
      </w:r>
      <w:r w:rsidR="00414254" w:rsidRPr="00CA3FA9">
        <w:t xml:space="preserve">the </w:t>
      </w:r>
      <w:r w:rsidR="00225511" w:rsidRPr="002C26C6">
        <w:rPr>
          <w:b/>
          <w:bCs/>
        </w:rPr>
        <w:t>a</w:t>
      </w:r>
      <w:r w:rsidR="00414254" w:rsidRPr="002C26C6">
        <w:rPr>
          <w:b/>
          <w:bCs/>
        </w:rPr>
        <w:t xml:space="preserve">udiovisual </w:t>
      </w:r>
      <w:r w:rsidR="00225511" w:rsidRPr="002C26C6">
        <w:rPr>
          <w:b/>
          <w:bCs/>
        </w:rPr>
        <w:t>m</w:t>
      </w:r>
      <w:r w:rsidR="00414254" w:rsidRPr="002C26C6">
        <w:rPr>
          <w:b/>
          <w:bCs/>
        </w:rPr>
        <w:t xml:space="preserve">edia </w:t>
      </w:r>
      <w:r w:rsidR="00225511" w:rsidRPr="002C26C6">
        <w:rPr>
          <w:b/>
          <w:bCs/>
        </w:rPr>
        <w:t>s</w:t>
      </w:r>
      <w:r w:rsidR="00414254" w:rsidRPr="002C26C6">
        <w:rPr>
          <w:b/>
          <w:bCs/>
        </w:rPr>
        <w:t xml:space="preserve">ervices </w:t>
      </w:r>
      <w:r w:rsidR="00225511">
        <w:t xml:space="preserve">(AVMS) </w:t>
      </w:r>
      <w:r w:rsidR="00414254" w:rsidRPr="00CA3FA9">
        <w:t>directive</w:t>
      </w:r>
      <w:r w:rsidR="00E05214">
        <w:t xml:space="preserve"> </w:t>
      </w:r>
      <w:r w:rsidR="00414254" w:rsidRPr="00E05214">
        <w:rPr>
          <w:rFonts w:asciiTheme="minorBidi" w:hAnsiTheme="minorBidi" w:cstheme="minorBidi"/>
          <w:i/>
          <w:iCs/>
          <w:color w:val="3333FF"/>
          <w:sz w:val="22"/>
          <w:szCs w:val="22"/>
        </w:rPr>
        <w:t>(</w:t>
      </w:r>
      <w:hyperlink r:id="rId28" w:history="1">
        <w:r w:rsidR="00414254" w:rsidRPr="00E05214">
          <w:rPr>
            <w:rFonts w:asciiTheme="minorBidi" w:hAnsiTheme="minorBidi" w:cstheme="minorBidi"/>
            <w:i/>
            <w:iCs/>
            <w:color w:val="3333FF"/>
            <w:sz w:val="22"/>
            <w:szCs w:val="22"/>
          </w:rPr>
          <w:t>OJ L 95, 15.4.2010</w:t>
        </w:r>
      </w:hyperlink>
      <w:r w:rsidR="00414254" w:rsidRPr="00E05214">
        <w:rPr>
          <w:rFonts w:asciiTheme="minorBidi" w:hAnsiTheme="minorBidi" w:cstheme="minorBidi"/>
          <w:i/>
          <w:iCs/>
          <w:color w:val="3333FF"/>
          <w:sz w:val="22"/>
          <w:szCs w:val="22"/>
        </w:rPr>
        <w:t>)</w:t>
      </w:r>
      <w:r w:rsidR="00414254" w:rsidRPr="00CA3FA9">
        <w:t xml:space="preserve"> remains valid in many domains but should be adapted to </w:t>
      </w:r>
      <w:r w:rsidR="00E05214" w:rsidRPr="00E05214">
        <w:t xml:space="preserve">technological changes brought about by the </w:t>
      </w:r>
      <w:r w:rsidR="00414254" w:rsidRPr="00CA3FA9">
        <w:t xml:space="preserve">digital shift, regarding </w:t>
      </w:r>
      <w:r w:rsidR="00E05214">
        <w:t xml:space="preserve">in particular </w:t>
      </w:r>
      <w:r w:rsidR="00414254" w:rsidRPr="00CA3FA9">
        <w:t>the current regulatory distinction between on-demand and linear audiovisual media services</w:t>
      </w:r>
    </w:p>
    <w:p w:rsidR="00414254" w:rsidRPr="00CA3FA9" w:rsidRDefault="00414254" w:rsidP="00AC092F">
      <w:pPr>
        <w:pStyle w:val="Tiret0"/>
        <w:rPr>
          <w:rFonts w:asciiTheme="majorBidi" w:hAnsiTheme="majorBidi" w:cstheme="majorBidi"/>
        </w:rPr>
      </w:pPr>
      <w:r w:rsidRPr="00CA3FA9">
        <w:rPr>
          <w:rFonts w:asciiTheme="majorBidi" w:hAnsiTheme="majorBidi" w:cstheme="majorBidi"/>
        </w:rPr>
        <w:t xml:space="preserve">the review of the </w:t>
      </w:r>
      <w:r w:rsidRPr="00CA3FA9">
        <w:t>directive</w:t>
      </w:r>
      <w:r w:rsidRPr="00CA3FA9">
        <w:rPr>
          <w:rFonts w:asciiTheme="majorBidi" w:hAnsiTheme="majorBidi" w:cstheme="majorBidi"/>
        </w:rPr>
        <w:t xml:space="preserve"> should </w:t>
      </w:r>
      <w:r w:rsidR="00AC092F">
        <w:rPr>
          <w:rFonts w:asciiTheme="majorBidi" w:hAnsiTheme="majorBidi" w:cstheme="majorBidi"/>
        </w:rPr>
        <w:t xml:space="preserve">aim to </w:t>
      </w:r>
      <w:r w:rsidR="00AC092F" w:rsidRPr="00AC092F">
        <w:rPr>
          <w:rFonts w:asciiTheme="majorBidi" w:hAnsiTheme="majorBidi" w:cstheme="majorBidi"/>
        </w:rPr>
        <w:t xml:space="preserve">guarantee media freedom and pluralism, promotion of cultural diversity, </w:t>
      </w:r>
      <w:r w:rsidR="00AC092F">
        <w:rPr>
          <w:rFonts w:asciiTheme="majorBidi" w:hAnsiTheme="majorBidi" w:cstheme="majorBidi"/>
        </w:rPr>
        <w:t xml:space="preserve">as well as </w:t>
      </w:r>
      <w:r w:rsidR="00AC092F" w:rsidRPr="00AC092F">
        <w:rPr>
          <w:rFonts w:asciiTheme="majorBidi" w:hAnsiTheme="majorBidi" w:cstheme="majorBidi"/>
        </w:rPr>
        <w:t xml:space="preserve">ensuring </w:t>
      </w:r>
      <w:r w:rsidR="00AC092F">
        <w:rPr>
          <w:rFonts w:asciiTheme="majorBidi" w:hAnsiTheme="majorBidi" w:cstheme="majorBidi"/>
        </w:rPr>
        <w:t xml:space="preserve">a </w:t>
      </w:r>
      <w:r w:rsidR="00AC092F" w:rsidRPr="00AC092F">
        <w:rPr>
          <w:rFonts w:asciiTheme="majorBidi" w:hAnsiTheme="majorBidi" w:cstheme="majorBidi"/>
        </w:rPr>
        <w:t xml:space="preserve">high </w:t>
      </w:r>
      <w:r w:rsidR="00AC092F">
        <w:rPr>
          <w:rFonts w:asciiTheme="majorBidi" w:hAnsiTheme="majorBidi" w:cstheme="majorBidi"/>
        </w:rPr>
        <w:t xml:space="preserve">level </w:t>
      </w:r>
      <w:r w:rsidRPr="00CA3FA9">
        <w:rPr>
          <w:rFonts w:asciiTheme="majorBidi" w:hAnsiTheme="majorBidi" w:cstheme="majorBidi"/>
        </w:rPr>
        <w:t>protection of minors</w:t>
      </w:r>
    </w:p>
    <w:p w:rsidR="00414254" w:rsidRPr="00CA3FA9" w:rsidRDefault="00414254" w:rsidP="00AC092F">
      <w:pPr>
        <w:pStyle w:val="Tiret0"/>
      </w:pPr>
      <w:r w:rsidRPr="00CA3FA9">
        <w:t>the country of origin principle (each provider of audiovisual media services comes under the jurisdiction of one</w:t>
      </w:r>
      <w:r w:rsidRPr="00860896">
        <w:t xml:space="preserve"> </w:t>
      </w:r>
      <w:r w:rsidRPr="00CA3FA9">
        <w:rPr>
          <w:u w:val="single"/>
        </w:rPr>
        <w:t>and only one</w:t>
      </w:r>
      <w:r w:rsidRPr="00CA3FA9">
        <w:t xml:space="preserve"> EU </w:t>
      </w:r>
      <w:r w:rsidR="00225511">
        <w:t>m</w:t>
      </w:r>
      <w:r w:rsidRPr="00CA3FA9">
        <w:t xml:space="preserve">ember </w:t>
      </w:r>
      <w:r w:rsidR="00225511">
        <w:t>s</w:t>
      </w:r>
      <w:r w:rsidRPr="00CA3FA9">
        <w:t>tate) is still a cornerstone of European audiovisual policy</w:t>
      </w:r>
      <w:r w:rsidR="00AC092F">
        <w:t xml:space="preserve"> </w:t>
      </w:r>
      <w:r w:rsidR="00AC092F" w:rsidRPr="00AC092F">
        <w:rPr>
          <w:rFonts w:asciiTheme="majorBidi" w:hAnsiTheme="majorBidi" w:cstheme="majorBidi"/>
        </w:rPr>
        <w:t xml:space="preserve">but some exceptions could be </w:t>
      </w:r>
      <w:r w:rsidR="00AC092F">
        <w:rPr>
          <w:rFonts w:asciiTheme="majorBidi" w:hAnsiTheme="majorBidi" w:cstheme="majorBidi"/>
        </w:rPr>
        <w:t xml:space="preserve">foreseen, </w:t>
      </w:r>
      <w:r w:rsidR="00AC092F" w:rsidRPr="00AC092F">
        <w:rPr>
          <w:rFonts w:asciiTheme="majorBidi" w:hAnsiTheme="majorBidi" w:cstheme="majorBidi"/>
        </w:rPr>
        <w:t>for instance when fundamental values, freedoms and democracy are seriously threatened</w:t>
      </w:r>
    </w:p>
    <w:p w:rsidR="00AC092F" w:rsidRPr="00AC092F" w:rsidRDefault="00414254" w:rsidP="00AC092F">
      <w:pPr>
        <w:pStyle w:val="Tiret0"/>
        <w:rPr>
          <w:rFonts w:asciiTheme="majorBidi" w:hAnsiTheme="majorBidi" w:cstheme="majorBidi"/>
        </w:rPr>
      </w:pPr>
      <w:r w:rsidRPr="00CA3FA9">
        <w:t>however, the procedure to be followed by member states when they are the target of unacceptable content coming from another member state should be streamlined and accelerated, in particular in certain cases of services of non-EU origin licensed in one member state yet targeting the audience of another member state</w:t>
      </w:r>
      <w:r w:rsidR="00AC092F">
        <w:t xml:space="preserve">. </w:t>
      </w:r>
      <w:r w:rsidR="00AC092F" w:rsidRPr="00AC092F">
        <w:rPr>
          <w:rFonts w:asciiTheme="majorBidi" w:hAnsiTheme="majorBidi" w:cstheme="majorBidi"/>
        </w:rPr>
        <w:t xml:space="preserve">Effective cooperation among audiovisual regulatory authorities is </w:t>
      </w:r>
      <w:r w:rsidR="00AC092F">
        <w:rPr>
          <w:rFonts w:asciiTheme="majorBidi" w:hAnsiTheme="majorBidi" w:cstheme="majorBidi"/>
        </w:rPr>
        <w:t xml:space="preserve">crucial </w:t>
      </w:r>
      <w:r w:rsidR="00AC092F" w:rsidRPr="00AC092F">
        <w:rPr>
          <w:rFonts w:asciiTheme="majorBidi" w:hAnsiTheme="majorBidi" w:cstheme="majorBidi"/>
        </w:rPr>
        <w:t>in this respect.</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 xml:space="preserve">the freedoms guaranteed by the AVMS directive must not be misused to disseminate hate speech, propaganda </w:t>
      </w:r>
      <w:r w:rsidRPr="00CA3FA9">
        <w:t>or</w:t>
      </w:r>
      <w:r w:rsidRPr="00CA3FA9">
        <w:rPr>
          <w:rFonts w:asciiTheme="majorBidi" w:hAnsiTheme="majorBidi" w:cstheme="majorBidi"/>
        </w:rPr>
        <w:t xml:space="preserve"> disinformation in order to ensure public interest objectives of security and stability</w:t>
      </w:r>
    </w:p>
    <w:p w:rsidR="00414254" w:rsidRDefault="00D0087C" w:rsidP="00225511">
      <w:pPr>
        <w:rPr>
          <w:rFonts w:asciiTheme="majorBidi" w:hAnsiTheme="majorBidi" w:cstheme="majorBidi"/>
        </w:rPr>
      </w:pPr>
      <w:r>
        <w:rPr>
          <w:rFonts w:asciiTheme="majorBidi" w:hAnsiTheme="majorBidi" w:cstheme="majorBidi"/>
        </w:rPr>
        <w:br w:type="page"/>
      </w:r>
      <w:r w:rsidR="00414254" w:rsidRPr="00CA3FA9">
        <w:rPr>
          <w:rFonts w:asciiTheme="majorBidi" w:hAnsiTheme="majorBidi" w:cstheme="majorBidi"/>
        </w:rPr>
        <w:lastRenderedPageBreak/>
        <w:t xml:space="preserve">The Commission indicated that its REFIT exercise on the AVMS </w:t>
      </w:r>
      <w:r w:rsidR="00225511">
        <w:rPr>
          <w:rFonts w:asciiTheme="majorBidi" w:hAnsiTheme="majorBidi" w:cstheme="majorBidi"/>
        </w:rPr>
        <w:t>d</w:t>
      </w:r>
      <w:r w:rsidR="00414254" w:rsidRPr="00CA3FA9">
        <w:rPr>
          <w:rFonts w:asciiTheme="majorBidi" w:hAnsiTheme="majorBidi" w:cstheme="majorBidi"/>
        </w:rPr>
        <w:t>irective should be completed by the end of 2015 with a view to adopting a legislative proposal in the course of 2016.</w:t>
      </w:r>
    </w:p>
    <w:p w:rsidR="00AC092F" w:rsidRPr="00CA3FA9" w:rsidRDefault="00AC092F" w:rsidP="00AC092F">
      <w:pPr>
        <w:rPr>
          <w:rFonts w:asciiTheme="majorBidi" w:hAnsiTheme="majorBidi" w:cstheme="majorBidi"/>
        </w:rPr>
      </w:pPr>
      <w:r w:rsidRPr="00CA3FA9">
        <w:rPr>
          <w:rFonts w:asciiTheme="majorBidi" w:hAnsiTheme="majorBidi" w:cstheme="majorBidi"/>
        </w:rPr>
        <w:t xml:space="preserve">The Presidency </w:t>
      </w:r>
      <w:r>
        <w:rPr>
          <w:rFonts w:asciiTheme="majorBidi" w:hAnsiTheme="majorBidi" w:cstheme="majorBidi"/>
        </w:rPr>
        <w:t>said</w:t>
      </w:r>
      <w:r w:rsidRPr="00CA3FA9">
        <w:rPr>
          <w:rFonts w:asciiTheme="majorBidi" w:hAnsiTheme="majorBidi" w:cstheme="majorBidi"/>
        </w:rPr>
        <w:t xml:space="preserve"> that it w</w:t>
      </w:r>
      <w:r>
        <w:rPr>
          <w:rFonts w:asciiTheme="majorBidi" w:hAnsiTheme="majorBidi" w:cstheme="majorBidi"/>
        </w:rPr>
        <w:t>ould</w:t>
      </w:r>
      <w:r w:rsidRPr="00CA3FA9">
        <w:rPr>
          <w:rFonts w:asciiTheme="majorBidi" w:hAnsiTheme="majorBidi" w:cstheme="majorBidi"/>
        </w:rPr>
        <w:t xml:space="preserve"> prepare a </w:t>
      </w:r>
      <w:r>
        <w:rPr>
          <w:rFonts w:asciiTheme="majorBidi" w:hAnsiTheme="majorBidi" w:cstheme="majorBidi"/>
        </w:rPr>
        <w:t xml:space="preserve">summary </w:t>
      </w:r>
      <w:r w:rsidRPr="00CA3FA9">
        <w:rPr>
          <w:rFonts w:asciiTheme="majorBidi" w:hAnsiTheme="majorBidi" w:cstheme="majorBidi"/>
        </w:rPr>
        <w:t>of the outcome of today’s Council debate and of the forthcoming Competiti</w:t>
      </w:r>
      <w:r>
        <w:rPr>
          <w:rFonts w:asciiTheme="majorBidi" w:hAnsiTheme="majorBidi" w:cstheme="majorBidi"/>
        </w:rPr>
        <w:t>veness</w:t>
      </w:r>
      <w:r w:rsidRPr="00CA3FA9">
        <w:rPr>
          <w:rFonts w:asciiTheme="majorBidi" w:hAnsiTheme="majorBidi" w:cstheme="majorBidi"/>
        </w:rPr>
        <w:t xml:space="preserve"> and Telecom</w:t>
      </w:r>
      <w:r>
        <w:rPr>
          <w:rFonts w:asciiTheme="majorBidi" w:hAnsiTheme="majorBidi" w:cstheme="majorBidi"/>
        </w:rPr>
        <w:t>munications</w:t>
      </w:r>
      <w:r w:rsidRPr="00CA3FA9">
        <w:rPr>
          <w:rFonts w:asciiTheme="majorBidi" w:hAnsiTheme="majorBidi" w:cstheme="majorBidi"/>
        </w:rPr>
        <w:t xml:space="preserve"> Councils</w:t>
      </w:r>
      <w:r>
        <w:rPr>
          <w:rFonts w:asciiTheme="majorBidi" w:hAnsiTheme="majorBidi" w:cstheme="majorBidi"/>
        </w:rPr>
        <w:t>'</w:t>
      </w:r>
      <w:r w:rsidRPr="00CA3FA9">
        <w:rPr>
          <w:rFonts w:asciiTheme="majorBidi" w:hAnsiTheme="majorBidi" w:cstheme="majorBidi"/>
        </w:rPr>
        <w:t xml:space="preserve"> debates on the subject. The text will be forwarded to the June European Council</w:t>
      </w:r>
      <w:r w:rsidRPr="00CA3FA9">
        <w:rPr>
          <w:rFonts w:asciiTheme="majorBidi" w:hAnsiTheme="majorBidi" w:cstheme="majorBidi"/>
          <w:b/>
          <w:bCs/>
        </w:rPr>
        <w:t>.</w:t>
      </w:r>
    </w:p>
    <w:p w:rsidR="00414254" w:rsidRPr="00CA3FA9" w:rsidRDefault="00414254" w:rsidP="00414254">
      <w:pPr>
        <w:pStyle w:val="Sub-itemDebated"/>
      </w:pPr>
      <w:bookmarkStart w:id="21" w:name="_Toc421186397"/>
      <w:r w:rsidRPr="00CA3FA9">
        <w:t>Cultural and creative cross-overs</w:t>
      </w:r>
      <w:bookmarkEnd w:id="21"/>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The Council adopted conclusions on </w:t>
      </w:r>
      <w:r w:rsidRPr="00CA3FA9">
        <w:rPr>
          <w:rFonts w:asciiTheme="majorBidi" w:hAnsiTheme="majorBidi" w:cstheme="majorBidi"/>
          <w:b/>
          <w:bCs/>
        </w:rPr>
        <w:t xml:space="preserve">cultural and creative cross-overs to stimulate innovation, economic sustainability and social inclusion </w:t>
      </w:r>
      <w:r w:rsidRPr="00CA3FA9">
        <w:rPr>
          <w:rFonts w:asciiTheme="majorBidi" w:hAnsiTheme="majorBidi" w:cstheme="majorBidi"/>
          <w:i/>
          <w:iCs/>
        </w:rPr>
        <w:t>(</w:t>
      </w:r>
      <w:hyperlink r:id="rId29" w:tooltip="http://data.consilium.europa.eu/doc/document/ST-8346-2015-INIT/en/pdf" w:history="1">
        <w:r w:rsidRPr="00CA3FA9">
          <w:rPr>
            <w:rStyle w:val="Hyperlink"/>
            <w:rFonts w:asciiTheme="majorBidi" w:hAnsiTheme="majorBidi" w:cstheme="majorBidi"/>
            <w:i/>
            <w:iCs/>
          </w:rPr>
          <w:t>8346/15</w:t>
        </w:r>
      </w:hyperlink>
      <w:r w:rsidRPr="00CA3FA9">
        <w:rPr>
          <w:rFonts w:asciiTheme="majorBidi" w:hAnsiTheme="majorBidi" w:cstheme="majorBidi"/>
          <w:i/>
          <w:iCs/>
        </w:rPr>
        <w:t xml:space="preserve">), </w:t>
      </w:r>
      <w:r w:rsidRPr="00CA3FA9">
        <w:rPr>
          <w:rFonts w:asciiTheme="majorBidi" w:hAnsiTheme="majorBidi" w:cstheme="majorBidi"/>
        </w:rPr>
        <w:t>which highlight how culture and artistic creativity can trigger innovation and enhance competitiveness in industry and business, as well as in education, health care and the environment.</w:t>
      </w:r>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The cultural and creative sectors (CCS) cover a broad range of sectors from </w:t>
      </w:r>
      <w:r w:rsidR="001861D9">
        <w:rPr>
          <w:rFonts w:asciiTheme="majorBidi" w:hAnsiTheme="majorBidi" w:cstheme="majorBidi"/>
        </w:rPr>
        <w:t xml:space="preserve">the </w:t>
      </w:r>
      <w:r w:rsidRPr="00CA3FA9">
        <w:rPr>
          <w:rFonts w:asciiTheme="majorBidi" w:hAnsiTheme="majorBidi" w:cstheme="majorBidi"/>
        </w:rPr>
        <w:t>arts, crafts, architecture, heritage, libraries and publishing to film, television, games, music, advertising and design.</w:t>
      </w:r>
    </w:p>
    <w:p w:rsidR="00414254" w:rsidRPr="00CA3FA9" w:rsidRDefault="00414254" w:rsidP="00414254">
      <w:pPr>
        <w:rPr>
          <w:rFonts w:asciiTheme="majorBidi" w:hAnsiTheme="majorBidi" w:cstheme="majorBidi"/>
        </w:rPr>
      </w:pPr>
      <w:r w:rsidRPr="00CA3FA9">
        <w:rPr>
          <w:rFonts w:asciiTheme="majorBidi" w:hAnsiTheme="majorBidi" w:cstheme="majorBidi"/>
        </w:rPr>
        <w:t>Despite numerous studies undertaken in recent years at both national and EU levels that have demonstrated the significant contribution of these sectors to GDP, job creation and exports, the synergies with other sectors have not yet been fully explored.</w:t>
      </w:r>
    </w:p>
    <w:p w:rsidR="00414254" w:rsidRPr="00CA3FA9" w:rsidRDefault="00414254" w:rsidP="00414254">
      <w:pPr>
        <w:rPr>
          <w:rFonts w:asciiTheme="majorBidi" w:hAnsiTheme="majorBidi" w:cstheme="majorBidi"/>
        </w:rPr>
      </w:pPr>
      <w:r w:rsidRPr="00CA3FA9">
        <w:rPr>
          <w:rFonts w:asciiTheme="majorBidi" w:hAnsiTheme="majorBidi" w:cstheme="majorBidi"/>
        </w:rPr>
        <w:t>The conclusions call on member states to create favourable conditions to promote cultural and creative entrepreneurship, including by using innovative financial instruments.</w:t>
      </w:r>
    </w:p>
    <w:p w:rsidR="00414254" w:rsidRPr="00CA3FA9" w:rsidRDefault="00414254" w:rsidP="00414254">
      <w:pPr>
        <w:rPr>
          <w:rFonts w:asciiTheme="majorBidi" w:hAnsiTheme="majorBidi" w:cstheme="majorBidi"/>
        </w:rPr>
      </w:pPr>
      <w:r w:rsidRPr="00CA3FA9">
        <w:rPr>
          <w:rFonts w:asciiTheme="majorBidi" w:hAnsiTheme="majorBidi" w:cstheme="majorBidi"/>
        </w:rPr>
        <w:t>They also recommend that education should encourage the development of transversal skills such as critical thinking, creativity, entrepreneurship and initiative taking, which are vital in today's labour market.</w:t>
      </w:r>
    </w:p>
    <w:p w:rsidR="00414254" w:rsidRPr="00CA3FA9" w:rsidRDefault="00414254" w:rsidP="00414254">
      <w:pPr>
        <w:rPr>
          <w:rFonts w:asciiTheme="majorBidi" w:hAnsiTheme="majorBidi" w:cstheme="majorBidi"/>
        </w:rPr>
      </w:pPr>
      <w:r w:rsidRPr="00CA3FA9">
        <w:rPr>
          <w:rFonts w:asciiTheme="majorBidi" w:hAnsiTheme="majorBidi" w:cstheme="majorBidi"/>
        </w:rPr>
        <w:t>The Commission is invited to develop a comprehensive industrial strategy that would strengthen competiveness and further growth of the cultural and creative industries.</w:t>
      </w:r>
    </w:p>
    <w:p w:rsidR="00414254" w:rsidRPr="00CA3FA9" w:rsidRDefault="00414254" w:rsidP="00414254">
      <w:pPr>
        <w:pStyle w:val="Sub-itemDebated"/>
      </w:pPr>
      <w:bookmarkStart w:id="22" w:name="_Toc421186398"/>
      <w:r w:rsidRPr="00CA3FA9">
        <w:t>European Capitals of Culture in 2019</w:t>
      </w:r>
      <w:bookmarkEnd w:id="22"/>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The Council adopted a decision designating </w:t>
      </w:r>
      <w:r w:rsidRPr="00CA3FA9">
        <w:rPr>
          <w:rFonts w:asciiTheme="majorBidi" w:hAnsiTheme="majorBidi" w:cstheme="majorBidi"/>
          <w:b/>
          <w:bCs/>
        </w:rPr>
        <w:t>Plovdiv</w:t>
      </w:r>
      <w:r w:rsidRPr="00CA3FA9">
        <w:rPr>
          <w:rFonts w:asciiTheme="majorBidi" w:hAnsiTheme="majorBidi" w:cstheme="majorBidi"/>
        </w:rPr>
        <w:t xml:space="preserve"> (Bulgaria) and </w:t>
      </w:r>
      <w:r w:rsidRPr="00CA3FA9">
        <w:rPr>
          <w:rFonts w:asciiTheme="majorBidi" w:hAnsiTheme="majorBidi" w:cstheme="majorBidi"/>
          <w:b/>
          <w:bCs/>
        </w:rPr>
        <w:t xml:space="preserve">Matera </w:t>
      </w:r>
      <w:r w:rsidRPr="00CA3FA9">
        <w:rPr>
          <w:rFonts w:asciiTheme="majorBidi" w:hAnsiTheme="majorBidi" w:cstheme="majorBidi"/>
        </w:rPr>
        <w:t xml:space="preserve">(Italy) as European Capitals of Culture in 2019 </w:t>
      </w:r>
      <w:r w:rsidRPr="00CA3FA9">
        <w:rPr>
          <w:rFonts w:asciiTheme="majorBidi" w:hAnsiTheme="majorBidi" w:cstheme="majorBidi"/>
          <w:i/>
          <w:iCs/>
        </w:rPr>
        <w:t>(</w:t>
      </w:r>
      <w:hyperlink r:id="rId30" w:tooltip="http://data.consilium.europa.eu/doc/document/ST-8103-2015-INIT/en/pdf" w:history="1">
        <w:r w:rsidRPr="00CA3FA9">
          <w:rPr>
            <w:rStyle w:val="Hyperlink"/>
            <w:rFonts w:asciiTheme="majorBidi" w:hAnsiTheme="majorBidi" w:cstheme="majorBidi"/>
            <w:i/>
            <w:iCs/>
          </w:rPr>
          <w:t>8103/15</w:t>
        </w:r>
      </w:hyperlink>
      <w:r w:rsidRPr="00CA3FA9">
        <w:rPr>
          <w:rFonts w:asciiTheme="majorBidi" w:hAnsiTheme="majorBidi" w:cstheme="majorBidi"/>
          <w:i/>
          <w:iCs/>
        </w:rPr>
        <w:t>)</w:t>
      </w:r>
      <w:r w:rsidRPr="00CA3FA9">
        <w:rPr>
          <w:rFonts w:asciiTheme="majorBidi" w:hAnsiTheme="majorBidi" w:cstheme="majorBidi"/>
        </w:rPr>
        <w:t>, following a recommendation from the Commission which is based on the reports of the selection panel and the positive opinion of the European Parliament.</w:t>
      </w:r>
    </w:p>
    <w:p w:rsidR="00414254" w:rsidRDefault="00D0087C" w:rsidP="00A01503">
      <w:pPr>
        <w:rPr>
          <w:rFonts w:asciiTheme="majorBidi" w:hAnsiTheme="majorBidi" w:cstheme="majorBidi"/>
        </w:rPr>
      </w:pPr>
      <w:r>
        <w:rPr>
          <w:rFonts w:asciiTheme="majorBidi" w:hAnsiTheme="majorBidi" w:cstheme="majorBidi"/>
        </w:rPr>
        <w:br w:type="page"/>
      </w:r>
      <w:r w:rsidR="00414254" w:rsidRPr="00CA3FA9">
        <w:rPr>
          <w:rFonts w:asciiTheme="majorBidi" w:hAnsiTheme="majorBidi" w:cstheme="majorBidi"/>
        </w:rPr>
        <w:lastRenderedPageBreak/>
        <w:t xml:space="preserve">The European Capitals of Culture initiative was launched in 1985 and over 40 cities have been designated since then. It has become one of the </w:t>
      </w:r>
      <w:r w:rsidR="00A01503">
        <w:rPr>
          <w:rFonts w:asciiTheme="majorBidi" w:hAnsiTheme="majorBidi" w:cstheme="majorBidi"/>
        </w:rPr>
        <w:t>better</w:t>
      </w:r>
      <w:r w:rsidR="00414254" w:rsidRPr="00CA3FA9">
        <w:rPr>
          <w:rFonts w:asciiTheme="majorBidi" w:hAnsiTheme="majorBidi" w:cstheme="majorBidi"/>
        </w:rPr>
        <w:t>-known European initiatives. Its aim is to promote greater mutual understanding between European citizens and strengthen a feeling of European citizenship, simultaneously highlighting the richness of European cultures and both their diversity and their shared features.</w:t>
      </w:r>
    </w:p>
    <w:p w:rsidR="00A6110D" w:rsidRPr="00CA3FA9" w:rsidRDefault="00A6110D" w:rsidP="00A01503">
      <w:pPr>
        <w:rPr>
          <w:rFonts w:asciiTheme="majorBidi" w:hAnsiTheme="majorBidi" w:cstheme="majorBidi"/>
        </w:rPr>
      </w:pPr>
      <w:r w:rsidRPr="00A6110D">
        <w:rPr>
          <w:rFonts w:asciiTheme="majorBidi" w:hAnsiTheme="majorBidi" w:cstheme="majorBidi"/>
        </w:rPr>
        <w:t>The initiative had proved to have a positive impact in terms of media response, local development, tourism and the recognition by inhabitants of the importance of their selected city.</w:t>
      </w:r>
    </w:p>
    <w:p w:rsidR="00414254" w:rsidRPr="00CA3FA9" w:rsidRDefault="00414254" w:rsidP="00A6110D">
      <w:pPr>
        <w:rPr>
          <w:rFonts w:asciiTheme="majorBidi" w:hAnsiTheme="majorBidi" w:cstheme="majorBidi"/>
        </w:rPr>
      </w:pPr>
      <w:r w:rsidRPr="00CA3FA9">
        <w:rPr>
          <w:rFonts w:asciiTheme="majorBidi" w:hAnsiTheme="majorBidi" w:cstheme="majorBidi"/>
        </w:rPr>
        <w:t xml:space="preserve">The Bulgarian and Italian ministers welcomed the </w:t>
      </w:r>
      <w:r w:rsidR="00A6110D">
        <w:rPr>
          <w:rFonts w:asciiTheme="majorBidi" w:hAnsiTheme="majorBidi" w:cstheme="majorBidi"/>
        </w:rPr>
        <w:t>desig</w:t>
      </w:r>
      <w:r w:rsidRPr="00CA3FA9">
        <w:rPr>
          <w:rFonts w:asciiTheme="majorBidi" w:hAnsiTheme="majorBidi" w:cstheme="majorBidi"/>
        </w:rPr>
        <w:t xml:space="preserve">nation and outlined briefly some of the features of their </w:t>
      </w:r>
      <w:r w:rsidR="00A6110D">
        <w:rPr>
          <w:rFonts w:asciiTheme="majorBidi" w:hAnsiTheme="majorBidi" w:cstheme="majorBidi"/>
        </w:rPr>
        <w:t xml:space="preserve">respective </w:t>
      </w:r>
      <w:r w:rsidRPr="00CA3FA9">
        <w:rPr>
          <w:rFonts w:asciiTheme="majorBidi" w:hAnsiTheme="majorBidi" w:cstheme="majorBidi"/>
        </w:rPr>
        <w:t>cities.</w:t>
      </w:r>
    </w:p>
    <w:p w:rsidR="00414254" w:rsidRPr="00CA3FA9" w:rsidRDefault="00414254" w:rsidP="00414254">
      <w:pPr>
        <w:pStyle w:val="Sub-itemDebated"/>
      </w:pPr>
      <w:bookmarkStart w:id="23" w:name="_Toc421186399"/>
      <w:r w:rsidRPr="00CA3FA9">
        <w:t>Other business</w:t>
      </w:r>
      <w:bookmarkEnd w:id="23"/>
    </w:p>
    <w:p w:rsidR="00414254" w:rsidRPr="00CA3FA9" w:rsidRDefault="00414254" w:rsidP="00A6110D">
      <w:pPr>
        <w:pStyle w:val="Sub-sub-itemDebated"/>
      </w:pPr>
      <w:bookmarkStart w:id="24" w:name="_Toc421186400"/>
      <w:r w:rsidRPr="00CA3FA9">
        <w:t>Destruction of cultural sites perpetrated by ISI</w:t>
      </w:r>
      <w:r w:rsidR="00A6110D">
        <w:t>L</w:t>
      </w:r>
      <w:r w:rsidRPr="00CA3FA9">
        <w:t>/Da'esh</w:t>
      </w:r>
      <w:bookmarkEnd w:id="24"/>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The Council was updated by the Commission on culture and cultural heritage related aspects of the </w:t>
      </w:r>
      <w:hyperlink r:id="rId31" w:history="1">
        <w:r w:rsidRPr="00CA3FA9">
          <w:rPr>
            <w:rStyle w:val="Hyperlink"/>
            <w:rFonts w:asciiTheme="majorBidi" w:hAnsiTheme="majorBidi" w:cstheme="majorBidi"/>
          </w:rPr>
          <w:t>Joint communication on elements for an EU regional strategy for Syria and Iraq as well as the Da'esh threat</w:t>
        </w:r>
      </w:hyperlink>
      <w:r w:rsidRPr="00CA3FA9">
        <w:rPr>
          <w:rStyle w:val="Hyperlink"/>
          <w:rFonts w:asciiTheme="majorBidi" w:hAnsiTheme="majorBidi" w:cstheme="majorBidi"/>
        </w:rPr>
        <w:t xml:space="preserve"> </w:t>
      </w:r>
      <w:r w:rsidRPr="00CA3FA9">
        <w:rPr>
          <w:rFonts w:asciiTheme="majorBidi" w:hAnsiTheme="majorBidi" w:cstheme="majorBidi"/>
        </w:rPr>
        <w:t>.</w:t>
      </w:r>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Da'esh is destroying cultural sites in occupied territories for ideological reasons and at the same time it trades cultural </w:t>
      </w:r>
      <w:r w:rsidR="00A6110D">
        <w:rPr>
          <w:rFonts w:asciiTheme="majorBidi" w:hAnsiTheme="majorBidi" w:cstheme="majorBidi"/>
        </w:rPr>
        <w:t xml:space="preserve">and </w:t>
      </w:r>
      <w:r w:rsidRPr="00CA3FA9">
        <w:rPr>
          <w:rFonts w:asciiTheme="majorBidi" w:hAnsiTheme="majorBidi" w:cstheme="majorBidi"/>
        </w:rPr>
        <w:t>archaeological objects in order to finance its terrorist activities.</w:t>
      </w:r>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The Commission included in its </w:t>
      </w:r>
      <w:r w:rsidRPr="00CA3FA9">
        <w:rPr>
          <w:rFonts w:asciiTheme="majorBidi" w:hAnsiTheme="majorBidi" w:cstheme="majorBidi"/>
          <w:u w:val="single"/>
        </w:rPr>
        <w:t>European Agenda on Security</w:t>
      </w:r>
      <w:r w:rsidRPr="00CA3FA9">
        <w:rPr>
          <w:rFonts w:asciiTheme="majorBidi" w:hAnsiTheme="majorBidi" w:cstheme="majorBidi"/>
        </w:rPr>
        <w:t xml:space="preserve"> (</w:t>
      </w:r>
      <w:hyperlink r:id="rId32" w:tooltip="http://data.consilium.europa.eu/doc/document/ST-8293-2015-INIT/en/pdf" w:history="1">
        <w:r w:rsidRPr="00CA3FA9">
          <w:rPr>
            <w:rStyle w:val="Hyperlink"/>
            <w:rFonts w:asciiTheme="majorBidi" w:hAnsiTheme="majorBidi" w:cstheme="majorBidi"/>
            <w:i/>
            <w:iCs/>
          </w:rPr>
          <w:t>8293/15</w:t>
        </w:r>
      </w:hyperlink>
      <w:r w:rsidRPr="00CA3FA9">
        <w:rPr>
          <w:rFonts w:asciiTheme="majorBidi" w:hAnsiTheme="majorBidi" w:cstheme="majorBidi"/>
        </w:rPr>
        <w:t>) a reference to illicit trafficking of cultural objects as an area where additional measures might be needed to prevent terrorist financing. Europol has also set-up a specific task force to deal with the trafficking of cultural objects.</w:t>
      </w:r>
    </w:p>
    <w:p w:rsidR="00414254" w:rsidRPr="00CA3FA9" w:rsidRDefault="00414254" w:rsidP="00A01503">
      <w:pPr>
        <w:rPr>
          <w:rFonts w:asciiTheme="majorBidi" w:hAnsiTheme="majorBidi" w:cstheme="majorBidi"/>
        </w:rPr>
      </w:pPr>
      <w:r w:rsidRPr="00CA3FA9">
        <w:rPr>
          <w:rFonts w:asciiTheme="majorBidi" w:hAnsiTheme="majorBidi" w:cstheme="majorBidi"/>
        </w:rPr>
        <w:t xml:space="preserve">Member states and the Commission unanimously condemned these barbaric acts against a </w:t>
      </w:r>
      <w:r w:rsidR="003C4DB9">
        <w:rPr>
          <w:rFonts w:asciiTheme="majorBidi" w:hAnsiTheme="majorBidi" w:cstheme="majorBidi"/>
        </w:rPr>
        <w:t xml:space="preserve">cultural </w:t>
      </w:r>
      <w:r w:rsidRPr="00CA3FA9">
        <w:rPr>
          <w:rFonts w:asciiTheme="majorBidi" w:hAnsiTheme="majorBidi" w:cstheme="majorBidi"/>
        </w:rPr>
        <w:t>heritage that belongs to all humanity and signal</w:t>
      </w:r>
      <w:r w:rsidR="00A01503">
        <w:rPr>
          <w:rFonts w:asciiTheme="majorBidi" w:hAnsiTheme="majorBidi" w:cstheme="majorBidi"/>
        </w:rPr>
        <w:t>l</w:t>
      </w:r>
      <w:r w:rsidRPr="00CA3FA9">
        <w:rPr>
          <w:rFonts w:asciiTheme="majorBidi" w:hAnsiTheme="majorBidi" w:cstheme="majorBidi"/>
        </w:rPr>
        <w:t>ed that they are committed to do</w:t>
      </w:r>
      <w:r w:rsidR="00A01503">
        <w:rPr>
          <w:rFonts w:asciiTheme="majorBidi" w:hAnsiTheme="majorBidi" w:cstheme="majorBidi"/>
        </w:rPr>
        <w:t>ing</w:t>
      </w:r>
      <w:r w:rsidRPr="00CA3FA9">
        <w:rPr>
          <w:rFonts w:asciiTheme="majorBidi" w:hAnsiTheme="majorBidi" w:cstheme="majorBidi"/>
        </w:rPr>
        <w:t xml:space="preserve"> all they can to stop these </w:t>
      </w:r>
      <w:r w:rsidR="00A01503">
        <w:rPr>
          <w:rFonts w:asciiTheme="majorBidi" w:hAnsiTheme="majorBidi" w:cstheme="majorBidi"/>
        </w:rPr>
        <w:t xml:space="preserve">acts of </w:t>
      </w:r>
      <w:r w:rsidRPr="00CA3FA9">
        <w:rPr>
          <w:rFonts w:asciiTheme="majorBidi" w:hAnsiTheme="majorBidi" w:cstheme="majorBidi"/>
        </w:rPr>
        <w:t>criminal violence, also in cooperation with other international organisations such as the UNESCO.</w:t>
      </w:r>
    </w:p>
    <w:p w:rsidR="00414254" w:rsidRPr="00CA3FA9" w:rsidRDefault="00D0087C" w:rsidP="00A01503">
      <w:pPr>
        <w:pStyle w:val="Sub-sub-itemDebated"/>
        <w:rPr>
          <w:rFonts w:asciiTheme="majorBidi" w:hAnsiTheme="majorBidi" w:cstheme="majorBidi"/>
          <w:i w:val="0"/>
          <w:iCs/>
        </w:rPr>
      </w:pPr>
      <w:r>
        <w:rPr>
          <w:rFonts w:asciiTheme="majorBidi" w:hAnsiTheme="majorBidi" w:cstheme="majorBidi"/>
          <w:bCs/>
        </w:rPr>
        <w:br w:type="page"/>
      </w:r>
      <w:bookmarkStart w:id="25" w:name="_Toc421186401"/>
      <w:r w:rsidR="00414254" w:rsidRPr="00CA3FA9">
        <w:rPr>
          <w:rFonts w:asciiTheme="majorBidi" w:hAnsiTheme="majorBidi" w:cstheme="majorBidi"/>
          <w:bCs/>
        </w:rPr>
        <w:lastRenderedPageBreak/>
        <w:t>Financing of small</w:t>
      </w:r>
      <w:r w:rsidR="00A01503">
        <w:rPr>
          <w:rFonts w:asciiTheme="majorBidi" w:hAnsiTheme="majorBidi" w:cstheme="majorBidi"/>
          <w:bCs/>
        </w:rPr>
        <w:t>-</w:t>
      </w:r>
      <w:r w:rsidR="00414254" w:rsidRPr="00CA3FA9">
        <w:rPr>
          <w:rFonts w:asciiTheme="majorBidi" w:hAnsiTheme="majorBidi" w:cstheme="majorBidi"/>
          <w:bCs/>
        </w:rPr>
        <w:t xml:space="preserve">scale </w:t>
      </w:r>
      <w:r w:rsidR="00414254" w:rsidRPr="00CA3FA9">
        <w:t>cultural</w:t>
      </w:r>
      <w:r w:rsidR="00414254" w:rsidRPr="00CA3FA9">
        <w:rPr>
          <w:rFonts w:asciiTheme="majorBidi" w:hAnsiTheme="majorBidi" w:cstheme="majorBidi"/>
          <w:bCs/>
        </w:rPr>
        <w:t xml:space="preserve"> infrastructure projects</w:t>
      </w:r>
      <w:bookmarkEnd w:id="25"/>
    </w:p>
    <w:p w:rsidR="00414254" w:rsidRPr="00CA3FA9" w:rsidRDefault="00414254" w:rsidP="003C4DB9">
      <w:r w:rsidRPr="00CA3FA9">
        <w:t xml:space="preserve">The Council took note of concerns </w:t>
      </w:r>
      <w:r w:rsidR="00A01503">
        <w:t>of</w:t>
      </w:r>
      <w:r w:rsidRPr="00CA3FA9">
        <w:t xml:space="preserve"> the Polish delegation - supported by a large number of member states - regarding the maximum threshold that the Commission has decided to apply to small-scale cultural </w:t>
      </w:r>
      <w:r w:rsidR="003C4DB9">
        <w:t xml:space="preserve">infrastructure </w:t>
      </w:r>
      <w:r w:rsidRPr="00CA3FA9">
        <w:t>financed from the European Regional Development Fund 2014-2020, and its calculation method (</w:t>
      </w:r>
      <w:hyperlink r:id="rId33" w:tooltip="http://data.consilium.europa.eu/doc/document/ST-8561-2015-INIT/en/pdf" w:history="1">
        <w:r w:rsidRPr="00CA3FA9">
          <w:rPr>
            <w:rStyle w:val="Hyperlink"/>
            <w:i/>
            <w:iCs/>
          </w:rPr>
          <w:t>8561/15</w:t>
        </w:r>
      </w:hyperlink>
      <w:r w:rsidRPr="00CA3FA9">
        <w:t>).</w:t>
      </w:r>
    </w:p>
    <w:p w:rsidR="003C4DB9" w:rsidRDefault="00A01503" w:rsidP="003C4DB9">
      <w:r>
        <w:t>The Commission</w:t>
      </w:r>
      <w:r w:rsidR="00414254" w:rsidRPr="00CA3FA9">
        <w:t xml:space="preserve"> recalled that </w:t>
      </w:r>
      <w:r w:rsidR="003C4DB9" w:rsidRPr="003C4DB9">
        <w:t>only</w:t>
      </w:r>
      <w:r w:rsidR="003C4DB9">
        <w:t xml:space="preserve"> </w:t>
      </w:r>
      <w:r w:rsidR="003C4DB9" w:rsidRPr="003C4DB9">
        <w:t xml:space="preserve">small- scale cultural and tourism infrastructure can be supported </w:t>
      </w:r>
      <w:r w:rsidR="003C4DB9">
        <w:t xml:space="preserve">under </w:t>
      </w:r>
      <w:r w:rsidR="003C4DB9" w:rsidRPr="003C4DB9">
        <w:t xml:space="preserve">the ERDF since </w:t>
      </w:r>
      <w:r w:rsidR="003C4DB9">
        <w:t xml:space="preserve">these projects </w:t>
      </w:r>
      <w:r w:rsidR="003C4DB9" w:rsidRPr="003C4DB9">
        <w:t xml:space="preserve">proved having a greater impact </w:t>
      </w:r>
      <w:r w:rsidR="003C4DB9">
        <w:t xml:space="preserve">in local economy </w:t>
      </w:r>
      <w:r w:rsidR="003C4DB9" w:rsidRPr="003C4DB9">
        <w:t>than isolated larger projects.</w:t>
      </w:r>
    </w:p>
    <w:p w:rsidR="003C4DB9" w:rsidRDefault="003C4DB9" w:rsidP="003C4DB9">
      <w:r>
        <w:t xml:space="preserve">The </w:t>
      </w:r>
      <w:r w:rsidRPr="003C4DB9">
        <w:t>Commission defended the threshold as being reasonable to meet the criterion of "small scale</w:t>
      </w:r>
      <w:r>
        <w:t>"</w:t>
      </w:r>
      <w:r w:rsidRPr="003C4DB9">
        <w:t xml:space="preserve">. However, </w:t>
      </w:r>
      <w:r>
        <w:t>i</w:t>
      </w:r>
      <w:r w:rsidRPr="003C4DB9">
        <w:t xml:space="preserve">t also pointed </w:t>
      </w:r>
      <w:r>
        <w:t xml:space="preserve">out </w:t>
      </w:r>
      <w:r w:rsidRPr="003C4DB9">
        <w:t>the flexibility that member states have in financing projects under the ERDF regulation</w:t>
      </w:r>
    </w:p>
    <w:p w:rsidR="00414254" w:rsidRPr="00CA3FA9" w:rsidRDefault="00414254" w:rsidP="00414254">
      <w:pPr>
        <w:pStyle w:val="Sub-sub-itemDebated"/>
        <w:rPr>
          <w:rFonts w:asciiTheme="majorBidi" w:hAnsiTheme="majorBidi" w:cstheme="majorBidi"/>
          <w:b w:val="0"/>
          <w:bCs/>
        </w:rPr>
      </w:pPr>
      <w:bookmarkStart w:id="26" w:name="_Toc421186402"/>
      <w:r w:rsidRPr="00CA3FA9">
        <w:rPr>
          <w:rFonts w:asciiTheme="majorBidi" w:hAnsiTheme="majorBidi" w:cstheme="majorBidi"/>
          <w:bCs/>
        </w:rPr>
        <w:t xml:space="preserve">Council conclusions on </w:t>
      </w:r>
      <w:r w:rsidRPr="00CA3FA9">
        <w:t>cultural</w:t>
      </w:r>
      <w:r w:rsidRPr="00CA3FA9">
        <w:rPr>
          <w:rFonts w:asciiTheme="majorBidi" w:hAnsiTheme="majorBidi" w:cstheme="majorBidi"/>
          <w:bCs/>
        </w:rPr>
        <w:t xml:space="preserve"> governance</w:t>
      </w:r>
      <w:bookmarkEnd w:id="26"/>
    </w:p>
    <w:p w:rsidR="00414254" w:rsidRPr="00CA3FA9" w:rsidRDefault="00414254" w:rsidP="00414254">
      <w:pPr>
        <w:rPr>
          <w:rStyle w:val="Hyperlink"/>
          <w:rFonts w:asciiTheme="majorBidi" w:hAnsiTheme="majorBidi" w:cstheme="majorBidi"/>
          <w:i/>
        </w:rPr>
      </w:pPr>
      <w:r w:rsidRPr="00CA3FA9">
        <w:rPr>
          <w:rFonts w:asciiTheme="majorBidi" w:hAnsiTheme="majorBidi" w:cstheme="majorBidi"/>
        </w:rPr>
        <w:t>The Council took note of information from the Presidency (</w:t>
      </w:r>
      <w:hyperlink r:id="rId34" w:tooltip="http://data.consilium.europa.eu/doc/document/ST-8489-2015-INIT/en/pdf" w:history="1">
        <w:r w:rsidRPr="00CA3FA9">
          <w:rPr>
            <w:rStyle w:val="Hyperlink"/>
            <w:rFonts w:asciiTheme="majorBidi" w:hAnsiTheme="majorBidi" w:cstheme="majorBidi"/>
            <w:i/>
            <w:iCs/>
          </w:rPr>
          <w:t>8489/15</w:t>
        </w:r>
      </w:hyperlink>
      <w:r w:rsidRPr="00CA3FA9">
        <w:rPr>
          <w:rFonts w:asciiTheme="majorBidi" w:hAnsiTheme="majorBidi" w:cstheme="majorBidi"/>
          <w:i/>
          <w:iCs/>
        </w:rPr>
        <w:t xml:space="preserve">) </w:t>
      </w:r>
      <w:r w:rsidRPr="00CA3FA9">
        <w:rPr>
          <w:rFonts w:asciiTheme="majorBidi" w:hAnsiTheme="majorBidi" w:cstheme="majorBidi"/>
        </w:rPr>
        <w:t xml:space="preserve">on the main outcomes of the stocktaking exercise relating to the Council conclusions on cultural governance, adopted in November 2012 </w:t>
      </w:r>
      <w:r w:rsidRPr="00CA3FA9">
        <w:rPr>
          <w:rFonts w:asciiTheme="majorBidi" w:hAnsiTheme="majorBidi" w:cstheme="majorBidi"/>
          <w:i/>
        </w:rPr>
        <w:t>(</w:t>
      </w:r>
      <w:hyperlink r:id="rId35" w:history="1">
        <w:r w:rsidRPr="00CA3FA9">
          <w:rPr>
            <w:rStyle w:val="Hyperlink"/>
            <w:rFonts w:asciiTheme="majorBidi" w:hAnsiTheme="majorBidi" w:cstheme="majorBidi"/>
            <w:i/>
          </w:rPr>
          <w:t>15849/12</w:t>
        </w:r>
      </w:hyperlink>
      <w:r w:rsidRPr="00CA3FA9">
        <w:rPr>
          <w:rFonts w:asciiTheme="majorBidi" w:hAnsiTheme="majorBidi" w:cstheme="majorBidi"/>
          <w:i/>
        </w:rPr>
        <w:t xml:space="preserve">+ </w:t>
      </w:r>
      <w:hyperlink r:id="rId36" w:history="1">
        <w:r w:rsidRPr="00CA3FA9">
          <w:rPr>
            <w:rStyle w:val="Hyperlink"/>
            <w:rFonts w:asciiTheme="majorBidi" w:hAnsiTheme="majorBidi" w:cstheme="majorBidi"/>
            <w:i/>
          </w:rPr>
          <w:t>COR 1</w:t>
        </w:r>
      </w:hyperlink>
      <w:r w:rsidRPr="00CA3FA9">
        <w:rPr>
          <w:rStyle w:val="Hyperlink"/>
          <w:rFonts w:asciiTheme="majorBidi" w:hAnsiTheme="majorBidi" w:cstheme="majorBidi"/>
          <w:i/>
        </w:rPr>
        <w:t>)</w:t>
      </w:r>
    </w:p>
    <w:p w:rsidR="00414254" w:rsidRPr="00CA3FA9" w:rsidRDefault="00414254" w:rsidP="00414254">
      <w:pPr>
        <w:pStyle w:val="Sub-sub-itemDebated"/>
        <w:rPr>
          <w:rFonts w:asciiTheme="majorBidi" w:hAnsiTheme="majorBidi" w:cstheme="majorBidi"/>
          <w:b w:val="0"/>
          <w:bCs/>
        </w:rPr>
      </w:pPr>
      <w:bookmarkStart w:id="27" w:name="_Toc421186403"/>
      <w:r w:rsidRPr="00CA3FA9">
        <w:rPr>
          <w:rFonts w:asciiTheme="majorBidi" w:hAnsiTheme="majorBidi" w:cstheme="majorBidi"/>
          <w:bCs/>
        </w:rPr>
        <w:t>Work programme of the incoming presidency</w:t>
      </w:r>
      <w:bookmarkEnd w:id="27"/>
    </w:p>
    <w:p w:rsidR="00414254" w:rsidRPr="00CA3FA9" w:rsidRDefault="00414254" w:rsidP="00414254">
      <w:pPr>
        <w:jc w:val="both"/>
        <w:rPr>
          <w:rFonts w:asciiTheme="majorBidi" w:hAnsiTheme="majorBidi" w:cstheme="majorBidi"/>
        </w:rPr>
      </w:pPr>
      <w:r w:rsidRPr="00CA3FA9">
        <w:rPr>
          <w:rFonts w:asciiTheme="majorBidi" w:hAnsiTheme="majorBidi" w:cstheme="majorBidi"/>
        </w:rPr>
        <w:t>The Council took note of information from the Luxembourg delegation concerning its main priorities in the field of culture for the coming six months:</w:t>
      </w:r>
    </w:p>
    <w:p w:rsidR="00414254" w:rsidRPr="00CA3FA9" w:rsidRDefault="00A01503" w:rsidP="00A01503">
      <w:pPr>
        <w:pStyle w:val="Tiret0"/>
      </w:pPr>
      <w:r>
        <w:t>c</w:t>
      </w:r>
      <w:r w:rsidR="00414254" w:rsidRPr="00CA3FA9">
        <w:t>ross</w:t>
      </w:r>
      <w:r>
        <w:t>-</w:t>
      </w:r>
      <w:r w:rsidR="00414254" w:rsidRPr="00CA3FA9">
        <w:t>sectoral cooperation on cultural issues</w:t>
      </w:r>
    </w:p>
    <w:p w:rsidR="00414254" w:rsidRPr="00CA3FA9" w:rsidRDefault="00A01503" w:rsidP="003C4DB9">
      <w:pPr>
        <w:pStyle w:val="Tiret0"/>
      </w:pPr>
      <w:r>
        <w:t>c</w:t>
      </w:r>
      <w:r w:rsidR="00414254" w:rsidRPr="00CA3FA9">
        <w:t xml:space="preserve">ulture in European Union </w:t>
      </w:r>
      <w:r w:rsidR="003C4DB9">
        <w:t>exter</w:t>
      </w:r>
      <w:r w:rsidR="00414254" w:rsidRPr="00CA3FA9">
        <w:t>nal relations, in particular concerning development</w:t>
      </w:r>
      <w:r>
        <w:t xml:space="preserve"> cooperation</w:t>
      </w:r>
    </w:p>
    <w:p w:rsidR="00414254" w:rsidRPr="00CA3FA9" w:rsidRDefault="00414254" w:rsidP="00414254">
      <w:pPr>
        <w:pStyle w:val="ItemDebated"/>
      </w:pPr>
      <w:bookmarkStart w:id="28" w:name="_Toc421186404"/>
      <w:r w:rsidRPr="00CA3FA9">
        <w:t>SPORT</w:t>
      </w:r>
      <w:bookmarkEnd w:id="28"/>
    </w:p>
    <w:p w:rsidR="00414254" w:rsidRPr="00CA3FA9" w:rsidRDefault="00414254" w:rsidP="00414254">
      <w:pPr>
        <w:pStyle w:val="Sub-itemDebated"/>
      </w:pPr>
      <w:bookmarkStart w:id="29" w:name="_Toc421186405"/>
      <w:r w:rsidRPr="00CA3FA9">
        <w:t>Role of grassroots sport</w:t>
      </w:r>
      <w:bookmarkEnd w:id="29"/>
    </w:p>
    <w:p w:rsidR="00414254" w:rsidRPr="00CA3FA9" w:rsidRDefault="00414254" w:rsidP="00414254">
      <w:pPr>
        <w:rPr>
          <w:rFonts w:asciiTheme="majorBidi" w:hAnsiTheme="majorBidi" w:cstheme="majorBidi"/>
          <w:i/>
          <w:iCs/>
        </w:rPr>
      </w:pPr>
      <w:r w:rsidRPr="00CA3FA9">
        <w:rPr>
          <w:rFonts w:asciiTheme="majorBidi" w:hAnsiTheme="majorBidi" w:cstheme="majorBidi"/>
        </w:rPr>
        <w:t xml:space="preserve">The Council adopted conclusions on </w:t>
      </w:r>
      <w:r w:rsidRPr="00CA3FA9">
        <w:rPr>
          <w:rFonts w:asciiTheme="majorBidi" w:hAnsiTheme="majorBidi" w:cstheme="majorBidi"/>
          <w:b/>
          <w:bCs/>
        </w:rPr>
        <w:t>maximising the role of grassroots sport in developing transversal skills, especially among young people</w:t>
      </w:r>
      <w:r w:rsidRPr="00CA3FA9">
        <w:rPr>
          <w:rFonts w:asciiTheme="majorBidi" w:hAnsiTheme="majorBidi" w:cstheme="majorBidi"/>
        </w:rPr>
        <w:t xml:space="preserve"> </w:t>
      </w:r>
      <w:r w:rsidRPr="00CA3FA9">
        <w:rPr>
          <w:rFonts w:asciiTheme="majorBidi" w:hAnsiTheme="majorBidi" w:cstheme="majorBidi"/>
          <w:i/>
          <w:iCs/>
        </w:rPr>
        <w:t>(</w:t>
      </w:r>
      <w:hyperlink r:id="rId37" w:tooltip="http://data.consilium.europa.eu/doc/document/ST-7875-2015-INIT/en/pdf" w:history="1">
        <w:r w:rsidRPr="00CA3FA9">
          <w:rPr>
            <w:rStyle w:val="Hyperlink"/>
            <w:rFonts w:asciiTheme="majorBidi" w:hAnsiTheme="majorBidi" w:cstheme="majorBidi"/>
            <w:i/>
            <w:iCs/>
          </w:rPr>
          <w:t>7875/15</w:t>
        </w:r>
      </w:hyperlink>
      <w:r w:rsidRPr="00CA3FA9">
        <w:rPr>
          <w:rFonts w:asciiTheme="majorBidi" w:hAnsiTheme="majorBidi" w:cstheme="majorBidi"/>
          <w:i/>
          <w:iCs/>
        </w:rPr>
        <w:t>),</w:t>
      </w:r>
      <w:r w:rsidRPr="00CA3FA9">
        <w:rPr>
          <w:rFonts w:asciiTheme="majorBidi" w:hAnsiTheme="majorBidi" w:cstheme="majorBidi"/>
        </w:rPr>
        <w:t xml:space="preserve"> highlighting how voluntary activities in sport as a method of non-formal and informal learning can help young people acquire skills and transversal competences that complement formal education and enhance their employability.</w:t>
      </w:r>
    </w:p>
    <w:p w:rsidR="00414254" w:rsidRPr="00CA3FA9" w:rsidRDefault="00D0087C" w:rsidP="00414254">
      <w:pPr>
        <w:rPr>
          <w:rFonts w:asciiTheme="majorBidi" w:hAnsiTheme="majorBidi" w:cstheme="majorBidi"/>
        </w:rPr>
      </w:pPr>
      <w:r>
        <w:rPr>
          <w:rFonts w:asciiTheme="majorBidi" w:hAnsiTheme="majorBidi" w:cstheme="majorBidi"/>
        </w:rPr>
        <w:br w:type="page"/>
      </w:r>
      <w:r w:rsidR="00414254" w:rsidRPr="00CA3FA9">
        <w:rPr>
          <w:rFonts w:asciiTheme="majorBidi" w:hAnsiTheme="majorBidi" w:cstheme="majorBidi"/>
        </w:rPr>
        <w:lastRenderedPageBreak/>
        <w:t>Non-formal and informal learning are important elements in the learning process and are effective instruments for making learning attractive, developing readiness for lifelong learning and promoting the social integration of young people.</w:t>
      </w:r>
    </w:p>
    <w:p w:rsidR="00414254" w:rsidRPr="00CA3FA9" w:rsidRDefault="00414254" w:rsidP="009C7173">
      <w:pPr>
        <w:rPr>
          <w:rFonts w:asciiTheme="majorBidi" w:hAnsiTheme="majorBidi" w:cstheme="majorBidi"/>
        </w:rPr>
      </w:pPr>
      <w:r w:rsidRPr="00CA3FA9">
        <w:rPr>
          <w:rFonts w:asciiTheme="majorBidi" w:hAnsiTheme="majorBidi" w:cstheme="majorBidi"/>
        </w:rPr>
        <w:t>Sport is the largest non-governmental movement in Europe. Voluntary activities in the sport</w:t>
      </w:r>
      <w:r w:rsidR="009C7173">
        <w:rPr>
          <w:rFonts w:asciiTheme="majorBidi" w:hAnsiTheme="majorBidi" w:cstheme="majorBidi"/>
        </w:rPr>
        <w:t>s</w:t>
      </w:r>
      <w:r w:rsidRPr="00CA3FA9">
        <w:rPr>
          <w:rFonts w:asciiTheme="majorBidi" w:hAnsiTheme="majorBidi" w:cstheme="majorBidi"/>
        </w:rPr>
        <w:t xml:space="preserve"> sector mainly take place at grassroots level</w:t>
      </w:r>
      <w:r w:rsidR="009C7173">
        <w:rPr>
          <w:rFonts w:asciiTheme="majorBidi" w:hAnsiTheme="majorBidi" w:cstheme="majorBidi"/>
        </w:rPr>
        <w:t>, with people taking part</w:t>
      </w:r>
      <w:r w:rsidR="00860896">
        <w:rPr>
          <w:rFonts w:asciiTheme="majorBidi" w:hAnsiTheme="majorBidi" w:cstheme="majorBidi"/>
        </w:rPr>
        <w:t xml:space="preserve">either </w:t>
      </w:r>
      <w:r w:rsidRPr="00CA3FA9">
        <w:rPr>
          <w:rFonts w:asciiTheme="majorBidi" w:hAnsiTheme="majorBidi" w:cstheme="majorBidi"/>
        </w:rPr>
        <w:t>as participant</w:t>
      </w:r>
      <w:r w:rsidR="009C7173">
        <w:rPr>
          <w:rFonts w:asciiTheme="majorBidi" w:hAnsiTheme="majorBidi" w:cstheme="majorBidi"/>
        </w:rPr>
        <w:t>s</w:t>
      </w:r>
      <w:r w:rsidRPr="00CA3FA9">
        <w:rPr>
          <w:rFonts w:asciiTheme="majorBidi" w:hAnsiTheme="majorBidi" w:cstheme="majorBidi"/>
        </w:rPr>
        <w:t>, facilitator</w:t>
      </w:r>
      <w:r w:rsidR="009C7173">
        <w:rPr>
          <w:rFonts w:asciiTheme="majorBidi" w:hAnsiTheme="majorBidi" w:cstheme="majorBidi"/>
        </w:rPr>
        <w:t>s</w:t>
      </w:r>
      <w:r w:rsidRPr="00CA3FA9">
        <w:rPr>
          <w:rFonts w:asciiTheme="majorBidi" w:hAnsiTheme="majorBidi" w:cstheme="majorBidi"/>
        </w:rPr>
        <w:t xml:space="preserve"> or organiser</w:t>
      </w:r>
      <w:r w:rsidR="009C7173">
        <w:rPr>
          <w:rFonts w:asciiTheme="majorBidi" w:hAnsiTheme="majorBidi" w:cstheme="majorBidi"/>
        </w:rPr>
        <w:t>s</w:t>
      </w:r>
      <w:r w:rsidRPr="00CA3FA9">
        <w:rPr>
          <w:rFonts w:asciiTheme="majorBidi" w:hAnsiTheme="majorBidi" w:cstheme="majorBidi"/>
        </w:rPr>
        <w:t>.</w:t>
      </w:r>
    </w:p>
    <w:p w:rsidR="00414254" w:rsidRPr="00CA3FA9" w:rsidRDefault="00414254" w:rsidP="00414254">
      <w:pPr>
        <w:spacing w:after="200" w:line="276" w:lineRule="auto"/>
        <w:rPr>
          <w:rFonts w:asciiTheme="majorBidi" w:hAnsiTheme="majorBidi" w:cstheme="majorBidi"/>
          <w:b/>
          <w:bCs/>
        </w:rPr>
      </w:pPr>
      <w:r w:rsidRPr="00CA3FA9">
        <w:rPr>
          <w:rFonts w:asciiTheme="majorBidi" w:hAnsiTheme="majorBidi" w:cstheme="majorBidi"/>
          <w:b/>
          <w:bCs/>
        </w:rPr>
        <w:t>Physical activity as part of quality education</w:t>
      </w:r>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Ministers held a debate on </w:t>
      </w:r>
      <w:r w:rsidRPr="00CA3FA9">
        <w:rPr>
          <w:rFonts w:asciiTheme="majorBidi" w:hAnsiTheme="majorBidi" w:cstheme="majorBidi"/>
          <w:b/>
          <w:bCs/>
        </w:rPr>
        <w:t>physical activity as an essential element of quality education at all levels</w:t>
      </w:r>
      <w:r w:rsidRPr="00CA3FA9">
        <w:rPr>
          <w:rFonts w:asciiTheme="majorBidi" w:hAnsiTheme="majorBidi" w:cstheme="majorBidi"/>
        </w:rPr>
        <w:t>.</w:t>
      </w:r>
    </w:p>
    <w:p w:rsidR="00414254" w:rsidRPr="00CA3FA9" w:rsidRDefault="00414254" w:rsidP="00B32C9B">
      <w:pPr>
        <w:rPr>
          <w:rFonts w:asciiTheme="majorBidi" w:hAnsiTheme="majorBidi" w:cstheme="majorBidi"/>
        </w:rPr>
      </w:pPr>
      <w:r w:rsidRPr="00CA3FA9">
        <w:rPr>
          <w:rFonts w:asciiTheme="majorBidi" w:hAnsiTheme="majorBidi" w:cstheme="majorBidi"/>
        </w:rPr>
        <w:t xml:space="preserve">The promotion of physical activity is a priority of EU policy-making in the field of sport, and has been regularly addressed, in particular through the Council </w:t>
      </w:r>
      <w:r w:rsidR="00B32C9B">
        <w:rPr>
          <w:rFonts w:asciiTheme="majorBidi" w:hAnsiTheme="majorBidi" w:cstheme="majorBidi"/>
        </w:rPr>
        <w:t>r</w:t>
      </w:r>
      <w:r w:rsidRPr="00CA3FA9">
        <w:rPr>
          <w:rFonts w:asciiTheme="majorBidi" w:hAnsiTheme="majorBidi" w:cstheme="majorBidi"/>
        </w:rPr>
        <w:t xml:space="preserve">ecommendation on health-enhancing physical activity across sectors </w:t>
      </w:r>
      <w:r w:rsidRPr="00CA3FA9">
        <w:rPr>
          <w:rFonts w:asciiTheme="majorBidi" w:hAnsiTheme="majorBidi" w:cstheme="majorBidi"/>
          <w:i/>
          <w:iCs/>
        </w:rPr>
        <w:t>(</w:t>
      </w:r>
      <w:hyperlink r:id="rId38" w:tooltip="http://data.consilium.europa.eu/doc/document/ST-15575-2013-INIT/en/pdf" w:history="1">
        <w:r w:rsidRPr="00CA3FA9">
          <w:rPr>
            <w:rStyle w:val="Hyperlink"/>
            <w:rFonts w:asciiTheme="majorBidi" w:hAnsiTheme="majorBidi" w:cstheme="majorBidi"/>
            <w:i/>
            <w:iCs/>
          </w:rPr>
          <w:t>15575/13</w:t>
        </w:r>
      </w:hyperlink>
      <w:r w:rsidRPr="00CA3FA9">
        <w:rPr>
          <w:rFonts w:asciiTheme="majorBidi" w:hAnsiTheme="majorBidi" w:cstheme="majorBidi"/>
          <w:i/>
          <w:iCs/>
        </w:rPr>
        <w:t>)</w:t>
      </w:r>
      <w:r w:rsidRPr="00CA3FA9">
        <w:rPr>
          <w:rFonts w:asciiTheme="majorBidi" w:hAnsiTheme="majorBidi" w:cstheme="majorBidi"/>
        </w:rPr>
        <w:t xml:space="preserve">, a specific chapter for sport under the Erasmus+ programme and the upcoming first edition of the European Week of Sport in September </w:t>
      </w:r>
      <w:r w:rsidRPr="00CA3FA9">
        <w:rPr>
          <w:rFonts w:asciiTheme="majorBidi" w:hAnsiTheme="majorBidi" w:cstheme="majorBidi"/>
          <w:i/>
          <w:iCs/>
        </w:rPr>
        <w:t>(</w:t>
      </w:r>
      <w:hyperlink r:id="rId39" w:history="1">
        <w:r w:rsidRPr="00CA3FA9">
          <w:rPr>
            <w:rStyle w:val="Hyperlink"/>
            <w:rFonts w:asciiTheme="majorBidi" w:hAnsiTheme="majorBidi" w:cstheme="majorBidi"/>
            <w:i/>
            <w:iCs/>
          </w:rPr>
          <w:t>http://ec.europa.eu/sport/week/index_en</w:t>
        </w:r>
      </w:hyperlink>
      <w:r w:rsidRPr="00CA3FA9">
        <w:rPr>
          <w:rFonts w:asciiTheme="majorBidi" w:hAnsiTheme="majorBidi" w:cstheme="majorBidi"/>
          <w:i/>
          <w:iCs/>
        </w:rPr>
        <w:t>.).</w:t>
      </w:r>
    </w:p>
    <w:p w:rsidR="00414254" w:rsidRPr="00CA3FA9" w:rsidRDefault="00414254" w:rsidP="00414254">
      <w:pPr>
        <w:spacing w:after="200"/>
        <w:rPr>
          <w:rFonts w:asciiTheme="majorBidi" w:hAnsiTheme="majorBidi" w:cstheme="majorBidi"/>
        </w:rPr>
      </w:pPr>
      <w:r w:rsidRPr="00CA3FA9">
        <w:rPr>
          <w:rFonts w:asciiTheme="majorBidi" w:hAnsiTheme="majorBidi" w:cstheme="majorBidi"/>
        </w:rPr>
        <w:t>Most member states are already developing many programmes and strategies to promote physical activity, since they are all aware of its benefits and of the dangerous consequences of sedentarity and of the rising trend of obesity in particular among young people. Many member states already work in close cooperation with local sport associations.</w:t>
      </w:r>
    </w:p>
    <w:p w:rsidR="00414254" w:rsidRPr="00CA3FA9" w:rsidRDefault="00414254" w:rsidP="00414254">
      <w:pPr>
        <w:rPr>
          <w:rFonts w:asciiTheme="majorBidi" w:hAnsiTheme="majorBidi" w:cstheme="majorBidi"/>
        </w:rPr>
      </w:pPr>
      <w:r w:rsidRPr="00CA3FA9">
        <w:rPr>
          <w:rFonts w:asciiTheme="majorBidi" w:hAnsiTheme="majorBidi" w:cstheme="majorBidi"/>
        </w:rPr>
        <w:t>The main recommendations from the debate were the following:</w:t>
      </w:r>
    </w:p>
    <w:p w:rsidR="00414254" w:rsidRPr="00CA3FA9" w:rsidRDefault="00414254" w:rsidP="00414254">
      <w:pPr>
        <w:pStyle w:val="Tiret0"/>
        <w:rPr>
          <w:rFonts w:asciiTheme="majorBidi" w:hAnsiTheme="majorBidi" w:cstheme="majorBidi"/>
          <w:color w:val="0000FF"/>
        </w:rPr>
      </w:pPr>
      <w:r w:rsidRPr="00CA3FA9">
        <w:rPr>
          <w:rFonts w:asciiTheme="majorBidi" w:hAnsiTheme="majorBidi" w:cstheme="majorBidi"/>
        </w:rPr>
        <w:t>propose a greater range of activities in schools and increase their attractiveness</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 xml:space="preserve">encourage young </w:t>
      </w:r>
      <w:r w:rsidRPr="00CA3FA9">
        <w:t>people</w:t>
      </w:r>
      <w:r w:rsidRPr="00CA3FA9">
        <w:rPr>
          <w:rFonts w:asciiTheme="majorBidi" w:hAnsiTheme="majorBidi" w:cstheme="majorBidi"/>
        </w:rPr>
        <w:t xml:space="preserve"> to engage in extracurricular sport and physical activity beyond the school day, organise school competitions</w:t>
      </w:r>
    </w:p>
    <w:p w:rsidR="00414254" w:rsidRPr="00CA3FA9" w:rsidRDefault="00414254" w:rsidP="00231268">
      <w:pPr>
        <w:pStyle w:val="Tiret0"/>
        <w:rPr>
          <w:rFonts w:asciiTheme="majorBidi" w:hAnsiTheme="majorBidi" w:cstheme="majorBidi"/>
        </w:rPr>
      </w:pPr>
      <w:r w:rsidRPr="00CA3FA9">
        <w:rPr>
          <w:rFonts w:asciiTheme="majorBidi" w:hAnsiTheme="majorBidi" w:cstheme="majorBidi"/>
        </w:rPr>
        <w:t xml:space="preserve">extend the use of </w:t>
      </w:r>
      <w:r w:rsidRPr="00CA3FA9">
        <w:t>community</w:t>
      </w:r>
      <w:r w:rsidRPr="00CA3FA9">
        <w:rPr>
          <w:rFonts w:asciiTheme="majorBidi" w:hAnsiTheme="majorBidi" w:cstheme="majorBidi"/>
        </w:rPr>
        <w:t xml:space="preserve"> facilities, ensuring that sport facilities are available, </w:t>
      </w:r>
      <w:r w:rsidR="00231268">
        <w:rPr>
          <w:rFonts w:asciiTheme="majorBidi" w:hAnsiTheme="majorBidi" w:cstheme="majorBidi"/>
        </w:rPr>
        <w:t>meet</w:t>
      </w:r>
      <w:r w:rsidR="00231268" w:rsidRPr="00CA3FA9">
        <w:rPr>
          <w:rFonts w:asciiTheme="majorBidi" w:hAnsiTheme="majorBidi" w:cstheme="majorBidi"/>
        </w:rPr>
        <w:t xml:space="preserve"> </w:t>
      </w:r>
      <w:r w:rsidRPr="00CA3FA9">
        <w:rPr>
          <w:rFonts w:asciiTheme="majorBidi" w:hAnsiTheme="majorBidi" w:cstheme="majorBidi"/>
        </w:rPr>
        <w:t>the necessary technical and safety standards and are managed efficiently, in partnership with local sports organi</w:t>
      </w:r>
      <w:r w:rsidR="00231268">
        <w:rPr>
          <w:rFonts w:asciiTheme="majorBidi" w:hAnsiTheme="majorBidi" w:cstheme="majorBidi"/>
        </w:rPr>
        <w:t>s</w:t>
      </w:r>
      <w:r w:rsidRPr="00CA3FA9">
        <w:rPr>
          <w:rFonts w:asciiTheme="majorBidi" w:hAnsiTheme="majorBidi" w:cstheme="majorBidi"/>
        </w:rPr>
        <w:t>ations and clubs</w:t>
      </w:r>
    </w:p>
    <w:p w:rsidR="00414254" w:rsidRPr="00CA3FA9" w:rsidRDefault="00414254" w:rsidP="00231268">
      <w:pPr>
        <w:pStyle w:val="Tiret0"/>
        <w:rPr>
          <w:rFonts w:asciiTheme="majorBidi" w:hAnsiTheme="majorBidi" w:cstheme="majorBidi"/>
        </w:rPr>
      </w:pPr>
      <w:r w:rsidRPr="00CA3FA9">
        <w:rPr>
          <w:rFonts w:asciiTheme="majorBidi" w:hAnsiTheme="majorBidi" w:cstheme="majorBidi"/>
        </w:rPr>
        <w:t xml:space="preserve">universities and </w:t>
      </w:r>
      <w:r w:rsidRPr="00CA3FA9">
        <w:t>further</w:t>
      </w:r>
      <w:r w:rsidRPr="00CA3FA9">
        <w:rPr>
          <w:rFonts w:asciiTheme="majorBidi" w:hAnsiTheme="majorBidi" w:cstheme="majorBidi"/>
        </w:rPr>
        <w:t xml:space="preserve"> education institutions should also develop sporting opportunities, since it's generally during the</w:t>
      </w:r>
      <w:r w:rsidR="00231268">
        <w:rPr>
          <w:rFonts w:asciiTheme="majorBidi" w:hAnsiTheme="majorBidi" w:cstheme="majorBidi"/>
        </w:rPr>
        <w:t>ir</w:t>
      </w:r>
      <w:r w:rsidRPr="00CA3FA9">
        <w:rPr>
          <w:rFonts w:asciiTheme="majorBidi" w:hAnsiTheme="majorBidi" w:cstheme="majorBidi"/>
        </w:rPr>
        <w:t xml:space="preserve"> teenage years that children tend to </w:t>
      </w:r>
      <w:r w:rsidR="00231268">
        <w:rPr>
          <w:rFonts w:asciiTheme="majorBidi" w:hAnsiTheme="majorBidi" w:cstheme="majorBidi"/>
        </w:rPr>
        <w:t>give up</w:t>
      </w:r>
      <w:r w:rsidR="00231268" w:rsidRPr="00CA3FA9">
        <w:rPr>
          <w:rFonts w:asciiTheme="majorBidi" w:hAnsiTheme="majorBidi" w:cstheme="majorBidi"/>
        </w:rPr>
        <w:t xml:space="preserve"> </w:t>
      </w:r>
      <w:r w:rsidRPr="00CA3FA9">
        <w:rPr>
          <w:rFonts w:asciiTheme="majorBidi" w:hAnsiTheme="majorBidi" w:cstheme="majorBidi"/>
        </w:rPr>
        <w:t>sport</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 xml:space="preserve">support the progress of young athletes aspiring to a career in elite sports, by adapting school curricula and </w:t>
      </w:r>
      <w:r w:rsidRPr="00CA3FA9">
        <w:t>schedules</w:t>
      </w:r>
    </w:p>
    <w:p w:rsidR="00414254" w:rsidRPr="00CA3FA9" w:rsidRDefault="00D0087C" w:rsidP="00414254">
      <w:pPr>
        <w:pStyle w:val="Tiret0"/>
        <w:rPr>
          <w:rFonts w:asciiTheme="majorBidi" w:hAnsiTheme="majorBidi" w:cstheme="majorBidi"/>
        </w:rPr>
      </w:pPr>
      <w:r>
        <w:rPr>
          <w:rFonts w:asciiTheme="majorBidi" w:hAnsiTheme="majorBidi" w:cstheme="majorBidi"/>
        </w:rPr>
        <w:br w:type="page"/>
      </w:r>
      <w:r w:rsidR="00414254" w:rsidRPr="00CA3FA9">
        <w:rPr>
          <w:rFonts w:asciiTheme="majorBidi" w:hAnsiTheme="majorBidi" w:cstheme="majorBidi"/>
        </w:rPr>
        <w:lastRenderedPageBreak/>
        <w:t>develop program</w:t>
      </w:r>
      <w:r w:rsidR="00231268">
        <w:rPr>
          <w:rFonts w:asciiTheme="majorBidi" w:hAnsiTheme="majorBidi" w:cstheme="majorBidi"/>
        </w:rPr>
        <w:t>me</w:t>
      </w:r>
      <w:r w:rsidR="00414254" w:rsidRPr="00CA3FA9">
        <w:rPr>
          <w:rFonts w:asciiTheme="majorBidi" w:hAnsiTheme="majorBidi" w:cstheme="majorBidi"/>
        </w:rPr>
        <w:t xml:space="preserve">s ensuring an inclusive approach, adjusting the activities to children with disabilities or </w:t>
      </w:r>
      <w:r w:rsidR="00414254" w:rsidRPr="00CA3FA9">
        <w:t>special</w:t>
      </w:r>
      <w:r w:rsidR="00414254" w:rsidRPr="00CA3FA9">
        <w:rPr>
          <w:rFonts w:asciiTheme="majorBidi" w:hAnsiTheme="majorBidi" w:cstheme="majorBidi"/>
        </w:rPr>
        <w:t xml:space="preserve"> education needs</w:t>
      </w:r>
    </w:p>
    <w:p w:rsidR="00414254" w:rsidRPr="00CA3FA9" w:rsidRDefault="00414254" w:rsidP="00414254">
      <w:pPr>
        <w:spacing w:after="200"/>
        <w:rPr>
          <w:rFonts w:asciiTheme="majorBidi" w:hAnsiTheme="majorBidi" w:cstheme="majorBidi"/>
        </w:rPr>
      </w:pPr>
      <w:r w:rsidRPr="00CA3FA9">
        <w:rPr>
          <w:rFonts w:asciiTheme="majorBidi" w:hAnsiTheme="majorBidi" w:cstheme="majorBidi"/>
        </w:rPr>
        <w:t>The ministerial debate also benefited from the very relevant input from the sport movement's representatives who participated in the working lunch, in the framework of the “structured dialogue":</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 xml:space="preserve">EOC (European </w:t>
      </w:r>
      <w:r w:rsidRPr="00CA3FA9">
        <w:t>Olympic</w:t>
      </w:r>
      <w:r w:rsidRPr="00CA3FA9">
        <w:rPr>
          <w:rFonts w:asciiTheme="majorBidi" w:hAnsiTheme="majorBidi" w:cstheme="majorBidi"/>
        </w:rPr>
        <w:t xml:space="preserve"> Committee);</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EUPEA (European Physical Education Association),</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EUSA (</w:t>
      </w:r>
      <w:r w:rsidRPr="00CA3FA9">
        <w:t xml:space="preserve">European </w:t>
      </w:r>
      <w:r w:rsidRPr="00CA3FA9">
        <w:rPr>
          <w:rFonts w:asciiTheme="majorBidi" w:hAnsiTheme="majorBidi" w:cstheme="majorBidi"/>
        </w:rPr>
        <w:t>University Sports Association),</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CEV (European Volleyball Confederation),</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FIBA (</w:t>
      </w:r>
      <w:r w:rsidRPr="00CA3FA9">
        <w:t>Europe</w:t>
      </w:r>
      <w:r w:rsidRPr="00CA3FA9">
        <w:rPr>
          <w:rFonts w:asciiTheme="majorBidi" w:hAnsiTheme="majorBidi" w:cstheme="majorBidi"/>
        </w:rPr>
        <w:t xml:space="preserve"> International Basketball Federation)</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LEN (European Swimming League), and IFF (International Floorball Federation).</w:t>
      </w:r>
    </w:p>
    <w:p w:rsidR="00414254" w:rsidRPr="00CA3FA9" w:rsidRDefault="00414254" w:rsidP="00414254">
      <w:pPr>
        <w:spacing w:after="200"/>
        <w:rPr>
          <w:rFonts w:asciiTheme="majorBidi" w:hAnsiTheme="majorBidi" w:cstheme="majorBidi"/>
          <w:color w:val="0000FF"/>
        </w:rPr>
      </w:pPr>
      <w:r w:rsidRPr="00CA3FA9">
        <w:rPr>
          <w:rFonts w:asciiTheme="majorBidi" w:hAnsiTheme="majorBidi" w:cstheme="majorBidi"/>
        </w:rPr>
        <w:t xml:space="preserve">The discussion addressed the </w:t>
      </w:r>
      <w:r w:rsidRPr="00CA3FA9">
        <w:rPr>
          <w:rFonts w:asciiTheme="majorBidi" w:hAnsiTheme="majorBidi" w:cstheme="majorBidi"/>
          <w:b/>
          <w:bCs/>
        </w:rPr>
        <w:t>cooperation between the sports movement and the education systems in member states</w:t>
      </w:r>
      <w:r w:rsidRPr="00CA3FA9">
        <w:rPr>
          <w:rFonts w:asciiTheme="majorBidi" w:hAnsiTheme="majorBidi" w:cstheme="majorBidi"/>
        </w:rPr>
        <w:t>:</w:t>
      </w:r>
    </w:p>
    <w:p w:rsidR="00414254" w:rsidRPr="00CA3FA9" w:rsidRDefault="00414254" w:rsidP="00414254">
      <w:pPr>
        <w:pStyle w:val="Sub-itemDebated"/>
      </w:pPr>
      <w:bookmarkStart w:id="30" w:name="_Toc421186406"/>
      <w:r w:rsidRPr="00CA3FA9">
        <w:t>Other business</w:t>
      </w:r>
      <w:bookmarkEnd w:id="30"/>
    </w:p>
    <w:p w:rsidR="00414254" w:rsidRPr="00CA3FA9" w:rsidRDefault="00414254" w:rsidP="00414254">
      <w:pPr>
        <w:pStyle w:val="Sub-sub-itemDebated"/>
        <w:rPr>
          <w:rFonts w:asciiTheme="majorBidi" w:hAnsiTheme="majorBidi" w:cstheme="majorBidi"/>
          <w:b w:val="0"/>
          <w:bCs/>
        </w:rPr>
      </w:pPr>
      <w:bookmarkStart w:id="31" w:name="_Toc421186407"/>
      <w:r w:rsidRPr="00CA3FA9">
        <w:rPr>
          <w:rFonts w:asciiTheme="majorBidi" w:hAnsiTheme="majorBidi" w:cstheme="majorBidi"/>
          <w:bCs/>
        </w:rPr>
        <w:t xml:space="preserve">Council of Europe </w:t>
      </w:r>
      <w:r w:rsidRPr="00CA3FA9">
        <w:t>Convention</w:t>
      </w:r>
      <w:r w:rsidRPr="00CA3FA9">
        <w:rPr>
          <w:rFonts w:asciiTheme="majorBidi" w:hAnsiTheme="majorBidi" w:cstheme="majorBidi"/>
          <w:bCs/>
        </w:rPr>
        <w:t xml:space="preserve"> on the manipulation of sports competitions</w:t>
      </w:r>
      <w:bookmarkEnd w:id="31"/>
    </w:p>
    <w:p w:rsidR="00414254" w:rsidRPr="00CA3FA9" w:rsidRDefault="00414254" w:rsidP="00414254">
      <w:pPr>
        <w:rPr>
          <w:rFonts w:asciiTheme="majorBidi" w:hAnsiTheme="majorBidi" w:cstheme="majorBidi"/>
        </w:rPr>
      </w:pPr>
      <w:r w:rsidRPr="00CA3FA9">
        <w:rPr>
          <w:rFonts w:asciiTheme="majorBidi" w:hAnsiTheme="majorBidi" w:cstheme="majorBidi"/>
        </w:rPr>
        <w:t>The Council was briefed by the Presidency on the state of play regarding the signing of the Council of Europe Convention on the manipulation of sports competitions. To date 18 countries (of which 9 EU member states) have signed the Convention but so far only Norway has ratified it.</w:t>
      </w:r>
    </w:p>
    <w:p w:rsidR="00414254" w:rsidRPr="00CA3FA9" w:rsidRDefault="00414254" w:rsidP="00414254">
      <w:pPr>
        <w:rPr>
          <w:rFonts w:asciiTheme="majorBidi" w:hAnsiTheme="majorBidi" w:cstheme="majorBidi"/>
        </w:rPr>
      </w:pPr>
      <w:r w:rsidRPr="00CA3FA9">
        <w:rPr>
          <w:rFonts w:asciiTheme="majorBidi" w:hAnsiTheme="majorBidi" w:cstheme="majorBidi"/>
        </w:rPr>
        <w:t>The Convention will come into force following ratification by at least five signatories (three of which must be members of the Council of Europe), which is expected by 2016.</w:t>
      </w:r>
    </w:p>
    <w:p w:rsidR="00414254" w:rsidRPr="00CA3FA9" w:rsidRDefault="00414254" w:rsidP="00231268">
      <w:pPr>
        <w:rPr>
          <w:rFonts w:asciiTheme="majorBidi" w:hAnsiTheme="majorBidi" w:cstheme="majorBidi"/>
        </w:rPr>
      </w:pPr>
      <w:r w:rsidRPr="00CA3FA9">
        <w:rPr>
          <w:rFonts w:asciiTheme="majorBidi" w:hAnsiTheme="majorBidi" w:cstheme="majorBidi"/>
        </w:rPr>
        <w:t xml:space="preserve">The Commission presented the proposals for the EU signature of the Convention in March 2015 and they are currently under examination in the competent </w:t>
      </w:r>
      <w:r w:rsidR="00231268" w:rsidRPr="00CA3FA9">
        <w:rPr>
          <w:rFonts w:asciiTheme="majorBidi" w:hAnsiTheme="majorBidi" w:cstheme="majorBidi"/>
        </w:rPr>
        <w:t xml:space="preserve">Council </w:t>
      </w:r>
      <w:r w:rsidRPr="00CA3FA9">
        <w:rPr>
          <w:rFonts w:asciiTheme="majorBidi" w:hAnsiTheme="majorBidi" w:cstheme="majorBidi"/>
        </w:rPr>
        <w:t>bodies. The Council Legal Service is expected to provide an opinion on some of the pending issues .</w:t>
      </w:r>
    </w:p>
    <w:p w:rsidR="00414254" w:rsidRPr="00CA3FA9" w:rsidRDefault="00D0087C" w:rsidP="00414254">
      <w:pPr>
        <w:pStyle w:val="Sub-sub-itemDebated"/>
        <w:rPr>
          <w:rFonts w:asciiTheme="majorBidi" w:hAnsiTheme="majorBidi" w:cstheme="majorBidi"/>
          <w:b w:val="0"/>
          <w:bCs/>
        </w:rPr>
      </w:pPr>
      <w:r>
        <w:rPr>
          <w:rFonts w:asciiTheme="majorBidi" w:hAnsiTheme="majorBidi" w:cstheme="majorBidi"/>
          <w:bCs/>
        </w:rPr>
        <w:br w:type="page"/>
      </w:r>
      <w:bookmarkStart w:id="32" w:name="_Toc421186408"/>
      <w:r w:rsidR="00414254" w:rsidRPr="00CA3FA9">
        <w:rPr>
          <w:rFonts w:asciiTheme="majorBidi" w:hAnsiTheme="majorBidi" w:cstheme="majorBidi"/>
          <w:bCs/>
        </w:rPr>
        <w:lastRenderedPageBreak/>
        <w:t xml:space="preserve">World Anti-Doping </w:t>
      </w:r>
      <w:r w:rsidR="00414254" w:rsidRPr="00CA3FA9">
        <w:t>Agency</w:t>
      </w:r>
      <w:r w:rsidR="00414254" w:rsidRPr="00CA3FA9">
        <w:rPr>
          <w:rFonts w:asciiTheme="majorBidi" w:hAnsiTheme="majorBidi" w:cstheme="majorBidi"/>
          <w:bCs/>
        </w:rPr>
        <w:t xml:space="preserve"> (WADA) meetings</w:t>
      </w:r>
      <w:bookmarkEnd w:id="32"/>
    </w:p>
    <w:p w:rsidR="00414254" w:rsidRPr="00CA3FA9" w:rsidRDefault="00414254" w:rsidP="00231268">
      <w:pPr>
        <w:rPr>
          <w:rFonts w:asciiTheme="majorBidi" w:hAnsiTheme="majorBidi" w:cstheme="majorBidi"/>
        </w:rPr>
      </w:pPr>
      <w:r w:rsidRPr="00CA3FA9">
        <w:rPr>
          <w:rFonts w:asciiTheme="majorBidi" w:hAnsiTheme="majorBidi" w:cstheme="majorBidi"/>
        </w:rPr>
        <w:t xml:space="preserve">The Council was briefed by the EU representatives on the outcome of the WADA meetings which took place in Montreal </w:t>
      </w:r>
      <w:r w:rsidR="00231268">
        <w:rPr>
          <w:rFonts w:asciiTheme="majorBidi" w:hAnsiTheme="majorBidi" w:cstheme="majorBidi"/>
        </w:rPr>
        <w:t>o</w:t>
      </w:r>
      <w:r w:rsidRPr="00CA3FA9">
        <w:rPr>
          <w:rFonts w:asciiTheme="majorBidi" w:hAnsiTheme="majorBidi" w:cstheme="majorBidi"/>
        </w:rPr>
        <w:t>n 12</w:t>
      </w:r>
      <w:r w:rsidR="00231268">
        <w:rPr>
          <w:rFonts w:asciiTheme="majorBidi" w:hAnsiTheme="majorBidi" w:cstheme="majorBidi"/>
        </w:rPr>
        <w:t xml:space="preserve"> and </w:t>
      </w:r>
      <w:r w:rsidRPr="00CA3FA9">
        <w:rPr>
          <w:rFonts w:asciiTheme="majorBidi" w:hAnsiTheme="majorBidi" w:cstheme="majorBidi"/>
        </w:rPr>
        <w:t xml:space="preserve">13 May 2015. The meeting </w:t>
      </w:r>
      <w:r w:rsidR="00231268" w:rsidRPr="00CA3FA9">
        <w:rPr>
          <w:rFonts w:asciiTheme="majorBidi" w:hAnsiTheme="majorBidi" w:cstheme="majorBidi"/>
        </w:rPr>
        <w:t xml:space="preserve">mainly </w:t>
      </w:r>
      <w:r w:rsidRPr="00CA3FA9">
        <w:rPr>
          <w:rFonts w:asciiTheme="majorBidi" w:hAnsiTheme="majorBidi" w:cstheme="majorBidi"/>
        </w:rPr>
        <w:t>addressed issues relating to the budget, data protection and the Anti-Doping Code.</w:t>
      </w:r>
    </w:p>
    <w:p w:rsidR="00414254" w:rsidRPr="00CA3FA9" w:rsidRDefault="00414254" w:rsidP="00231268">
      <w:pPr>
        <w:rPr>
          <w:rFonts w:asciiTheme="majorBidi" w:hAnsiTheme="majorBidi" w:cstheme="majorBidi"/>
        </w:rPr>
      </w:pPr>
      <w:r w:rsidRPr="00CA3FA9">
        <w:rPr>
          <w:rFonts w:asciiTheme="majorBidi" w:hAnsiTheme="majorBidi" w:cstheme="majorBidi"/>
        </w:rPr>
        <w:t>The EU is represented on the WADA Foundation Board by Belgium, Luxembourg and Malta. The Foundation Board is WADA’s supreme decision-making body and it is composed of 38</w:t>
      </w:r>
      <w:r w:rsidR="00231268">
        <w:rPr>
          <w:rFonts w:asciiTheme="majorBidi" w:hAnsiTheme="majorBidi" w:cstheme="majorBidi"/>
        </w:rPr>
        <w:t xml:space="preserve"> </w:t>
      </w:r>
      <w:r w:rsidRPr="00CA3FA9">
        <w:rPr>
          <w:rFonts w:asciiTheme="majorBidi" w:hAnsiTheme="majorBidi" w:cstheme="majorBidi"/>
        </w:rPr>
        <w:t>member</w:t>
      </w:r>
      <w:r w:rsidR="00231268">
        <w:rPr>
          <w:rFonts w:asciiTheme="majorBidi" w:hAnsiTheme="majorBidi" w:cstheme="majorBidi"/>
        </w:rPr>
        <w:t>s, with an</w:t>
      </w:r>
      <w:r w:rsidRPr="00CA3FA9">
        <w:rPr>
          <w:rFonts w:asciiTheme="majorBidi" w:hAnsiTheme="majorBidi" w:cstheme="majorBidi"/>
        </w:rPr>
        <w:t xml:space="preserve"> equal proportion of representatives from the Olympic Movement and from governments.</w:t>
      </w:r>
    </w:p>
    <w:p w:rsidR="00414254" w:rsidRPr="00CA3FA9" w:rsidRDefault="00414254" w:rsidP="00414254">
      <w:pPr>
        <w:rPr>
          <w:rFonts w:asciiTheme="majorBidi" w:hAnsiTheme="majorBidi" w:cstheme="majorBidi"/>
        </w:rPr>
      </w:pPr>
      <w:r w:rsidRPr="00CA3FA9">
        <w:rPr>
          <w:rFonts w:asciiTheme="majorBidi" w:hAnsiTheme="majorBidi" w:cstheme="majorBidi"/>
        </w:rPr>
        <w:t xml:space="preserve">The World Anti-Doping Agency (WADA), set up in 1999, is a private law body whose mission is to promote, coordinate and monitor the fight against doping in sport in all its forms </w:t>
      </w:r>
      <w:r w:rsidRPr="003C4DB9">
        <w:rPr>
          <w:rFonts w:asciiTheme="minorBidi" w:hAnsiTheme="minorBidi" w:cstheme="minorBidi"/>
          <w:sz w:val="22"/>
          <w:szCs w:val="22"/>
        </w:rPr>
        <w:t>(</w:t>
      </w:r>
      <w:hyperlink r:id="rId40" w:history="1">
        <w:r w:rsidRPr="003C4DB9">
          <w:rPr>
            <w:rStyle w:val="Hyperlink"/>
            <w:rFonts w:asciiTheme="minorBidi" w:hAnsiTheme="minorBidi" w:cstheme="minorBidi"/>
            <w:i/>
            <w:iCs/>
            <w:sz w:val="22"/>
            <w:szCs w:val="22"/>
          </w:rPr>
          <w:t>https://www.wada-ama.org/</w:t>
        </w:r>
        <w:r w:rsidRPr="003C4DB9">
          <w:rPr>
            <w:rStyle w:val="Hyperlink"/>
            <w:rFonts w:asciiTheme="minorBidi" w:hAnsiTheme="minorBidi" w:cstheme="minorBidi"/>
            <w:sz w:val="22"/>
            <w:szCs w:val="22"/>
          </w:rPr>
          <w:t>.</w:t>
        </w:r>
      </w:hyperlink>
      <w:r w:rsidRPr="00CA3FA9">
        <w:rPr>
          <w:rFonts w:asciiTheme="majorBidi" w:hAnsiTheme="majorBidi" w:cstheme="majorBidi"/>
        </w:rPr>
        <w:t>) Its key tasks include scientific research, education, the development of anti-doping capacities and monitoring of the World Anti Doping Code.</w:t>
      </w:r>
    </w:p>
    <w:p w:rsidR="00414254" w:rsidRPr="00CA3FA9" w:rsidRDefault="00414254" w:rsidP="00414254">
      <w:pPr>
        <w:pStyle w:val="Sub-sub-itemDebated"/>
        <w:rPr>
          <w:rFonts w:asciiTheme="majorBidi" w:hAnsiTheme="majorBidi" w:cstheme="majorBidi"/>
          <w:b w:val="0"/>
          <w:bCs/>
        </w:rPr>
      </w:pPr>
      <w:bookmarkStart w:id="33" w:name="_Toc421186409"/>
      <w:r w:rsidRPr="00CA3FA9">
        <w:rPr>
          <w:rFonts w:asciiTheme="majorBidi" w:hAnsiTheme="majorBidi" w:cstheme="majorBidi"/>
          <w:bCs/>
        </w:rPr>
        <w:t xml:space="preserve">Work programme of the </w:t>
      </w:r>
      <w:r w:rsidRPr="00CA3FA9">
        <w:t>incoming</w:t>
      </w:r>
      <w:r w:rsidRPr="00CA3FA9">
        <w:rPr>
          <w:rFonts w:asciiTheme="majorBidi" w:hAnsiTheme="majorBidi" w:cstheme="majorBidi"/>
          <w:bCs/>
        </w:rPr>
        <w:t xml:space="preserve"> presidency</w:t>
      </w:r>
      <w:bookmarkEnd w:id="33"/>
    </w:p>
    <w:p w:rsidR="00414254" w:rsidRPr="00CA3FA9" w:rsidRDefault="00414254" w:rsidP="00414254">
      <w:pPr>
        <w:jc w:val="both"/>
        <w:rPr>
          <w:rFonts w:asciiTheme="majorBidi" w:hAnsiTheme="majorBidi" w:cstheme="majorBidi"/>
        </w:rPr>
      </w:pPr>
      <w:r w:rsidRPr="00CA3FA9">
        <w:rPr>
          <w:rFonts w:asciiTheme="majorBidi" w:hAnsiTheme="majorBidi" w:cstheme="majorBidi"/>
        </w:rPr>
        <w:t>The Council took note of information from the Luxembourg delegation concerning its main priorities in the field of sport for the coming six month</w:t>
      </w:r>
      <w:r w:rsidR="00231268">
        <w:rPr>
          <w:rFonts w:asciiTheme="majorBidi" w:hAnsiTheme="majorBidi" w:cstheme="majorBidi"/>
        </w:rPr>
        <w:t>s</w:t>
      </w:r>
      <w:r w:rsidRPr="00CA3FA9">
        <w:rPr>
          <w:rFonts w:asciiTheme="majorBidi" w:hAnsiTheme="majorBidi" w:cstheme="majorBidi"/>
        </w:rPr>
        <w:t>:</w:t>
      </w:r>
    </w:p>
    <w:p w:rsidR="00414254" w:rsidRPr="00CA3FA9" w:rsidRDefault="00231268" w:rsidP="00231268">
      <w:pPr>
        <w:pStyle w:val="Tiret0"/>
        <w:rPr>
          <w:rFonts w:asciiTheme="majorBidi" w:hAnsiTheme="majorBidi" w:cstheme="majorBidi"/>
        </w:rPr>
      </w:pPr>
      <w:r>
        <w:rPr>
          <w:rFonts w:asciiTheme="majorBidi" w:hAnsiTheme="majorBidi" w:cstheme="majorBidi"/>
        </w:rPr>
        <w:t>p</w:t>
      </w:r>
      <w:r w:rsidR="00414254" w:rsidRPr="00CA3FA9">
        <w:rPr>
          <w:rFonts w:asciiTheme="majorBidi" w:hAnsiTheme="majorBidi" w:cstheme="majorBidi"/>
        </w:rPr>
        <w:t>romotion of physical activity in school</w:t>
      </w:r>
      <w:r>
        <w:rPr>
          <w:rFonts w:asciiTheme="majorBidi" w:hAnsiTheme="majorBidi" w:cstheme="majorBidi"/>
        </w:rPr>
        <w:t>s</w:t>
      </w:r>
    </w:p>
    <w:p w:rsidR="00414254" w:rsidRPr="00CA3FA9" w:rsidRDefault="00231268" w:rsidP="00414254">
      <w:pPr>
        <w:pStyle w:val="Tiret0"/>
        <w:rPr>
          <w:rFonts w:asciiTheme="majorBidi" w:hAnsiTheme="majorBidi" w:cstheme="majorBidi"/>
        </w:rPr>
      </w:pPr>
      <w:r>
        <w:rPr>
          <w:rFonts w:asciiTheme="majorBidi" w:hAnsiTheme="majorBidi" w:cstheme="majorBidi"/>
        </w:rPr>
        <w:t>d</w:t>
      </w:r>
      <w:r w:rsidR="00414254" w:rsidRPr="00CA3FA9">
        <w:rPr>
          <w:rFonts w:asciiTheme="majorBidi" w:hAnsiTheme="majorBidi" w:cstheme="majorBidi"/>
        </w:rPr>
        <w:t xml:space="preserve">ouble </w:t>
      </w:r>
      <w:r w:rsidR="00414254" w:rsidRPr="00CA3FA9">
        <w:t>careers</w:t>
      </w:r>
      <w:r w:rsidR="00414254" w:rsidRPr="00CA3FA9">
        <w:rPr>
          <w:rFonts w:asciiTheme="majorBidi" w:hAnsiTheme="majorBidi" w:cstheme="majorBidi"/>
        </w:rPr>
        <w:t xml:space="preserve"> in sport</w:t>
      </w:r>
    </w:p>
    <w:p w:rsidR="00414254" w:rsidRPr="00CA3FA9" w:rsidRDefault="00414254" w:rsidP="00414254">
      <w:pPr>
        <w:pStyle w:val="Tiret0"/>
        <w:rPr>
          <w:rFonts w:asciiTheme="majorBidi" w:hAnsiTheme="majorBidi" w:cstheme="majorBidi"/>
        </w:rPr>
      </w:pPr>
      <w:r w:rsidRPr="00CA3FA9">
        <w:rPr>
          <w:rFonts w:asciiTheme="majorBidi" w:hAnsiTheme="majorBidi" w:cstheme="majorBidi"/>
        </w:rPr>
        <w:t xml:space="preserve">EU </w:t>
      </w:r>
      <w:r w:rsidRPr="00CA3FA9">
        <w:t>representation</w:t>
      </w:r>
      <w:r w:rsidRPr="00CA3FA9">
        <w:rPr>
          <w:rFonts w:asciiTheme="majorBidi" w:hAnsiTheme="majorBidi" w:cstheme="majorBidi"/>
        </w:rPr>
        <w:t xml:space="preserve"> and coordination at WADA</w:t>
      </w:r>
    </w:p>
    <w:p w:rsidR="00414254" w:rsidRPr="00CA3FA9" w:rsidRDefault="00231268" w:rsidP="00231268">
      <w:pPr>
        <w:pStyle w:val="Tiret0"/>
        <w:rPr>
          <w:rFonts w:asciiTheme="majorBidi" w:hAnsiTheme="majorBidi" w:cstheme="majorBidi"/>
        </w:rPr>
      </w:pPr>
      <w:r>
        <w:rPr>
          <w:rFonts w:asciiTheme="majorBidi" w:hAnsiTheme="majorBidi" w:cstheme="majorBidi"/>
        </w:rPr>
        <w:t>a</w:t>
      </w:r>
      <w:r w:rsidR="00414254" w:rsidRPr="00CA3FA9">
        <w:rPr>
          <w:rFonts w:asciiTheme="majorBidi" w:hAnsiTheme="majorBidi" w:cstheme="majorBidi"/>
        </w:rPr>
        <w:t>doption of Council of Europe Convention on the manipulation of sports competitions</w:t>
      </w:r>
    </w:p>
    <w:p w:rsidR="00414254" w:rsidRPr="00CA3FA9" w:rsidRDefault="00414254" w:rsidP="00356060">
      <w:pPr>
        <w:sectPr w:rsidR="00414254" w:rsidRPr="00CA3FA9" w:rsidSect="007B17E2">
          <w:footnotePr>
            <w:numRestart w:val="eachPage"/>
          </w:footnotePr>
          <w:pgSz w:w="11907" w:h="16840" w:code="9"/>
          <w:pgMar w:top="1134" w:right="1134" w:bottom="1134" w:left="1134" w:header="567" w:footer="567" w:gutter="0"/>
          <w:cols w:space="708"/>
          <w:docGrid w:linePitch="360"/>
        </w:sectPr>
      </w:pPr>
    </w:p>
    <w:p w:rsidR="00356060" w:rsidRPr="00CA3FA9" w:rsidRDefault="00356060" w:rsidP="00356060">
      <w:pPr>
        <w:pStyle w:val="ItemsApprovedHeading"/>
      </w:pPr>
      <w:r w:rsidRPr="00CA3FA9">
        <w:lastRenderedPageBreak/>
        <w:t>OTHER ITEMS APPROVED</w:t>
      </w:r>
    </w:p>
    <w:p w:rsidR="00505EDE" w:rsidRPr="00CA3FA9" w:rsidRDefault="00505EDE" w:rsidP="00505EDE">
      <w:pPr>
        <w:pStyle w:val="ItemApproved"/>
      </w:pPr>
      <w:r w:rsidRPr="00CA3FA9">
        <w:t>GENERAL AFFAIRS</w:t>
      </w:r>
    </w:p>
    <w:p w:rsidR="00505EDE" w:rsidRPr="00CA3FA9" w:rsidRDefault="00505EDE" w:rsidP="00505EDE">
      <w:pPr>
        <w:pStyle w:val="Sub-itemApproved"/>
      </w:pPr>
      <w:bookmarkStart w:id="34" w:name="_Toc421186411"/>
      <w:r w:rsidRPr="00CA3FA9">
        <w:t>Inland waterway transport in Europe - Report of the European Court of Auditors</w:t>
      </w:r>
      <w:bookmarkEnd w:id="34"/>
    </w:p>
    <w:p w:rsidR="00505EDE" w:rsidRPr="00CA3FA9" w:rsidRDefault="00505EDE" w:rsidP="00505EDE">
      <w:r w:rsidRPr="00CA3FA9">
        <w:t xml:space="preserve">The Council adopted conclusions on the European Court of Auditors' special report entitled "Inland Waterway Transport in Europe: No significant improvements in modal share and navigability conditions since 2001", as set out in </w:t>
      </w:r>
      <w:hyperlink r:id="rId41" w:tooltip="http://data.consilium.europa.eu/doc/document/ST-8331-2015-INIT/en/pdf" w:history="1">
        <w:r w:rsidRPr="00CA3FA9">
          <w:rPr>
            <w:rStyle w:val="Hyperlink"/>
            <w:i/>
            <w:iCs/>
          </w:rPr>
          <w:t>8331/15</w:t>
        </w:r>
      </w:hyperlink>
      <w:r w:rsidRPr="00CA3FA9">
        <w:t>.</w:t>
      </w:r>
    </w:p>
    <w:p w:rsidR="00FF3772" w:rsidRPr="00CA3FA9" w:rsidRDefault="00505EDE" w:rsidP="00505EDE">
      <w:pPr>
        <w:pStyle w:val="ItemApproved"/>
      </w:pPr>
      <w:r w:rsidRPr="00CA3FA9">
        <w:t>TRANSPORT</w:t>
      </w:r>
    </w:p>
    <w:p w:rsidR="00FF3772" w:rsidRPr="00CA3FA9" w:rsidRDefault="00FF3772" w:rsidP="00505EDE">
      <w:pPr>
        <w:pStyle w:val="Sub-itemApproved"/>
      </w:pPr>
      <w:bookmarkStart w:id="35" w:name="_Toc421186413"/>
      <w:r w:rsidRPr="00CA3FA9">
        <w:t>Fishing vessel personnel</w:t>
      </w:r>
      <w:bookmarkEnd w:id="35"/>
    </w:p>
    <w:p w:rsidR="00FF3772" w:rsidRPr="00CA3FA9" w:rsidRDefault="00FF3772" w:rsidP="00FF3772">
      <w:r w:rsidRPr="00CA3FA9">
        <w:t>The Council decided to authorise member states to become parties to the International Convention on Standards of Training, Certification and Watchkeeping for Fishing Vessel Personnel (STCW-F). The European Parliament gave its consent to the decision in April 2015, after agreement by the Council in December 2014.</w:t>
      </w:r>
    </w:p>
    <w:p w:rsidR="00FF3772" w:rsidRPr="00CA3FA9" w:rsidRDefault="00FF3772" w:rsidP="00FF3772">
      <w:r w:rsidRPr="00CA3FA9">
        <w:t>The STCW-F is an International Maritime Organisation convention aimed at making safety standards for crews of fishing vessels mandatory worldwide.</w:t>
      </w:r>
    </w:p>
    <w:p w:rsidR="00505EDE" w:rsidRPr="00CA3FA9" w:rsidRDefault="00FF3772" w:rsidP="00505EDE">
      <w:r w:rsidRPr="00CA3FA9">
        <w:t xml:space="preserve">For more information, see </w:t>
      </w:r>
      <w:hyperlink r:id="rId42" w:history="1">
        <w:r w:rsidRPr="00CA3FA9">
          <w:rPr>
            <w:rStyle w:val="Hyperlink"/>
          </w:rPr>
          <w:t>Transport Council press release from December 2014</w:t>
        </w:r>
      </w:hyperlink>
    </w:p>
    <w:p w:rsidR="00FF3772" w:rsidRPr="00CA3FA9" w:rsidRDefault="007B17E2" w:rsidP="00505EDE">
      <w:hyperlink r:id="rId43" w:history="1">
        <w:r w:rsidR="00FF3772" w:rsidRPr="00CA3FA9">
          <w:rPr>
            <w:rStyle w:val="Hyperlink"/>
          </w:rPr>
          <w:t>Council decision authorising member states to become parties to the International Convention on Standards of Training, Certification and Watchkeeping for Fishing Vessel Personnel</w:t>
        </w:r>
      </w:hyperlink>
    </w:p>
    <w:p w:rsidR="00505EDE" w:rsidRPr="00CA3FA9" w:rsidRDefault="00505EDE" w:rsidP="00505EDE">
      <w:pPr>
        <w:pStyle w:val="Sub-itemApproved"/>
      </w:pPr>
      <w:bookmarkStart w:id="36" w:name="_Toc421186414"/>
      <w:r w:rsidRPr="00CA3FA9">
        <w:t>Port state control*</w:t>
      </w:r>
      <w:bookmarkEnd w:id="36"/>
    </w:p>
    <w:p w:rsidR="00505EDE" w:rsidRPr="00CA3FA9" w:rsidRDefault="00505EDE" w:rsidP="00505EDE">
      <w:r w:rsidRPr="00CA3FA9">
        <w:t>The Council adopted a decision that contains the position to be adopted by the member states in the Port State Control Committee (PSCC) of the Paris Memorandum of Understanding on Port State Control (Paris MOU). The decision covers the 48th session of the PSCC, which will be held in the Netherlands from 18 to 22 May 2015. During that session, the PSCC is expected to decide on certain issues which have direct legal effect on the EU directive on port state control.</w:t>
      </w:r>
    </w:p>
    <w:p w:rsidR="00505EDE" w:rsidRPr="00CA3FA9" w:rsidRDefault="00505EDE" w:rsidP="00505EDE">
      <w:r w:rsidRPr="00CA3FA9">
        <w:br w:type="page"/>
      </w:r>
      <w:r w:rsidRPr="00CA3FA9">
        <w:lastRenderedPageBreak/>
        <w:t>Port state control means monitoring the compliance of ships with the international standards for safety, pollution prevention and on-board living and working conditions. While the primary responsibility for compliance rests with the flag state, inspections by port states play an important role as a second line of defence against substandard shipping.</w:t>
      </w:r>
    </w:p>
    <w:p w:rsidR="00895676" w:rsidRPr="00CA3FA9" w:rsidRDefault="007B17E2" w:rsidP="00505EDE">
      <w:pPr>
        <w:rPr>
          <w:u w:val="single"/>
        </w:rPr>
      </w:pPr>
      <w:hyperlink r:id="rId44" w:history="1">
        <w:r w:rsidR="00505EDE" w:rsidRPr="00CA3FA9">
          <w:rPr>
            <w:rStyle w:val="Hyperlink"/>
          </w:rPr>
          <w:t>Statement on the adoption of the decision concerning Paris MOU PSCC</w:t>
        </w:r>
      </w:hyperlink>
    </w:p>
    <w:p w:rsidR="00505EDE" w:rsidRPr="00CA3FA9" w:rsidRDefault="00505EDE" w:rsidP="00505EDE">
      <w:pPr>
        <w:pStyle w:val="ItemApproved"/>
      </w:pPr>
      <w:r w:rsidRPr="00CA3FA9">
        <w:t>ENVIRONMENT</w:t>
      </w:r>
    </w:p>
    <w:p w:rsidR="00505EDE" w:rsidRPr="00CA3FA9" w:rsidRDefault="00505EDE" w:rsidP="00505EDE">
      <w:pPr>
        <w:pStyle w:val="Sub-itemApproved"/>
      </w:pPr>
      <w:bookmarkStart w:id="37" w:name="_Toc421186416"/>
      <w:r w:rsidRPr="00CA3FA9">
        <w:t>List of restricted substances</w:t>
      </w:r>
      <w:bookmarkEnd w:id="37"/>
    </w:p>
    <w:p w:rsidR="00505EDE" w:rsidRPr="00CA3FA9" w:rsidRDefault="00505EDE" w:rsidP="00231268">
      <w:pPr>
        <w:rPr>
          <w:rFonts w:asciiTheme="majorBidi" w:hAnsiTheme="majorBidi" w:cstheme="majorBidi"/>
        </w:rPr>
      </w:pPr>
      <w:r w:rsidRPr="00CA3FA9">
        <w:rPr>
          <w:rFonts w:asciiTheme="majorBidi" w:hAnsiTheme="majorBidi" w:cstheme="majorBidi"/>
        </w:rPr>
        <w:t xml:space="preserve">The Council did not to raise objections to a Commission delegated act amending Annex II to Directive 2011/65/EU on the restriction of the use of certain hazardous substances in electrical and electronic equipment as regards the list of restricted substances </w:t>
      </w:r>
      <w:r w:rsidRPr="00CA3FA9">
        <w:rPr>
          <w:rFonts w:asciiTheme="majorBidi" w:hAnsiTheme="majorBidi" w:cstheme="majorBidi"/>
          <w:i/>
          <w:iCs/>
        </w:rPr>
        <w:t>(</w:t>
      </w:r>
      <w:hyperlink r:id="rId45" w:tooltip="http://data.consilium.europa.eu/doc/document/ST-8108-2015-INIT/en/pdf" w:history="1">
        <w:r w:rsidRPr="00CA3FA9">
          <w:rPr>
            <w:rStyle w:val="Hyperlink"/>
            <w:rFonts w:asciiTheme="majorBidi" w:hAnsiTheme="majorBidi" w:cstheme="majorBidi"/>
            <w:i/>
            <w:iCs/>
          </w:rPr>
          <w:t>8108/15</w:t>
        </w:r>
      </w:hyperlink>
      <w:r w:rsidRPr="00CA3FA9">
        <w:rPr>
          <w:rFonts w:asciiTheme="majorBidi" w:hAnsiTheme="majorBidi" w:cstheme="majorBidi"/>
          <w:i/>
          <w:iCs/>
        </w:rPr>
        <w:t>+ ADD 1</w:t>
      </w:r>
      <w:r w:rsidRPr="00CA3FA9">
        <w:rPr>
          <w:rFonts w:asciiTheme="majorBidi" w:hAnsiTheme="majorBidi" w:cstheme="majorBidi"/>
        </w:rPr>
        <w:t>) .The Commission and the European Parliament will be informed.</w:t>
      </w:r>
    </w:p>
    <w:p w:rsidR="00505EDE" w:rsidRPr="00CA3FA9" w:rsidRDefault="00505EDE" w:rsidP="00003053">
      <w:pPr>
        <w:rPr>
          <w:rFonts w:asciiTheme="majorBidi" w:hAnsiTheme="majorBidi" w:cstheme="majorBidi"/>
        </w:rPr>
      </w:pPr>
      <w:r w:rsidRPr="00CA3FA9">
        <w:rPr>
          <w:rFonts w:asciiTheme="majorBidi" w:hAnsiTheme="majorBidi" w:cstheme="majorBidi"/>
        </w:rPr>
        <w:t xml:space="preserve">This </w:t>
      </w:r>
      <w:r w:rsidR="00003053">
        <w:rPr>
          <w:rFonts w:asciiTheme="majorBidi" w:hAnsiTheme="majorBidi" w:cstheme="majorBidi"/>
        </w:rPr>
        <w:t>means</w:t>
      </w:r>
      <w:r w:rsidR="00003053" w:rsidRPr="00CA3FA9">
        <w:rPr>
          <w:rFonts w:asciiTheme="majorBidi" w:hAnsiTheme="majorBidi" w:cstheme="majorBidi"/>
        </w:rPr>
        <w:t xml:space="preserve"> </w:t>
      </w:r>
      <w:r w:rsidRPr="00CA3FA9">
        <w:rPr>
          <w:rFonts w:asciiTheme="majorBidi" w:hAnsiTheme="majorBidi" w:cstheme="majorBidi"/>
        </w:rPr>
        <w:t xml:space="preserve">that, unless the European Parliament objects, the delegated act </w:t>
      </w:r>
      <w:r w:rsidR="00003053">
        <w:rPr>
          <w:rFonts w:asciiTheme="majorBidi" w:hAnsiTheme="majorBidi" w:cstheme="majorBidi"/>
        </w:rPr>
        <w:t>wi</w:t>
      </w:r>
      <w:r w:rsidRPr="00CA3FA9">
        <w:rPr>
          <w:rFonts w:asciiTheme="majorBidi" w:hAnsiTheme="majorBidi" w:cstheme="majorBidi"/>
        </w:rPr>
        <w:t>ll be published and enter into force on the twentieth day following its publication in the Official Journal of the European Union</w:t>
      </w:r>
      <w:r w:rsidR="009F2E3A" w:rsidRPr="00CA3FA9">
        <w:rPr>
          <w:rFonts w:asciiTheme="majorBidi" w:hAnsiTheme="majorBidi" w:cstheme="majorBidi"/>
        </w:rPr>
        <w:t>.</w:t>
      </w:r>
    </w:p>
    <w:p w:rsidR="009F2E3A" w:rsidRPr="00CA3FA9" w:rsidRDefault="009F2E3A" w:rsidP="009F2E3A">
      <w:pPr>
        <w:pStyle w:val="ItemApproved"/>
      </w:pPr>
      <w:r w:rsidRPr="00CA3FA9">
        <w:t>TRANSPARENCY</w:t>
      </w:r>
    </w:p>
    <w:p w:rsidR="009F2E3A" w:rsidRPr="00CA3FA9" w:rsidRDefault="009F2E3A" w:rsidP="009F2E3A">
      <w:pPr>
        <w:pStyle w:val="Sub-itemApproved"/>
      </w:pPr>
      <w:bookmarkStart w:id="38" w:name="_Toc421186418"/>
      <w:r w:rsidRPr="00CA3FA9">
        <w:t>Public access to documents</w:t>
      </w:r>
      <w:bookmarkEnd w:id="38"/>
    </w:p>
    <w:p w:rsidR="009F2E3A" w:rsidRPr="00CA3FA9" w:rsidRDefault="009F2E3A" w:rsidP="009F2E3A">
      <w:pPr>
        <w:pStyle w:val="EndnoteText"/>
        <w:rPr>
          <w:lang w:val="en-GB"/>
        </w:rPr>
      </w:pPr>
      <w:r w:rsidRPr="00CA3FA9">
        <w:rPr>
          <w:lang w:val="en-GB"/>
        </w:rPr>
        <w:t>On 18 May</w:t>
      </w:r>
      <w:r w:rsidRPr="00CA3FA9">
        <w:rPr>
          <w:b/>
          <w:lang w:val="en-GB"/>
        </w:rPr>
        <w:t xml:space="preserve"> </w:t>
      </w:r>
      <w:r w:rsidRPr="00CA3FA9">
        <w:rPr>
          <w:lang w:val="en-GB"/>
        </w:rPr>
        <w:t>2015, the Council approved:</w:t>
      </w:r>
    </w:p>
    <w:p w:rsidR="009F2E3A" w:rsidRPr="00CA3FA9" w:rsidRDefault="009F2E3A" w:rsidP="009F2E3A">
      <w:pPr>
        <w:pStyle w:val="Tiret0"/>
        <w:rPr>
          <w:bCs/>
        </w:rPr>
      </w:pPr>
      <w:r w:rsidRPr="00CA3FA9">
        <w:t>the reply to confirmatory application No 07/c/01/15 (</w:t>
      </w:r>
      <w:hyperlink r:id="rId46" w:tooltip="http://data.consilium.europa.eu/doc/document/ST-7861-2015-INIT/en/pdf" w:history="1">
        <w:r w:rsidR="00D0087C">
          <w:rPr>
            <w:rStyle w:val="Hyperlink"/>
            <w:i/>
            <w:iCs/>
          </w:rPr>
          <w:t>7861/15</w:t>
        </w:r>
      </w:hyperlink>
      <w:r w:rsidRPr="00CA3FA9">
        <w:rPr>
          <w:bCs/>
        </w:rPr>
        <w:t>).</w:t>
      </w:r>
    </w:p>
    <w:p w:rsidR="009F2E3A" w:rsidRPr="00CA3FA9" w:rsidRDefault="009F2E3A" w:rsidP="009F2E3A">
      <w:pPr>
        <w:pStyle w:val="FinalLine"/>
      </w:pPr>
      <w:bookmarkStart w:id="39" w:name="_GoBack"/>
      <w:bookmarkEnd w:id="39"/>
    </w:p>
    <w:sectPr w:rsidR="009F2E3A" w:rsidRPr="00CA3FA9" w:rsidSect="007B17E2">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96" w:rsidRDefault="00860896">
      <w:pPr>
        <w:spacing w:before="0" w:after="0"/>
      </w:pPr>
      <w:r>
        <w:separator/>
      </w:r>
    </w:p>
  </w:endnote>
  <w:endnote w:type="continuationSeparator" w:id="0">
    <w:p w:rsidR="00860896" w:rsidRDefault="008608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E2" w:rsidRPr="007B17E2" w:rsidRDefault="007B17E2" w:rsidP="007B1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B17E2" w:rsidRPr="007410E8" w:rsidTr="007B17E2">
      <w:trPr>
        <w:jc w:val="center"/>
      </w:trPr>
      <w:tc>
        <w:tcPr>
          <w:tcW w:w="2604" w:type="pct"/>
          <w:shd w:val="clear" w:color="auto" w:fill="auto"/>
        </w:tcPr>
        <w:p w:rsidR="007B17E2" w:rsidRPr="007410E8" w:rsidRDefault="007B17E2" w:rsidP="0035025C">
          <w:pPr>
            <w:pStyle w:val="FooterText"/>
            <w:rPr>
              <w:sz w:val="16"/>
              <w:szCs w:val="16"/>
            </w:rPr>
          </w:pPr>
          <w:bookmarkStart w:id="1" w:name="FOOTER_PR_STANDARD"/>
        </w:p>
      </w:tc>
      <w:tc>
        <w:tcPr>
          <w:tcW w:w="1319" w:type="pct"/>
          <w:shd w:val="clear" w:color="auto" w:fill="auto"/>
        </w:tcPr>
        <w:p w:rsidR="007B17E2" w:rsidRPr="007410E8" w:rsidRDefault="007B17E2" w:rsidP="0035025C">
          <w:pPr>
            <w:pStyle w:val="FooterText"/>
            <w:rPr>
              <w:sz w:val="16"/>
              <w:szCs w:val="16"/>
            </w:rPr>
          </w:pPr>
        </w:p>
      </w:tc>
      <w:tc>
        <w:tcPr>
          <w:tcW w:w="1077" w:type="pct"/>
          <w:shd w:val="clear" w:color="auto" w:fill="auto"/>
        </w:tcPr>
        <w:p w:rsidR="007B17E2" w:rsidRPr="007410E8" w:rsidRDefault="007B17E2" w:rsidP="0035025C">
          <w:pPr>
            <w:pStyle w:val="FooterText"/>
            <w:jc w:val="right"/>
            <w:rPr>
              <w:sz w:val="16"/>
              <w:szCs w:val="16"/>
            </w:rPr>
          </w:pPr>
        </w:p>
      </w:tc>
    </w:tr>
    <w:tr w:rsidR="007B17E2" w:rsidRPr="007410E8" w:rsidTr="007B17E2">
      <w:trPr>
        <w:jc w:val="center"/>
      </w:trPr>
      <w:tc>
        <w:tcPr>
          <w:tcW w:w="2604" w:type="pct"/>
          <w:shd w:val="clear" w:color="auto" w:fill="auto"/>
        </w:tcPr>
        <w:p w:rsidR="007B17E2" w:rsidRPr="007410E8" w:rsidRDefault="007B17E2" w:rsidP="0035025C">
          <w:pPr>
            <w:pStyle w:val="FooterText"/>
            <w:rPr>
              <w:sz w:val="16"/>
            </w:rPr>
          </w:pPr>
          <w:r>
            <w:t>8965/15</w:t>
          </w:r>
          <w:r w:rsidRPr="002511D8">
            <w:t xml:space="preserve"> </w:t>
          </w:r>
        </w:p>
      </w:tc>
      <w:tc>
        <w:tcPr>
          <w:tcW w:w="1319" w:type="pct"/>
          <w:shd w:val="clear" w:color="auto" w:fill="auto"/>
        </w:tcPr>
        <w:p w:rsidR="007B17E2" w:rsidRPr="007410E8" w:rsidRDefault="007B17E2" w:rsidP="0035025C">
          <w:pPr>
            <w:pStyle w:val="FooterText"/>
            <w:rPr>
              <w:sz w:val="16"/>
            </w:rPr>
          </w:pPr>
        </w:p>
      </w:tc>
      <w:tc>
        <w:tcPr>
          <w:tcW w:w="1077" w:type="pct"/>
          <w:shd w:val="clear" w:color="auto" w:fill="auto"/>
        </w:tcPr>
        <w:p w:rsidR="007B17E2" w:rsidRPr="007410E8" w:rsidRDefault="007B17E2" w:rsidP="0035025C">
          <w:pPr>
            <w:pStyle w:val="FooterText"/>
            <w:jc w:val="right"/>
            <w:rPr>
              <w:sz w:val="16"/>
            </w:rPr>
          </w:pPr>
          <w:r>
            <w:fldChar w:fldCharType="begin"/>
          </w:r>
          <w:r>
            <w:instrText xml:space="preserve"> PAGE  \* MERGEFORMAT </w:instrText>
          </w:r>
          <w:r>
            <w:fldChar w:fldCharType="separate"/>
          </w:r>
          <w:r>
            <w:rPr>
              <w:noProof/>
            </w:rPr>
            <w:t>19</w:t>
          </w:r>
          <w:r>
            <w:fldChar w:fldCharType="end"/>
          </w:r>
        </w:p>
      </w:tc>
    </w:tr>
    <w:tr w:rsidR="007B17E2" w:rsidRPr="007410E8" w:rsidTr="007B17E2">
      <w:trPr>
        <w:jc w:val="center"/>
      </w:trPr>
      <w:tc>
        <w:tcPr>
          <w:tcW w:w="2604" w:type="pct"/>
          <w:shd w:val="clear" w:color="auto" w:fill="auto"/>
        </w:tcPr>
        <w:p w:rsidR="007B17E2" w:rsidRPr="007410E8" w:rsidRDefault="007B17E2" w:rsidP="0035025C">
          <w:pPr>
            <w:pStyle w:val="FooterText"/>
            <w:rPr>
              <w:sz w:val="16"/>
            </w:rPr>
          </w:pPr>
        </w:p>
      </w:tc>
      <w:tc>
        <w:tcPr>
          <w:tcW w:w="1319" w:type="pct"/>
          <w:shd w:val="clear" w:color="auto" w:fill="auto"/>
        </w:tcPr>
        <w:p w:rsidR="007B17E2" w:rsidRPr="007410E8" w:rsidRDefault="007B17E2" w:rsidP="0035025C">
          <w:pPr>
            <w:pStyle w:val="FooterText"/>
            <w:rPr>
              <w:sz w:val="16"/>
            </w:rPr>
          </w:pPr>
        </w:p>
      </w:tc>
      <w:tc>
        <w:tcPr>
          <w:tcW w:w="1077" w:type="pct"/>
          <w:shd w:val="clear" w:color="auto" w:fill="auto"/>
        </w:tcPr>
        <w:p w:rsidR="007B17E2" w:rsidRPr="007410E8" w:rsidRDefault="007B17E2" w:rsidP="0035025C">
          <w:pPr>
            <w:pStyle w:val="FooterText"/>
            <w:jc w:val="right"/>
            <w:rPr>
              <w:sz w:val="16"/>
            </w:rPr>
          </w:pPr>
          <w:r>
            <w:rPr>
              <w:b/>
              <w:position w:val="-4"/>
              <w:sz w:val="36"/>
            </w:rPr>
            <w:t>EN</w:t>
          </w:r>
        </w:p>
      </w:tc>
    </w:tr>
    <w:bookmarkEnd w:id="1"/>
  </w:tbl>
  <w:p w:rsidR="00860896" w:rsidRPr="007B17E2" w:rsidRDefault="00860896" w:rsidP="007B17E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7B17E2" w:rsidRPr="009C2FB3" w:rsidTr="007B17E2">
      <w:trPr>
        <w:jc w:val="center"/>
      </w:trPr>
      <w:tc>
        <w:tcPr>
          <w:tcW w:w="569" w:type="pct"/>
          <w:shd w:val="clear" w:color="auto" w:fill="auto"/>
        </w:tcPr>
        <w:p w:rsidR="007B17E2" w:rsidRPr="009C2FB3" w:rsidRDefault="007B17E2" w:rsidP="0035025C">
          <w:pPr>
            <w:pStyle w:val="FooterText"/>
          </w:pPr>
          <w:bookmarkStart w:id="2" w:name="FOOTER_PR_COVERPAGE"/>
        </w:p>
      </w:tc>
      <w:tc>
        <w:tcPr>
          <w:tcW w:w="3760" w:type="pct"/>
          <w:gridSpan w:val="3"/>
          <w:shd w:val="clear" w:color="auto" w:fill="auto"/>
          <w:noWrap/>
        </w:tcPr>
        <w:p w:rsidR="007B17E2" w:rsidRPr="00F37CD6" w:rsidRDefault="007B17E2"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7B17E2" w:rsidRPr="009C2FB3" w:rsidRDefault="007B17E2" w:rsidP="0035025C">
          <w:pPr>
            <w:pStyle w:val="FooterText"/>
          </w:pPr>
        </w:p>
      </w:tc>
    </w:tr>
    <w:tr w:rsidR="007B17E2" w:rsidRPr="007B17E2" w:rsidTr="007B17E2">
      <w:trPr>
        <w:jc w:val="center"/>
      </w:trPr>
      <w:tc>
        <w:tcPr>
          <w:tcW w:w="5000" w:type="pct"/>
          <w:gridSpan w:val="5"/>
          <w:shd w:val="clear" w:color="auto" w:fill="auto"/>
        </w:tcPr>
        <w:p w:rsidR="007B17E2" w:rsidRPr="007B17E2" w:rsidRDefault="007B17E2" w:rsidP="0035025C">
          <w:pPr>
            <w:pStyle w:val="FooterAddressText"/>
            <w:rPr>
              <w:lang w:val="fr-BE"/>
            </w:rPr>
          </w:pPr>
        </w:p>
        <w:p w:rsidR="007B17E2" w:rsidRPr="007B17E2" w:rsidRDefault="007B17E2" w:rsidP="0035025C">
          <w:pPr>
            <w:pStyle w:val="FooterAddressText"/>
            <w:rPr>
              <w:lang w:val="fr-BE"/>
            </w:rPr>
          </w:pPr>
          <w:r w:rsidRPr="007B17E2">
            <w:rPr>
              <w:lang w:val="fr-BE"/>
            </w:rPr>
            <w:t>Rue de la Loi 175  B – 1048 BRUSSELS  Tel.: +32 (0)2 281 6319  Fax: +32 (0)2 281 8026</w:t>
          </w:r>
        </w:p>
      </w:tc>
    </w:tr>
    <w:tr w:rsidR="007B17E2" w:rsidRPr="007B17E2" w:rsidTr="007B17E2">
      <w:trPr>
        <w:jc w:val="center"/>
      </w:trPr>
      <w:tc>
        <w:tcPr>
          <w:tcW w:w="5000" w:type="pct"/>
          <w:gridSpan w:val="5"/>
          <w:shd w:val="clear" w:color="auto" w:fill="auto"/>
        </w:tcPr>
        <w:p w:rsidR="007B17E2" w:rsidRPr="007B17E2" w:rsidRDefault="007B17E2" w:rsidP="0035025C">
          <w:pPr>
            <w:pStyle w:val="FooterText"/>
            <w:jc w:val="center"/>
            <w:rPr>
              <w:sz w:val="20"/>
              <w:szCs w:val="20"/>
              <w:lang w:val="fr-BE"/>
            </w:rPr>
          </w:pPr>
          <w:hyperlink r:id="rId1" w:history="1">
            <w:r w:rsidRPr="007B17E2">
              <w:rPr>
                <w:rStyle w:val="Hyperlink"/>
                <w:sz w:val="20"/>
                <w:lang w:val="fr-BE"/>
              </w:rPr>
              <w:t>press.office@consilium.europa.eu</w:t>
            </w:r>
          </w:hyperlink>
          <w:r w:rsidRPr="007B17E2">
            <w:rPr>
              <w:sz w:val="20"/>
              <w:szCs w:val="20"/>
              <w:lang w:val="fr-BE"/>
            </w:rPr>
            <w:t xml:space="preserve">  </w:t>
          </w:r>
          <w:hyperlink r:id="rId2" w:history="1">
            <w:r w:rsidRPr="007B17E2">
              <w:rPr>
                <w:rStyle w:val="Hyperlink"/>
                <w:sz w:val="20"/>
                <w:lang w:val="fr-BE"/>
              </w:rPr>
              <w:t>http://www.consilium.europa.eu/press</w:t>
            </w:r>
          </w:hyperlink>
        </w:p>
      </w:tc>
    </w:tr>
    <w:tr w:rsidR="007B17E2" w:rsidRPr="007410E8" w:rsidTr="007B17E2">
      <w:trPr>
        <w:jc w:val="center"/>
      </w:trPr>
      <w:tc>
        <w:tcPr>
          <w:tcW w:w="2604" w:type="pct"/>
          <w:gridSpan w:val="2"/>
          <w:shd w:val="clear" w:color="auto" w:fill="auto"/>
        </w:tcPr>
        <w:p w:rsidR="007B17E2" w:rsidRPr="007410E8" w:rsidRDefault="007B17E2" w:rsidP="0035025C">
          <w:pPr>
            <w:pStyle w:val="FooterText"/>
            <w:spacing w:before="60"/>
            <w:rPr>
              <w:sz w:val="16"/>
            </w:rPr>
          </w:pPr>
          <w:r>
            <w:t>8965/15</w:t>
          </w:r>
          <w:r w:rsidRPr="002511D8">
            <w:t xml:space="preserve"> </w:t>
          </w:r>
        </w:p>
      </w:tc>
      <w:tc>
        <w:tcPr>
          <w:tcW w:w="1319" w:type="pct"/>
          <w:shd w:val="clear" w:color="auto" w:fill="auto"/>
        </w:tcPr>
        <w:p w:rsidR="007B17E2" w:rsidRPr="007410E8" w:rsidRDefault="007B17E2" w:rsidP="0035025C">
          <w:pPr>
            <w:pStyle w:val="FooterText"/>
            <w:spacing w:before="120"/>
            <w:rPr>
              <w:sz w:val="16"/>
            </w:rPr>
          </w:pPr>
        </w:p>
      </w:tc>
      <w:tc>
        <w:tcPr>
          <w:tcW w:w="1077" w:type="pct"/>
          <w:gridSpan w:val="2"/>
          <w:shd w:val="clear" w:color="auto" w:fill="auto"/>
        </w:tcPr>
        <w:p w:rsidR="007B17E2" w:rsidRPr="007410E8" w:rsidRDefault="007B17E2"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7B17E2" w:rsidRPr="007410E8" w:rsidTr="007B17E2">
      <w:trPr>
        <w:jc w:val="center"/>
      </w:trPr>
      <w:tc>
        <w:tcPr>
          <w:tcW w:w="2604" w:type="pct"/>
          <w:gridSpan w:val="2"/>
          <w:shd w:val="clear" w:color="auto" w:fill="auto"/>
        </w:tcPr>
        <w:p w:rsidR="007B17E2" w:rsidRPr="007410E8" w:rsidRDefault="007B17E2" w:rsidP="0035025C">
          <w:pPr>
            <w:pStyle w:val="FooterText"/>
            <w:rPr>
              <w:sz w:val="16"/>
            </w:rPr>
          </w:pPr>
        </w:p>
      </w:tc>
      <w:tc>
        <w:tcPr>
          <w:tcW w:w="1319" w:type="pct"/>
          <w:shd w:val="clear" w:color="auto" w:fill="auto"/>
        </w:tcPr>
        <w:p w:rsidR="007B17E2" w:rsidRPr="007410E8" w:rsidRDefault="007B17E2" w:rsidP="0035025C">
          <w:pPr>
            <w:pStyle w:val="FooterText"/>
            <w:rPr>
              <w:sz w:val="16"/>
            </w:rPr>
          </w:pPr>
        </w:p>
      </w:tc>
      <w:tc>
        <w:tcPr>
          <w:tcW w:w="1077" w:type="pct"/>
          <w:gridSpan w:val="2"/>
          <w:shd w:val="clear" w:color="auto" w:fill="auto"/>
        </w:tcPr>
        <w:p w:rsidR="007B17E2" w:rsidRPr="007410E8" w:rsidRDefault="007B17E2" w:rsidP="0035025C">
          <w:pPr>
            <w:pStyle w:val="FooterText"/>
            <w:jc w:val="right"/>
            <w:rPr>
              <w:sz w:val="16"/>
            </w:rPr>
          </w:pPr>
          <w:r>
            <w:rPr>
              <w:b/>
              <w:position w:val="-4"/>
              <w:sz w:val="36"/>
            </w:rPr>
            <w:t>EN</w:t>
          </w:r>
        </w:p>
      </w:tc>
    </w:tr>
    <w:bookmarkEnd w:id="2"/>
  </w:tbl>
  <w:p w:rsidR="00860896" w:rsidRPr="007B17E2" w:rsidRDefault="00860896" w:rsidP="007B17E2">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7B17E2" w:rsidRPr="007410E8" w:rsidTr="007B17E2">
      <w:trPr>
        <w:jc w:val="center"/>
      </w:trPr>
      <w:tc>
        <w:tcPr>
          <w:tcW w:w="5000" w:type="pct"/>
          <w:gridSpan w:val="3"/>
          <w:shd w:val="clear" w:color="auto" w:fill="auto"/>
        </w:tcPr>
        <w:p w:rsidR="007B17E2" w:rsidRPr="007410E8" w:rsidRDefault="007B17E2"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7B17E2" w:rsidRPr="007410E8" w:rsidRDefault="007B17E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7B17E2" w:rsidRPr="007410E8" w:rsidRDefault="007B17E2"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7B17E2" w:rsidRPr="007410E8" w:rsidRDefault="007B17E2" w:rsidP="0035025C">
          <w:pPr>
            <w:pStyle w:val="FooterText"/>
            <w:tabs>
              <w:tab w:val="left" w:pos="285"/>
              <w:tab w:val="left" w:pos="585"/>
            </w:tabs>
            <w:rPr>
              <w:sz w:val="21"/>
              <w:szCs w:val="21"/>
            </w:rPr>
          </w:pPr>
        </w:p>
      </w:tc>
    </w:tr>
    <w:tr w:rsidR="007B17E2" w:rsidRPr="007410E8" w:rsidTr="007B17E2">
      <w:trPr>
        <w:jc w:val="center"/>
      </w:trPr>
      <w:tc>
        <w:tcPr>
          <w:tcW w:w="2604" w:type="pct"/>
          <w:shd w:val="clear" w:color="auto" w:fill="auto"/>
        </w:tcPr>
        <w:p w:rsidR="007B17E2" w:rsidRPr="007410E8" w:rsidRDefault="007B17E2" w:rsidP="0035025C">
          <w:pPr>
            <w:pStyle w:val="FooterText"/>
            <w:rPr>
              <w:sz w:val="16"/>
            </w:rPr>
          </w:pPr>
          <w:r>
            <w:t>8965/15</w:t>
          </w:r>
          <w:r w:rsidRPr="002511D8">
            <w:t xml:space="preserve"> </w:t>
          </w:r>
        </w:p>
      </w:tc>
      <w:tc>
        <w:tcPr>
          <w:tcW w:w="1319" w:type="pct"/>
          <w:shd w:val="clear" w:color="auto" w:fill="auto"/>
        </w:tcPr>
        <w:p w:rsidR="007B17E2" w:rsidRPr="007410E8" w:rsidRDefault="007B17E2" w:rsidP="0035025C">
          <w:pPr>
            <w:pStyle w:val="FooterText"/>
            <w:rPr>
              <w:sz w:val="16"/>
            </w:rPr>
          </w:pPr>
        </w:p>
      </w:tc>
      <w:tc>
        <w:tcPr>
          <w:tcW w:w="1077" w:type="pct"/>
          <w:shd w:val="clear" w:color="auto" w:fill="auto"/>
        </w:tcPr>
        <w:p w:rsidR="007B17E2" w:rsidRPr="007410E8" w:rsidRDefault="007B17E2"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7B17E2" w:rsidRPr="007410E8" w:rsidTr="007B17E2">
      <w:trPr>
        <w:jc w:val="center"/>
      </w:trPr>
      <w:tc>
        <w:tcPr>
          <w:tcW w:w="2604" w:type="pct"/>
          <w:shd w:val="clear" w:color="auto" w:fill="auto"/>
        </w:tcPr>
        <w:p w:rsidR="007B17E2" w:rsidRPr="007410E8" w:rsidRDefault="007B17E2" w:rsidP="0035025C">
          <w:pPr>
            <w:pStyle w:val="FooterText"/>
            <w:rPr>
              <w:sz w:val="16"/>
            </w:rPr>
          </w:pPr>
        </w:p>
      </w:tc>
      <w:tc>
        <w:tcPr>
          <w:tcW w:w="1319" w:type="pct"/>
          <w:shd w:val="clear" w:color="auto" w:fill="auto"/>
        </w:tcPr>
        <w:p w:rsidR="007B17E2" w:rsidRPr="007410E8" w:rsidRDefault="007B17E2" w:rsidP="0035025C">
          <w:pPr>
            <w:pStyle w:val="FooterText"/>
            <w:rPr>
              <w:sz w:val="16"/>
            </w:rPr>
          </w:pPr>
        </w:p>
      </w:tc>
      <w:tc>
        <w:tcPr>
          <w:tcW w:w="1077" w:type="pct"/>
          <w:shd w:val="clear" w:color="auto" w:fill="auto"/>
        </w:tcPr>
        <w:p w:rsidR="007B17E2" w:rsidRPr="007410E8" w:rsidRDefault="007B17E2" w:rsidP="0035025C">
          <w:pPr>
            <w:pStyle w:val="FooterText"/>
            <w:jc w:val="right"/>
            <w:rPr>
              <w:sz w:val="16"/>
            </w:rPr>
          </w:pPr>
          <w:r>
            <w:rPr>
              <w:b/>
              <w:position w:val="-4"/>
              <w:sz w:val="36"/>
            </w:rPr>
            <w:t>EN</w:t>
          </w:r>
        </w:p>
      </w:tc>
    </w:tr>
    <w:bookmarkEnd w:id="4"/>
  </w:tbl>
  <w:p w:rsidR="00860896" w:rsidRPr="007B17E2" w:rsidRDefault="00860896" w:rsidP="007B17E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96" w:rsidRDefault="00860896">
      <w:pPr>
        <w:spacing w:before="0" w:after="0"/>
      </w:pPr>
      <w:r>
        <w:separator/>
      </w:r>
    </w:p>
  </w:footnote>
  <w:footnote w:type="continuationSeparator" w:id="0">
    <w:p w:rsidR="00860896" w:rsidRDefault="00860896">
      <w:pPr>
        <w:spacing w:before="0" w:after="0"/>
      </w:pPr>
      <w:r>
        <w:continuationSeparator/>
      </w:r>
    </w:p>
  </w:footnote>
  <w:footnote w:id="1">
    <w:p w:rsidR="00860896" w:rsidRPr="00861ADC" w:rsidRDefault="00860896" w:rsidP="00DD190F">
      <w:pPr>
        <w:pStyle w:val="FootnoteText"/>
        <w:rPr>
          <w:rFonts w:asciiTheme="majorBidi" w:hAnsiTheme="majorBidi" w:cstheme="majorBidi"/>
          <w:szCs w:val="24"/>
          <w:lang w:val="pt-PT"/>
        </w:rPr>
      </w:pPr>
      <w:r>
        <w:rPr>
          <w:rStyle w:val="FootnoteReference"/>
        </w:rPr>
        <w:footnoteRef/>
      </w:r>
      <w:r>
        <w:tab/>
      </w:r>
      <w:r w:rsidRPr="00861ADC">
        <w:rPr>
          <w:rFonts w:asciiTheme="majorBidi" w:hAnsiTheme="majorBidi" w:cstheme="majorBidi"/>
          <w:szCs w:val="24"/>
        </w:rPr>
        <w:t>Joint recommendations</w:t>
      </w:r>
      <w:r w:rsidRPr="00861ADC">
        <w:rPr>
          <w:rFonts w:asciiTheme="majorBidi" w:hAnsiTheme="majorBidi" w:cstheme="majorBidi"/>
          <w:szCs w:val="24"/>
          <w:lang w:val="pt-PT"/>
        </w:rPr>
        <w:t xml:space="preserve"> </w:t>
      </w:r>
      <w:r w:rsidRPr="00861ADC">
        <w:rPr>
          <w:rFonts w:asciiTheme="majorBidi" w:hAnsiTheme="majorBidi" w:cstheme="majorBidi"/>
          <w:i/>
          <w:iCs/>
          <w:szCs w:val="24"/>
        </w:rPr>
        <w:t>(</w:t>
      </w:r>
      <w:hyperlink r:id="rId1" w:history="1">
        <w:r w:rsidRPr="00861ADC">
          <w:rPr>
            <w:rStyle w:val="Hyperlink"/>
            <w:rFonts w:asciiTheme="majorBidi" w:hAnsiTheme="majorBidi" w:cstheme="majorBidi"/>
            <w:i/>
            <w:iCs/>
            <w:szCs w:val="24"/>
          </w:rPr>
          <w:t>8095/15</w:t>
        </w:r>
      </w:hyperlink>
      <w:r w:rsidRPr="00861ADC">
        <w:rPr>
          <w:rStyle w:val="Hyperlink"/>
          <w:rFonts w:asciiTheme="majorBidi" w:hAnsiTheme="majorBidi" w:cstheme="majorBidi"/>
          <w:i/>
          <w:iCs/>
          <w:szCs w:val="24"/>
        </w:rPr>
        <w:t>,</w:t>
      </w:r>
      <w:r w:rsidRPr="00861ADC">
        <w:rPr>
          <w:rFonts w:asciiTheme="majorBidi" w:hAnsiTheme="majorBidi" w:cstheme="majorBidi"/>
          <w:i/>
          <w:iCs/>
          <w:szCs w:val="24"/>
        </w:rPr>
        <w:t xml:space="preserve"> p.8).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E2" w:rsidRPr="007B17E2" w:rsidRDefault="007B17E2" w:rsidP="007B1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E2" w:rsidRPr="007B17E2" w:rsidRDefault="007B17E2" w:rsidP="007B17E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E2" w:rsidRPr="007B17E2" w:rsidRDefault="007B17E2" w:rsidP="007B17E2">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B17E2" w:rsidRPr="007410E8" w:rsidTr="007B17E2">
      <w:trPr>
        <w:jc w:val="center"/>
      </w:trPr>
      <w:tc>
        <w:tcPr>
          <w:tcW w:w="2500" w:type="pct"/>
          <w:shd w:val="clear" w:color="auto" w:fill="auto"/>
        </w:tcPr>
        <w:p w:rsidR="007B17E2" w:rsidRPr="007410E8" w:rsidRDefault="007B17E2" w:rsidP="0035025C">
          <w:pPr>
            <w:pStyle w:val="HeaderText"/>
            <w:rPr>
              <w:b/>
              <w:i/>
              <w:sz w:val="16"/>
              <w:u w:val="single"/>
            </w:rPr>
          </w:pPr>
          <w:bookmarkStart w:id="3" w:name="HEADER_PRMEET"/>
        </w:p>
      </w:tc>
      <w:tc>
        <w:tcPr>
          <w:tcW w:w="2500" w:type="pct"/>
          <w:shd w:val="clear" w:color="auto" w:fill="auto"/>
        </w:tcPr>
        <w:p w:rsidR="007B17E2" w:rsidRPr="007410E8" w:rsidRDefault="007B17E2" w:rsidP="007B17E2">
          <w:pPr>
            <w:pStyle w:val="HeaderText"/>
            <w:jc w:val="right"/>
            <w:rPr>
              <w:sz w:val="16"/>
            </w:rPr>
          </w:pPr>
          <w:r w:rsidRPr="007B17E2">
            <w:t>18 and 19 May 2015</w:t>
          </w:r>
        </w:p>
      </w:tc>
    </w:tr>
    <w:bookmarkEnd w:id="3"/>
  </w:tbl>
  <w:p w:rsidR="00860896" w:rsidRPr="007B17E2" w:rsidRDefault="00860896" w:rsidP="007B17E2">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7B17E2" w:rsidRPr="007410E8" w:rsidTr="007B17E2">
      <w:trPr>
        <w:jc w:val="center"/>
      </w:trPr>
      <w:tc>
        <w:tcPr>
          <w:tcW w:w="2500" w:type="pct"/>
          <w:shd w:val="clear" w:color="auto" w:fill="auto"/>
        </w:tcPr>
        <w:p w:rsidR="007B17E2" w:rsidRPr="007410E8" w:rsidRDefault="007B17E2" w:rsidP="0035025C">
          <w:pPr>
            <w:pStyle w:val="HeaderText"/>
            <w:rPr>
              <w:b/>
              <w:i/>
              <w:sz w:val="16"/>
              <w:u w:val="single"/>
            </w:rPr>
          </w:pPr>
        </w:p>
      </w:tc>
      <w:tc>
        <w:tcPr>
          <w:tcW w:w="2500" w:type="pct"/>
          <w:shd w:val="clear" w:color="auto" w:fill="auto"/>
        </w:tcPr>
        <w:p w:rsidR="007B17E2" w:rsidRPr="007410E8" w:rsidRDefault="007B17E2" w:rsidP="007B17E2">
          <w:pPr>
            <w:pStyle w:val="HeaderText"/>
            <w:jc w:val="right"/>
            <w:rPr>
              <w:sz w:val="16"/>
            </w:rPr>
          </w:pPr>
          <w:r w:rsidRPr="007B17E2">
            <w:t>18 and 19 May 2015</w:t>
          </w:r>
        </w:p>
      </w:tc>
    </w:tr>
  </w:tbl>
  <w:p w:rsidR="00860896" w:rsidRPr="007B17E2" w:rsidRDefault="00860896" w:rsidP="007B17E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4"/>
  </w:num>
  <w:num w:numId="8">
    <w:abstractNumId w:val="5"/>
  </w:num>
  <w:num w:numId="9">
    <w:abstractNumId w:val="13"/>
  </w:num>
  <w:num w:numId="10">
    <w:abstractNumId w:val="10"/>
  </w:num>
  <w:num w:numId="11">
    <w:abstractNumId w:val="0"/>
  </w:num>
  <w:num w:numId="12">
    <w:abstractNumId w:val="16"/>
  </w:num>
  <w:num w:numId="13">
    <w:abstractNumId w:val="12"/>
  </w:num>
  <w:num w:numId="14">
    <w:abstractNumId w:val="1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5.3&quot; technicalblockguid=&quot;e48310b3-ab59-4398-a7ad-805ac296052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896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3&lt;/text&gt;_x000d__x000a_      &lt;text&gt;PR CO 2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Education and Science&quot; name=&quot;M&amp;#257;r&amp;#299;te Seile&quot; text=&quot;M&amp;#257;r&amp;#299;te Seile, Minister for Education and Science&quot; genderKeyBds=&quot;gend_02&quot; /&gt;_x000d__x000a_      &lt;president title=&quot;Minister for Culture&quot; name=&quot;Dace Melb&amp;#257;rde&quot; text=&quot;Dace Melb&amp;#257;rde, Minister for Culture&quot; genderKeyBds=&quot;gend_02&quot; /&gt;_x000d__x000a_    &lt;/presidents&gt;_x000d__x000a_  &lt;/metadata&gt;_x000d__x000a_  &lt;metadata key=&quot;md_MeetingNumber&quot;&gt;_x000d__x000a_    &lt;text&gt;3388th Council meeting&lt;/text&gt;_x000d__x000a_  &lt;/metadata&gt;_x000d__x000a_  &lt;metadata key=&quot;md_CouncilConfiguration&quot;&gt;_x000d__x000a_    &lt;basicdatatype&gt;_x000d__x000a_      &lt;configuration key=&quot;cc_10&quot; text=&quot;Education, Youth, Culture and Spor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5-18&quot;&gt;_x000d__x000a_        &lt;meetinglocation&gt;_x000d__x000a_          &lt;basicdatatype&gt;_x000d__x000a_            &lt;location key=&quot;loc_01&quot; text=&quot;Brussels&quot; /&gt;_x000d__x000a_          &lt;/basicdatatype&gt;_x000d__x000a_        &lt;/meetinglocation&gt;_x000d__x000a_      &lt;/meeting&gt;_x000d__x000a_      &lt;meeting date=&quot;2015-05-19&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356060"/>
    <w:rsid w:val="00003053"/>
    <w:rsid w:val="00010FB0"/>
    <w:rsid w:val="00035E1C"/>
    <w:rsid w:val="000A63B0"/>
    <w:rsid w:val="0014594D"/>
    <w:rsid w:val="001861D9"/>
    <w:rsid w:val="00225511"/>
    <w:rsid w:val="00231268"/>
    <w:rsid w:val="00273834"/>
    <w:rsid w:val="00274B06"/>
    <w:rsid w:val="002C26C6"/>
    <w:rsid w:val="00356060"/>
    <w:rsid w:val="003946C8"/>
    <w:rsid w:val="003B0549"/>
    <w:rsid w:val="003C013D"/>
    <w:rsid w:val="003C4DB9"/>
    <w:rsid w:val="00414254"/>
    <w:rsid w:val="00505EDE"/>
    <w:rsid w:val="00546259"/>
    <w:rsid w:val="005746E5"/>
    <w:rsid w:val="006A56D8"/>
    <w:rsid w:val="006E2F9D"/>
    <w:rsid w:val="006F4E9F"/>
    <w:rsid w:val="00742F81"/>
    <w:rsid w:val="007B17E2"/>
    <w:rsid w:val="007E50A2"/>
    <w:rsid w:val="0081378E"/>
    <w:rsid w:val="00853B4E"/>
    <w:rsid w:val="00860896"/>
    <w:rsid w:val="00861ADC"/>
    <w:rsid w:val="00873B96"/>
    <w:rsid w:val="008774FD"/>
    <w:rsid w:val="00895676"/>
    <w:rsid w:val="00920484"/>
    <w:rsid w:val="00926EAF"/>
    <w:rsid w:val="009C7173"/>
    <w:rsid w:val="009D2FCC"/>
    <w:rsid w:val="009F2E3A"/>
    <w:rsid w:val="00A01503"/>
    <w:rsid w:val="00A020F7"/>
    <w:rsid w:val="00A33747"/>
    <w:rsid w:val="00A36655"/>
    <w:rsid w:val="00A3673C"/>
    <w:rsid w:val="00A6110D"/>
    <w:rsid w:val="00A67613"/>
    <w:rsid w:val="00A76CDC"/>
    <w:rsid w:val="00A85432"/>
    <w:rsid w:val="00AC092F"/>
    <w:rsid w:val="00AF539E"/>
    <w:rsid w:val="00B03546"/>
    <w:rsid w:val="00B32C9B"/>
    <w:rsid w:val="00B34272"/>
    <w:rsid w:val="00BD54A3"/>
    <w:rsid w:val="00BE2CA6"/>
    <w:rsid w:val="00C24C97"/>
    <w:rsid w:val="00C57AAC"/>
    <w:rsid w:val="00C97A7F"/>
    <w:rsid w:val="00CA0D26"/>
    <w:rsid w:val="00CA3FA9"/>
    <w:rsid w:val="00CF18F5"/>
    <w:rsid w:val="00CF6B8D"/>
    <w:rsid w:val="00D0087C"/>
    <w:rsid w:val="00D2627D"/>
    <w:rsid w:val="00D45C7C"/>
    <w:rsid w:val="00DD190F"/>
    <w:rsid w:val="00E05214"/>
    <w:rsid w:val="00E131EC"/>
    <w:rsid w:val="00E46FA6"/>
    <w:rsid w:val="00E737DC"/>
    <w:rsid w:val="00F46816"/>
    <w:rsid w:val="00FC7382"/>
    <w:rsid w:val="00FD495E"/>
    <w:rsid w:val="00FE5FD7"/>
    <w:rsid w:val="00FF377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D0087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356060"/>
    <w:pPr>
      <w:spacing w:before="0" w:after="440"/>
      <w:ind w:left="-1134" w:right="-1134"/>
    </w:pPr>
    <w:rPr>
      <w:sz w:val="2"/>
    </w:rPr>
  </w:style>
  <w:style w:type="character" w:customStyle="1" w:styleId="TechnicalBlockChar">
    <w:name w:val="Technical Block Char"/>
    <w:basedOn w:val="DefaultParagraphFont"/>
    <w:link w:val="TechnicalBlock"/>
    <w:rsid w:val="00356060"/>
    <w:rPr>
      <w:sz w:val="24"/>
      <w:szCs w:val="24"/>
      <w:lang w:val="en-GB" w:eastAsia="en-US"/>
    </w:rPr>
  </w:style>
  <w:style w:type="character" w:customStyle="1" w:styleId="HeaderCouncilLargeChar">
    <w:name w:val="Header Council Large Char"/>
    <w:basedOn w:val="TechnicalBlockChar"/>
    <w:link w:val="HeaderCouncilLarge"/>
    <w:rsid w:val="00356060"/>
    <w:rPr>
      <w:sz w:val="2"/>
      <w:szCs w:val="24"/>
      <w:lang w:val="en-GB" w:eastAsia="en-US"/>
    </w:rPr>
  </w:style>
  <w:style w:type="paragraph" w:customStyle="1" w:styleId="FooterText">
    <w:name w:val="Footer Text"/>
    <w:basedOn w:val="Normal"/>
    <w:rsid w:val="00356060"/>
    <w:pPr>
      <w:spacing w:before="0" w:after="0"/>
    </w:pPr>
  </w:style>
  <w:style w:type="paragraph" w:customStyle="1" w:styleId="FooterAddressText">
    <w:name w:val="Footer Address Text"/>
    <w:basedOn w:val="FooterText"/>
    <w:qFormat/>
    <w:rsid w:val="00356060"/>
    <w:pPr>
      <w:jc w:val="center"/>
    </w:pPr>
    <w:rPr>
      <w:spacing w:val="10"/>
      <w:sz w:val="16"/>
      <w:szCs w:val="16"/>
    </w:rPr>
  </w:style>
  <w:style w:type="character" w:styleId="Hyperlink">
    <w:name w:val="Hyperlink"/>
    <w:basedOn w:val="DefaultParagraphFont"/>
    <w:unhideWhenUsed/>
    <w:qFormat/>
    <w:rsid w:val="00356060"/>
    <w:rPr>
      <w:color w:val="0000FF" w:themeColor="hyperlink"/>
      <w:u w:val="single"/>
    </w:rPr>
  </w:style>
  <w:style w:type="paragraph" w:customStyle="1" w:styleId="HeaderText">
    <w:name w:val="Header Text"/>
    <w:basedOn w:val="Normal"/>
    <w:rsid w:val="00356060"/>
    <w:pPr>
      <w:spacing w:before="0" w:after="0"/>
    </w:pPr>
  </w:style>
  <w:style w:type="paragraph" w:styleId="EndnoteText">
    <w:name w:val="endnote text"/>
    <w:basedOn w:val="Normal"/>
    <w:link w:val="EndnoteTextChar"/>
    <w:semiHidden/>
    <w:unhideWhenUsed/>
    <w:rsid w:val="009F2E3A"/>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9F2E3A"/>
    <w:rPr>
      <w:sz w:val="24"/>
      <w:lang w:val="en-US" w:eastAsia="en-US"/>
    </w:rPr>
  </w:style>
  <w:style w:type="paragraph" w:styleId="ListParagraph">
    <w:name w:val="List Paragraph"/>
    <w:basedOn w:val="Normal"/>
    <w:uiPriority w:val="34"/>
    <w:qFormat/>
    <w:rsid w:val="00DD190F"/>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basedOn w:val="DefaultParagraphFont"/>
    <w:link w:val="FootnoteText"/>
    <w:uiPriority w:val="99"/>
    <w:rsid w:val="00DD190F"/>
    <w:rPr>
      <w:sz w:val="24"/>
      <w:lang w:val="en-GB" w:eastAsia="en-US"/>
    </w:rPr>
  </w:style>
  <w:style w:type="character" w:styleId="CommentReference">
    <w:name w:val="annotation reference"/>
    <w:basedOn w:val="DefaultParagraphFont"/>
    <w:uiPriority w:val="99"/>
    <w:semiHidden/>
    <w:unhideWhenUsed/>
    <w:rsid w:val="0014594D"/>
    <w:rPr>
      <w:sz w:val="16"/>
      <w:szCs w:val="16"/>
    </w:rPr>
  </w:style>
  <w:style w:type="paragraph" w:styleId="CommentText">
    <w:name w:val="annotation text"/>
    <w:basedOn w:val="Normal"/>
    <w:link w:val="CommentTextChar"/>
    <w:uiPriority w:val="99"/>
    <w:semiHidden/>
    <w:unhideWhenUsed/>
    <w:rsid w:val="0014594D"/>
    <w:rPr>
      <w:sz w:val="20"/>
      <w:szCs w:val="20"/>
    </w:rPr>
  </w:style>
  <w:style w:type="character" w:customStyle="1" w:styleId="CommentTextChar">
    <w:name w:val="Comment Text Char"/>
    <w:basedOn w:val="DefaultParagraphFont"/>
    <w:link w:val="CommentText"/>
    <w:uiPriority w:val="99"/>
    <w:semiHidden/>
    <w:rsid w:val="0014594D"/>
    <w:rPr>
      <w:lang w:val="en-GB" w:eastAsia="en-US"/>
    </w:rPr>
  </w:style>
  <w:style w:type="paragraph" w:styleId="CommentSubject">
    <w:name w:val="annotation subject"/>
    <w:basedOn w:val="CommentText"/>
    <w:next w:val="CommentText"/>
    <w:link w:val="CommentSubjectChar"/>
    <w:uiPriority w:val="99"/>
    <w:semiHidden/>
    <w:unhideWhenUsed/>
    <w:rsid w:val="0014594D"/>
    <w:rPr>
      <w:b/>
      <w:bCs/>
    </w:rPr>
  </w:style>
  <w:style w:type="character" w:customStyle="1" w:styleId="CommentSubjectChar">
    <w:name w:val="Comment Subject Char"/>
    <w:basedOn w:val="CommentTextChar"/>
    <w:link w:val="CommentSubject"/>
    <w:uiPriority w:val="99"/>
    <w:semiHidden/>
    <w:rsid w:val="0014594D"/>
    <w:rPr>
      <w:b/>
      <w:bCs/>
      <w:lang w:val="en-GB" w:eastAsia="en-US"/>
    </w:rPr>
  </w:style>
  <w:style w:type="paragraph" w:styleId="BalloonText">
    <w:name w:val="Balloon Text"/>
    <w:basedOn w:val="Normal"/>
    <w:link w:val="BalloonTextChar"/>
    <w:uiPriority w:val="99"/>
    <w:semiHidden/>
    <w:unhideWhenUsed/>
    <w:rsid w:val="00CA3F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FA9"/>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010FB0"/>
    <w:rPr>
      <w:color w:val="800080" w:themeColor="followedHyperlink"/>
      <w:u w:val="single"/>
    </w:rPr>
  </w:style>
  <w:style w:type="paragraph" w:styleId="Revision">
    <w:name w:val="Revision"/>
    <w:hidden/>
    <w:uiPriority w:val="99"/>
    <w:semiHidden/>
    <w:rsid w:val="00225511"/>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D0087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356060"/>
    <w:pPr>
      <w:spacing w:before="0" w:after="440"/>
      <w:ind w:left="-1134" w:right="-1134"/>
    </w:pPr>
    <w:rPr>
      <w:sz w:val="2"/>
    </w:rPr>
  </w:style>
  <w:style w:type="character" w:customStyle="1" w:styleId="TechnicalBlockChar">
    <w:name w:val="Technical Block Char"/>
    <w:basedOn w:val="DefaultParagraphFont"/>
    <w:link w:val="TechnicalBlock"/>
    <w:rsid w:val="00356060"/>
    <w:rPr>
      <w:sz w:val="24"/>
      <w:szCs w:val="24"/>
      <w:lang w:val="en-GB" w:eastAsia="en-US"/>
    </w:rPr>
  </w:style>
  <w:style w:type="character" w:customStyle="1" w:styleId="HeaderCouncilLargeChar">
    <w:name w:val="Header Council Large Char"/>
    <w:basedOn w:val="TechnicalBlockChar"/>
    <w:link w:val="HeaderCouncilLarge"/>
    <w:rsid w:val="00356060"/>
    <w:rPr>
      <w:sz w:val="2"/>
      <w:szCs w:val="24"/>
      <w:lang w:val="en-GB" w:eastAsia="en-US"/>
    </w:rPr>
  </w:style>
  <w:style w:type="paragraph" w:customStyle="1" w:styleId="FooterText">
    <w:name w:val="Footer Text"/>
    <w:basedOn w:val="Normal"/>
    <w:rsid w:val="00356060"/>
    <w:pPr>
      <w:spacing w:before="0" w:after="0"/>
    </w:pPr>
  </w:style>
  <w:style w:type="paragraph" w:customStyle="1" w:styleId="FooterAddressText">
    <w:name w:val="Footer Address Text"/>
    <w:basedOn w:val="FooterText"/>
    <w:qFormat/>
    <w:rsid w:val="00356060"/>
    <w:pPr>
      <w:jc w:val="center"/>
    </w:pPr>
    <w:rPr>
      <w:spacing w:val="10"/>
      <w:sz w:val="16"/>
      <w:szCs w:val="16"/>
    </w:rPr>
  </w:style>
  <w:style w:type="character" w:styleId="Hyperlink">
    <w:name w:val="Hyperlink"/>
    <w:basedOn w:val="DefaultParagraphFont"/>
    <w:unhideWhenUsed/>
    <w:qFormat/>
    <w:rsid w:val="00356060"/>
    <w:rPr>
      <w:color w:val="0000FF" w:themeColor="hyperlink"/>
      <w:u w:val="single"/>
    </w:rPr>
  </w:style>
  <w:style w:type="paragraph" w:customStyle="1" w:styleId="HeaderText">
    <w:name w:val="Header Text"/>
    <w:basedOn w:val="Normal"/>
    <w:rsid w:val="00356060"/>
    <w:pPr>
      <w:spacing w:before="0" w:after="0"/>
    </w:pPr>
  </w:style>
  <w:style w:type="paragraph" w:styleId="EndnoteText">
    <w:name w:val="endnote text"/>
    <w:basedOn w:val="Normal"/>
    <w:link w:val="EndnoteTextChar"/>
    <w:semiHidden/>
    <w:unhideWhenUsed/>
    <w:rsid w:val="009F2E3A"/>
    <w:pPr>
      <w:widowControl w:val="0"/>
      <w:snapToGrid w:val="0"/>
      <w:spacing w:before="0" w:after="0"/>
    </w:pPr>
    <w:rPr>
      <w:szCs w:val="20"/>
      <w:lang w:val="en-US"/>
    </w:rPr>
  </w:style>
  <w:style w:type="character" w:customStyle="1" w:styleId="EndnoteTextChar">
    <w:name w:val="Endnote Text Char"/>
    <w:basedOn w:val="DefaultParagraphFont"/>
    <w:link w:val="EndnoteText"/>
    <w:semiHidden/>
    <w:rsid w:val="009F2E3A"/>
    <w:rPr>
      <w:sz w:val="24"/>
      <w:lang w:val="en-US" w:eastAsia="en-US"/>
    </w:rPr>
  </w:style>
  <w:style w:type="paragraph" w:styleId="ListParagraph">
    <w:name w:val="List Paragraph"/>
    <w:basedOn w:val="Normal"/>
    <w:uiPriority w:val="34"/>
    <w:qFormat/>
    <w:rsid w:val="00DD190F"/>
    <w:pPr>
      <w:spacing w:before="0" w:after="0" w:line="360" w:lineRule="auto"/>
      <w:ind w:left="720"/>
      <w:contextualSpacing/>
    </w:pPr>
    <w:rPr>
      <w:rFonts w:eastAsiaTheme="minorHAnsi" w:cstheme="minorBidi"/>
      <w:szCs w:val="22"/>
      <w:lang w:val="en-US"/>
    </w:rPr>
  </w:style>
  <w:style w:type="character" w:customStyle="1" w:styleId="FootnoteTextChar">
    <w:name w:val="Footnote Text Char"/>
    <w:basedOn w:val="DefaultParagraphFont"/>
    <w:link w:val="FootnoteText"/>
    <w:uiPriority w:val="99"/>
    <w:rsid w:val="00DD190F"/>
    <w:rPr>
      <w:sz w:val="24"/>
      <w:lang w:val="en-GB" w:eastAsia="en-US"/>
    </w:rPr>
  </w:style>
  <w:style w:type="character" w:styleId="CommentReference">
    <w:name w:val="annotation reference"/>
    <w:basedOn w:val="DefaultParagraphFont"/>
    <w:uiPriority w:val="99"/>
    <w:semiHidden/>
    <w:unhideWhenUsed/>
    <w:rsid w:val="0014594D"/>
    <w:rPr>
      <w:sz w:val="16"/>
      <w:szCs w:val="16"/>
    </w:rPr>
  </w:style>
  <w:style w:type="paragraph" w:styleId="CommentText">
    <w:name w:val="annotation text"/>
    <w:basedOn w:val="Normal"/>
    <w:link w:val="CommentTextChar"/>
    <w:uiPriority w:val="99"/>
    <w:semiHidden/>
    <w:unhideWhenUsed/>
    <w:rsid w:val="0014594D"/>
    <w:rPr>
      <w:sz w:val="20"/>
      <w:szCs w:val="20"/>
    </w:rPr>
  </w:style>
  <w:style w:type="character" w:customStyle="1" w:styleId="CommentTextChar">
    <w:name w:val="Comment Text Char"/>
    <w:basedOn w:val="DefaultParagraphFont"/>
    <w:link w:val="CommentText"/>
    <w:uiPriority w:val="99"/>
    <w:semiHidden/>
    <w:rsid w:val="0014594D"/>
    <w:rPr>
      <w:lang w:val="en-GB" w:eastAsia="en-US"/>
    </w:rPr>
  </w:style>
  <w:style w:type="paragraph" w:styleId="CommentSubject">
    <w:name w:val="annotation subject"/>
    <w:basedOn w:val="CommentText"/>
    <w:next w:val="CommentText"/>
    <w:link w:val="CommentSubjectChar"/>
    <w:uiPriority w:val="99"/>
    <w:semiHidden/>
    <w:unhideWhenUsed/>
    <w:rsid w:val="0014594D"/>
    <w:rPr>
      <w:b/>
      <w:bCs/>
    </w:rPr>
  </w:style>
  <w:style w:type="character" w:customStyle="1" w:styleId="CommentSubjectChar">
    <w:name w:val="Comment Subject Char"/>
    <w:basedOn w:val="CommentTextChar"/>
    <w:link w:val="CommentSubject"/>
    <w:uiPriority w:val="99"/>
    <w:semiHidden/>
    <w:rsid w:val="0014594D"/>
    <w:rPr>
      <w:b/>
      <w:bCs/>
      <w:lang w:val="en-GB" w:eastAsia="en-US"/>
    </w:rPr>
  </w:style>
  <w:style w:type="paragraph" w:styleId="BalloonText">
    <w:name w:val="Balloon Text"/>
    <w:basedOn w:val="Normal"/>
    <w:link w:val="BalloonTextChar"/>
    <w:uiPriority w:val="99"/>
    <w:semiHidden/>
    <w:unhideWhenUsed/>
    <w:rsid w:val="00CA3F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FA9"/>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010FB0"/>
    <w:rPr>
      <w:color w:val="800080" w:themeColor="followedHyperlink"/>
      <w:u w:val="single"/>
    </w:rPr>
  </w:style>
  <w:style w:type="paragraph" w:styleId="Revision">
    <w:name w:val="Revision"/>
    <w:hidden/>
    <w:uiPriority w:val="99"/>
    <w:semiHidden/>
    <w:rsid w:val="0022551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ur-lex.europa.eu/legal-content/EN/TXT/PDF/?uri=OJ:C:2009:119:FULL&amp;from=EN" TargetMode="External"/><Relationship Id="rId26" Type="http://schemas.openxmlformats.org/officeDocument/2006/relationships/hyperlink" Target="http://data.consilium.europa.eu/doc/document/ST-8491-2015-REV-1/en/pdf" TargetMode="External"/><Relationship Id="rId39" Type="http://schemas.openxmlformats.org/officeDocument/2006/relationships/hyperlink" Target="http://ec.europa.eu/sport/week/index_en" TargetMode="External"/><Relationship Id="rId3" Type="http://schemas.microsoft.com/office/2007/relationships/stylesWithEffects" Target="stylesWithEffects.xml"/><Relationship Id="rId21" Type="http://schemas.openxmlformats.org/officeDocument/2006/relationships/hyperlink" Target="http://data.consilium.europa.eu/doc/document/ST-7863-2015-INIT/en/pdf" TargetMode="External"/><Relationship Id="rId34" Type="http://schemas.openxmlformats.org/officeDocument/2006/relationships/hyperlink" Target="http://data.consilium.europa.eu/doc/document/ST-8489-2015-INIT/en/pdf" TargetMode="External"/><Relationship Id="rId42" Type="http://schemas.openxmlformats.org/officeDocument/2006/relationships/hyperlink" Target="http://data.consilium.europa.eu/doc/document/ST-16378-2014-INIT/en/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eywc2015.be/" TargetMode="External"/><Relationship Id="rId33" Type="http://schemas.openxmlformats.org/officeDocument/2006/relationships/hyperlink" Target="http://data.consilium.europa.eu/doc/document/ST-8561-2015-INIT/en/pdf" TargetMode="External"/><Relationship Id="rId38" Type="http://schemas.openxmlformats.org/officeDocument/2006/relationships/hyperlink" Target="http://data.consilium.europa.eu/doc/document/ST-15575-2013-INIT/en/pdf" TargetMode="External"/><Relationship Id="rId46" Type="http://schemas.openxmlformats.org/officeDocument/2006/relationships/hyperlink" Target="http://data.consilium.europa.eu/doc/document/ST-7861-2015-INIT/en/pdf"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8293-2015-INIT/en/pdf" TargetMode="External"/><Relationship Id="rId29" Type="http://schemas.openxmlformats.org/officeDocument/2006/relationships/hyperlink" Target="http://data.consilium.europa.eu/doc/document/ST-8346-2015-INIT/en/pdf" TargetMode="External"/><Relationship Id="rId41" Type="http://schemas.openxmlformats.org/officeDocument/2006/relationships/hyperlink" Target="http://data.consilium.europa.eu/doc/document/ST-8331-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uropa.eu/youth/en" TargetMode="External"/><Relationship Id="rId32" Type="http://schemas.openxmlformats.org/officeDocument/2006/relationships/hyperlink" Target="http://data.consilium.europa.eu/doc/document/ST-8293-2015-INIT/en/pdf" TargetMode="External"/><Relationship Id="rId37" Type="http://schemas.openxmlformats.org/officeDocument/2006/relationships/hyperlink" Target="http://data.consilium.europa.eu/doc/document/ST-7875-2015-INIT/en/pdf" TargetMode="External"/><Relationship Id="rId40" Type="http://schemas.openxmlformats.org/officeDocument/2006/relationships/hyperlink" Target="https://www.wada-ama.org/" TargetMode="External"/><Relationship Id="rId45" Type="http://schemas.openxmlformats.org/officeDocument/2006/relationships/hyperlink" Target="http://data.consilium.europa.eu/doc/document/ST-8108-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ata.consilium.europa.eu/doc/document/ST-8407-2015-INIT/en/pdf" TargetMode="External"/><Relationship Id="rId28" Type="http://schemas.openxmlformats.org/officeDocument/2006/relationships/hyperlink" Target="http://eur-lex.europa.eu/legal-content/EN/TXT/PDF/?uri=OJ:L:2010:095:FULL&amp;from=EN" TargetMode="External"/><Relationship Id="rId36" Type="http://schemas.openxmlformats.org/officeDocument/2006/relationships/hyperlink" Target="http://register.consilium.europa.eu/pdf/en/12/st15/st15849-co01.en12.pdf" TargetMode="External"/><Relationship Id="rId10" Type="http://schemas.openxmlformats.org/officeDocument/2006/relationships/header" Target="header2.xml"/><Relationship Id="rId19" Type="http://schemas.openxmlformats.org/officeDocument/2006/relationships/hyperlink" Target="http://data.consilium.europa.eu/doc/document/ST-8397-2015-INIT/en/pdf" TargetMode="External"/><Relationship Id="rId31" Type="http://schemas.openxmlformats.org/officeDocument/2006/relationships/hyperlink" Target="http://ec.europa.eu/echo/files/news/20150206_JOIN_en.pdf" TargetMode="External"/><Relationship Id="rId44" Type="http://schemas.openxmlformats.org/officeDocument/2006/relationships/hyperlink" Target="http://data.consilium.europa.eu/doc/document/ST-8419-2015-ADD-1-REV-2/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lex.europa.eu/legal-content/EN/TXT/PDF/?uri=OJ:C:2014:183:FULL&amp;from=EN" TargetMode="External"/><Relationship Id="rId27" Type="http://schemas.openxmlformats.org/officeDocument/2006/relationships/hyperlink" Target="http://ec.europa.eu/priorities/digital-single-market/docs/dsm-communication_en.pdf" TargetMode="External"/><Relationship Id="rId30" Type="http://schemas.openxmlformats.org/officeDocument/2006/relationships/hyperlink" Target="http://data.consilium.europa.eu/doc/document/ST-8103-2015-INIT/en/pdf" TargetMode="External"/><Relationship Id="rId35" Type="http://schemas.openxmlformats.org/officeDocument/2006/relationships/hyperlink" Target="http://register.consilium.europa.eu/pdf/en/12/st15/st15849.en12.pdf" TargetMode="External"/><Relationship Id="rId43" Type="http://schemas.openxmlformats.org/officeDocument/2006/relationships/hyperlink" Target="http://register.consilium.europa.eu/doc/srv?l=EN&amp;f=ST%2015528%202014%20REV%201"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8095-2015-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10</TotalTime>
  <Pages>19</Pages>
  <Words>4527</Words>
  <Characters>25785</Characters>
  <Application>Microsoft Office Word</Application>
  <DocSecurity>0</DocSecurity>
  <Lines>457</Lines>
  <Paragraphs>214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NEIRA Julia</cp:lastModifiedBy>
  <cp:revision>8</cp:revision>
  <cp:lastPrinted>2015-06-04T11:10:00Z</cp:lastPrinted>
  <dcterms:created xsi:type="dcterms:W3CDTF">2015-05-22T07:34:00Z</dcterms:created>
  <dcterms:modified xsi:type="dcterms:W3CDTF">2015-06-04T11:11:00Z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