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9" w:rsidRPr="00B5606F" w:rsidRDefault="00394F86" w:rsidP="00B5606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49dd59-57bf-4fe4-91ec-304b21d14375" style="width:568.5pt;height:317.9pt">
            <v:imagedata r:id="rId8" o:title=""/>
          </v:shape>
        </w:pict>
      </w:r>
      <w:bookmarkEnd w:id="0"/>
    </w:p>
    <w:p w:rsidR="00290BE6" w:rsidRPr="00215DB5" w:rsidRDefault="00290BE6" w:rsidP="00290BE6">
      <w:pPr>
        <w:pStyle w:val="HeadingCentered"/>
        <w:pageBreakBefore/>
        <w:spacing w:before="1320" w:after="600"/>
      </w:pPr>
      <w:r w:rsidRPr="00215DB5">
        <w:lastRenderedPageBreak/>
        <w:t>ТОЧКИ ЗА ОТКРИТО ОБСЪЖДАНЕ</w:t>
      </w:r>
      <w:r w:rsidRPr="00215DB5">
        <w:rPr>
          <w:rStyle w:val="FootnoteReference"/>
        </w:rPr>
        <w:footnoteReference w:id="1"/>
      </w:r>
    </w:p>
    <w:p w:rsidR="00290BE6" w:rsidRPr="00215DB5" w:rsidRDefault="00290BE6" w:rsidP="00290BE6">
      <w:pPr>
        <w:pStyle w:val="NormalRight"/>
        <w:spacing w:before="840" w:after="240"/>
        <w:rPr>
          <w:b/>
        </w:rPr>
      </w:pPr>
      <w:r w:rsidRPr="00215DB5">
        <w:rPr>
          <w:b/>
        </w:rPr>
        <w:t>Страница</w:t>
      </w:r>
    </w:p>
    <w:p w:rsidR="00290BE6" w:rsidRPr="00215DB5" w:rsidRDefault="00290BE6" w:rsidP="00290BE6">
      <w:pPr>
        <w:spacing w:before="240"/>
        <w:rPr>
          <w:bCs/>
        </w:rPr>
      </w:pPr>
      <w:r w:rsidRPr="00215DB5">
        <w:rPr>
          <w:u w:val="single"/>
        </w:rPr>
        <w:t>ТОЧКИ Б</w:t>
      </w:r>
      <w:r w:rsidRPr="00215DB5">
        <w:t xml:space="preserve"> (док. 6520/15 OJ/CONS 11 SOC 95 EMPL 45 SAN 51 CONSOM 37)</w:t>
      </w:r>
    </w:p>
    <w:p w:rsidR="00290BE6" w:rsidRPr="00215DB5" w:rsidRDefault="00290BE6" w:rsidP="00290BE6">
      <w:pPr>
        <w:spacing w:before="240"/>
        <w:rPr>
          <w:b/>
          <w:bCs/>
        </w:rPr>
      </w:pPr>
      <w:r w:rsidRPr="00215DB5">
        <w:rPr>
          <w:b/>
        </w:rPr>
        <w:t>НЕЗАКОНОДАТЕЛНИ ДЕЙНОСТИ — ОТКРИТИ ДЕБАТИ</w:t>
      </w:r>
    </w:p>
    <w:p w:rsidR="00290BE6" w:rsidRPr="00215DB5" w:rsidRDefault="00290BE6" w:rsidP="00290BE6">
      <w:pPr>
        <w:pStyle w:val="PointManual"/>
        <w:tabs>
          <w:tab w:val="right" w:leader="dot" w:pos="9639"/>
        </w:tabs>
      </w:pPr>
      <w:r w:rsidRPr="00215DB5">
        <w:t>3.</w:t>
      </w:r>
      <w:r w:rsidRPr="00215DB5">
        <w:tab/>
        <w:t>Европейски семестър за 2015 г.: Принос за заседанието на Европейския съвет (Брюксел, 19—20 март 2015 г.)</w:t>
      </w:r>
      <w:r w:rsidRPr="00215DB5">
        <w:tab/>
        <w:t>3</w:t>
      </w:r>
    </w:p>
    <w:p w:rsidR="00290BE6" w:rsidRPr="00215DB5" w:rsidRDefault="00290BE6" w:rsidP="00290BE6">
      <w:pPr>
        <w:pStyle w:val="PointManual"/>
        <w:tabs>
          <w:tab w:val="right" w:leader="dot" w:pos="9639"/>
        </w:tabs>
      </w:pPr>
      <w:r w:rsidRPr="00215DB5">
        <w:t>4.</w:t>
      </w:r>
      <w:r w:rsidRPr="00215DB5">
        <w:tab/>
        <w:t>Договорености за финансиране и ефективност и ефикасност на разпределението на ресурсите:</w:t>
      </w:r>
      <w:r w:rsidRPr="00215DB5">
        <w:br/>
        <w:t>съвместен доклад на Комитета за социална закрила и службите на Европейската комисия</w:t>
      </w:r>
      <w:r w:rsidRPr="00215DB5">
        <w:tab/>
        <w:t>4</w:t>
      </w:r>
    </w:p>
    <w:p w:rsidR="00290BE6" w:rsidRPr="00215DB5" w:rsidRDefault="00290BE6" w:rsidP="00290BE6">
      <w:pPr>
        <w:pStyle w:val="PointManual"/>
        <w:tabs>
          <w:tab w:val="right" w:leader="dot" w:pos="9639"/>
        </w:tabs>
      </w:pPr>
      <w:r w:rsidRPr="00215DB5">
        <w:t>5.</w:t>
      </w:r>
      <w:r w:rsidRPr="00215DB5">
        <w:tab/>
        <w:t>Проект за заключения на Съвета относно напредъка в посока към по-приобщаващи пазари на труда</w:t>
      </w:r>
      <w:r w:rsidRPr="00215DB5">
        <w:tab/>
        <w:t>4</w:t>
      </w:r>
    </w:p>
    <w:p w:rsidR="00290BE6" w:rsidRPr="00215DB5" w:rsidRDefault="00290BE6" w:rsidP="00290BE6">
      <w:pPr>
        <w:pStyle w:val="PointManual"/>
        <w:tabs>
          <w:tab w:val="right" w:leader="dot" w:pos="9639"/>
        </w:tabs>
      </w:pPr>
      <w:r w:rsidRPr="00215DB5">
        <w:t>6.</w:t>
      </w:r>
      <w:r w:rsidRPr="00215DB5">
        <w:tab/>
        <w:t>Проект за заключения на Съвета относно стратегическа рамка на ЕС за здравословни и безопасни условия на труд за периода 2014—2020 г.: Приспособяване към новите предизвикателства</w:t>
      </w:r>
      <w:r w:rsidRPr="00215DB5">
        <w:tab/>
        <w:t>4</w:t>
      </w:r>
    </w:p>
    <w:p w:rsidR="00290BE6" w:rsidRPr="00215DB5" w:rsidRDefault="00290BE6" w:rsidP="00290BE6">
      <w:pPr>
        <w:pStyle w:val="NormalCentered"/>
        <w:spacing w:before="600"/>
      </w:pPr>
      <w:r w:rsidRPr="00215DB5">
        <w:t>*</w:t>
      </w:r>
    </w:p>
    <w:p w:rsidR="00290BE6" w:rsidRPr="00215DB5" w:rsidRDefault="00290BE6" w:rsidP="00290BE6">
      <w:pPr>
        <w:pStyle w:val="NormalCentered"/>
        <w:spacing w:before="120"/>
      </w:pPr>
      <w:r w:rsidRPr="00215DB5">
        <w:t>*</w:t>
      </w:r>
      <w:r w:rsidRPr="00215DB5">
        <w:tab/>
        <w:t>*</w:t>
      </w:r>
    </w:p>
    <w:p w:rsidR="00290BE6" w:rsidRPr="00215DB5" w:rsidRDefault="00290BE6" w:rsidP="00994F88">
      <w:pPr>
        <w:spacing w:line="288" w:lineRule="auto"/>
        <w:rPr>
          <w:b/>
          <w:bCs/>
          <w:u w:val="single"/>
        </w:rPr>
      </w:pPr>
      <w:r w:rsidRPr="00215DB5">
        <w:br w:type="page"/>
      </w:r>
      <w:r w:rsidRPr="00215DB5">
        <w:rPr>
          <w:b/>
          <w:u w:val="single"/>
        </w:rPr>
        <w:lastRenderedPageBreak/>
        <w:t>НЕЗАКОНОДАТЕЛНИ ДЕЙНОСТИ — ОТКРИТИ ДЕБАТИ</w:t>
      </w:r>
    </w:p>
    <w:p w:rsidR="00290BE6" w:rsidRPr="00215DB5" w:rsidRDefault="00290BE6" w:rsidP="00994F88">
      <w:pPr>
        <w:spacing w:line="288" w:lineRule="auto"/>
        <w:rPr>
          <w:b/>
          <w:bCs/>
          <w:i/>
          <w:iCs/>
        </w:rPr>
      </w:pPr>
      <w:r w:rsidRPr="00215DB5">
        <w:rPr>
          <w:b/>
          <w:i/>
        </w:rPr>
        <w:t>(в съответствие с член 8, параграф 2 от Процедурния правилник на Съвета [по предложение на председателството])</w:t>
      </w:r>
    </w:p>
    <w:p w:rsidR="00290BE6" w:rsidRPr="00215DB5" w:rsidRDefault="00290BE6" w:rsidP="00994F88">
      <w:pPr>
        <w:pStyle w:val="PointManual"/>
        <w:spacing w:before="240" w:line="288" w:lineRule="auto"/>
        <w:rPr>
          <w:b/>
          <w:bCs/>
        </w:rPr>
      </w:pPr>
      <w:r w:rsidRPr="00215DB5">
        <w:rPr>
          <w:b/>
        </w:rPr>
        <w:t>3.</w:t>
      </w:r>
      <w:r w:rsidRPr="00215DB5">
        <w:tab/>
      </w:r>
      <w:r w:rsidRPr="00215DB5">
        <w:rPr>
          <w:b/>
        </w:rPr>
        <w:t>Европейски семестър за 2015 г.: Принос за заседанието на Европейския съвет (Брюксел, 19—20 март 2015 г.)</w:t>
      </w:r>
    </w:p>
    <w:p w:rsidR="00290BE6" w:rsidRPr="00215DB5" w:rsidRDefault="00290BE6" w:rsidP="00994F88">
      <w:pPr>
        <w:pStyle w:val="Dash1"/>
        <w:spacing w:line="288" w:lineRule="auto"/>
      </w:pPr>
      <w:r w:rsidRPr="00215DB5">
        <w:t>Ориентационен дебат</w:t>
      </w:r>
    </w:p>
    <w:p w:rsidR="00290BE6" w:rsidRPr="00215DB5" w:rsidRDefault="00290BE6" w:rsidP="00994F88">
      <w:pPr>
        <w:pStyle w:val="Text3"/>
        <w:spacing w:line="288" w:lineRule="auto"/>
      </w:pPr>
      <w:r w:rsidRPr="00215DB5">
        <w:t>6138/15 SOC 65 EMPL 26 ECOFIN 92 EDUC 23</w:t>
      </w:r>
    </w:p>
    <w:p w:rsidR="00290BE6" w:rsidRPr="00215DB5" w:rsidRDefault="00290BE6" w:rsidP="00994F88">
      <w:pPr>
        <w:pStyle w:val="Text1"/>
        <w:spacing w:before="200" w:line="288" w:lineRule="auto"/>
        <w:rPr>
          <w:rFonts w:eastAsia="Calibri" w:cs="Arial"/>
          <w:szCs w:val="22"/>
        </w:rPr>
      </w:pPr>
      <w:r w:rsidRPr="00215DB5">
        <w:rPr>
          <w:u w:val="single"/>
        </w:rPr>
        <w:t>Съветът</w:t>
      </w:r>
      <w:r w:rsidRPr="00215DB5">
        <w:t xml:space="preserve"> проведе ориентационен дебат по приоритетите за действие в областта на заетостта и социалните политики. </w:t>
      </w:r>
      <w:r w:rsidRPr="00215DB5">
        <w:rPr>
          <w:u w:val="single"/>
        </w:rPr>
        <w:t>Министрите</w:t>
      </w:r>
      <w:r w:rsidRPr="00215DB5">
        <w:t xml:space="preserve"> широко приветстваха основаващия се на три стълба подход на годишния обзор на растежа (ГОР), за да бъде поставен по-силен акцент върху настоящите проблеми, пораждащи загриженост, и те да бъдат преодолени. Министрите изразиха съгласие, че промените в европейския семестър са положителни, особено графикът за докладите по държави, който дава повече време за по-широки консултации със заинтересованите страни.</w:t>
      </w:r>
    </w:p>
    <w:p w:rsidR="00290BE6" w:rsidRPr="00215DB5" w:rsidRDefault="00290BE6" w:rsidP="00994F88">
      <w:pPr>
        <w:pStyle w:val="Text1"/>
        <w:spacing w:before="200" w:line="288" w:lineRule="auto"/>
        <w:rPr>
          <w:rFonts w:eastAsia="Calibri" w:cs="Arial"/>
          <w:szCs w:val="22"/>
        </w:rPr>
      </w:pPr>
      <w:r w:rsidRPr="00215DB5">
        <w:t>Особено внимание беше обърнато на създаването на качествени работни места и на приобщаващия характер на пазарите на труда по отношение на уязвимите групи (жени, младежи, по-възрастни работници и трайно безработни лица).</w:t>
      </w:r>
    </w:p>
    <w:p w:rsidR="006843CB" w:rsidRPr="00215DB5" w:rsidRDefault="00290BE6" w:rsidP="00994F88">
      <w:pPr>
        <w:pStyle w:val="Text1"/>
        <w:spacing w:before="200" w:line="288" w:lineRule="auto"/>
        <w:rPr>
          <w:rFonts w:eastAsia="Calibri" w:cs="Arial"/>
          <w:szCs w:val="22"/>
        </w:rPr>
      </w:pPr>
      <w:r w:rsidRPr="00215DB5">
        <w:t>Беше специално изтъкната необходимостта от инвестиране в хора и умения в контекста на цифровата икономика, както и от подобряване на ефективността и ефикасността на системите за социална закрила. Ролята и значението на участието на социалните партньори бяха отново подчертани.</w:t>
      </w:r>
    </w:p>
    <w:p w:rsidR="00290BE6" w:rsidRPr="00215DB5" w:rsidRDefault="00290BE6" w:rsidP="00994F88">
      <w:pPr>
        <w:pStyle w:val="Text1"/>
        <w:spacing w:before="200" w:line="288" w:lineRule="auto"/>
      </w:pPr>
      <w:r w:rsidRPr="00215DB5">
        <w:t>Взаимното учене и разпространяването на добри практики получиха одобрение за това, че са полезни за всички.</w:t>
      </w:r>
    </w:p>
    <w:p w:rsidR="00290BE6" w:rsidRPr="00994F88" w:rsidRDefault="00994F88" w:rsidP="00994F88">
      <w:pPr>
        <w:pStyle w:val="PointManual1"/>
        <w:spacing w:line="288" w:lineRule="auto"/>
        <w:rPr>
          <w:b/>
          <w:bCs/>
        </w:rPr>
      </w:pPr>
      <w:r w:rsidRPr="00994F88">
        <w:rPr>
          <w:b/>
          <w:bCs/>
        </w:rPr>
        <w:t>а)</w:t>
      </w:r>
      <w:r w:rsidRPr="00994F88">
        <w:tab/>
      </w:r>
      <w:r w:rsidR="00290BE6" w:rsidRPr="00994F88">
        <w:rPr>
          <w:b/>
        </w:rPr>
        <w:t>Приоритети за действие в областта на заетостта и социалните политики: политически насоки за 2105 г.</w:t>
      </w:r>
    </w:p>
    <w:p w:rsidR="00290BE6" w:rsidRPr="00215DB5" w:rsidRDefault="00290BE6" w:rsidP="00994F88">
      <w:pPr>
        <w:pStyle w:val="Pointivx2"/>
        <w:spacing w:line="288" w:lineRule="auto"/>
        <w:rPr>
          <w:iCs/>
        </w:rPr>
      </w:pPr>
      <w:r w:rsidRPr="00215DB5">
        <w:t>Проект за заключения на Съвета относно годишния обзор на растежа за 2015 г. и съвместния доклад за заетостта: политически насоки за политиките по заетостта и социалните политики</w:t>
      </w:r>
    </w:p>
    <w:p w:rsidR="00290BE6" w:rsidRPr="00215DB5" w:rsidRDefault="00290BE6" w:rsidP="00994F88">
      <w:pPr>
        <w:pStyle w:val="Text3"/>
        <w:spacing w:line="288" w:lineRule="auto"/>
      </w:pPr>
      <w:r w:rsidRPr="00215DB5">
        <w:t>6147/15 SOC 72 EMPL 33 ECOFIN 99 EDUC 30</w:t>
      </w:r>
    </w:p>
    <w:p w:rsidR="00290BE6" w:rsidRPr="00215DB5" w:rsidRDefault="00290BE6" w:rsidP="00994F88">
      <w:pPr>
        <w:pStyle w:val="Text4"/>
        <w:spacing w:line="288" w:lineRule="auto"/>
      </w:pPr>
      <w:r w:rsidRPr="00215DB5">
        <w:t>+ REV 1 (lv)</w:t>
      </w:r>
    </w:p>
    <w:p w:rsidR="00290BE6" w:rsidRPr="00215DB5" w:rsidRDefault="00290BE6" w:rsidP="00994F88">
      <w:pPr>
        <w:pStyle w:val="Pointivx2"/>
        <w:spacing w:line="288" w:lineRule="auto"/>
      </w:pPr>
      <w:r w:rsidRPr="00215DB5">
        <w:t>Проект на съвместен доклад за заетостта</w:t>
      </w:r>
    </w:p>
    <w:p w:rsidR="00290BE6" w:rsidRPr="00215DB5" w:rsidRDefault="00290BE6" w:rsidP="00994F88">
      <w:pPr>
        <w:pStyle w:val="Text3"/>
        <w:spacing w:line="288" w:lineRule="auto"/>
      </w:pPr>
      <w:r w:rsidRPr="00215DB5">
        <w:t>6142/15 SOC 68 EMPL 29 ECOFIN 95 EDUC 26 JEUN 11</w:t>
      </w:r>
    </w:p>
    <w:p w:rsidR="00290BE6" w:rsidRPr="00215DB5" w:rsidRDefault="00290BE6" w:rsidP="00994F88">
      <w:pPr>
        <w:pStyle w:val="Dash2"/>
        <w:spacing w:line="288" w:lineRule="auto"/>
      </w:pPr>
      <w:r w:rsidRPr="00215DB5">
        <w:t>Приемане</w:t>
      </w:r>
    </w:p>
    <w:p w:rsidR="00290BE6" w:rsidRPr="00215DB5" w:rsidRDefault="00290BE6" w:rsidP="00994F88">
      <w:pPr>
        <w:pStyle w:val="Text2"/>
        <w:spacing w:before="200" w:line="288" w:lineRule="auto"/>
      </w:pPr>
      <w:r w:rsidRPr="00215DB5">
        <w:rPr>
          <w:u w:val="single"/>
        </w:rPr>
        <w:t>Съветът</w:t>
      </w:r>
      <w:r w:rsidRPr="00215DB5">
        <w:t xml:space="preserve"> прие заключенията относно годишния обзор на растежа за 2015 г. и съвместния доклад за заетостта: политически насоки за политиките по заетостта и социалните политики. Окончателният текст е поместен в док. 7007/15.</w:t>
      </w:r>
    </w:p>
    <w:p w:rsidR="00290BE6" w:rsidRPr="00215DB5" w:rsidRDefault="00290BE6" w:rsidP="00994F88">
      <w:pPr>
        <w:pStyle w:val="Text2"/>
        <w:spacing w:before="200" w:line="288" w:lineRule="auto"/>
      </w:pPr>
      <w:r w:rsidRPr="00215DB5">
        <w:t>Съветът прие съвместния доклад за заетостта. Окончателният текст е поместен в док. 7006/15.</w:t>
      </w:r>
    </w:p>
    <w:p w:rsidR="00290BE6" w:rsidRPr="00994F88" w:rsidRDefault="00994F88" w:rsidP="00994F88">
      <w:pPr>
        <w:pStyle w:val="PointManual1"/>
        <w:rPr>
          <w:b/>
          <w:bCs/>
        </w:rPr>
      </w:pPr>
      <w:r w:rsidRPr="00994F88">
        <w:rPr>
          <w:b/>
          <w:bCs/>
        </w:rPr>
        <w:t>б)</w:t>
      </w:r>
      <w:r w:rsidRPr="00994F88">
        <w:tab/>
      </w:r>
      <w:r w:rsidR="00290BE6" w:rsidRPr="00994F88">
        <w:rPr>
          <w:b/>
        </w:rPr>
        <w:t>Социална Европа: постигане на приобщаващ растеж — Годишен доклад за 2014 г. на Комитета за социална закрила относно положението в социалната област в ЕС</w:t>
      </w:r>
    </w:p>
    <w:p w:rsidR="00290BE6" w:rsidRPr="00215DB5" w:rsidRDefault="00290BE6" w:rsidP="00290BE6">
      <w:pPr>
        <w:pStyle w:val="Dash2"/>
      </w:pPr>
      <w:r w:rsidRPr="00215DB5">
        <w:t>Одобряване на ключовите послания</w:t>
      </w:r>
    </w:p>
    <w:p w:rsidR="00290BE6" w:rsidRPr="00215DB5" w:rsidRDefault="00290BE6" w:rsidP="00290BE6">
      <w:pPr>
        <w:pStyle w:val="Text3"/>
      </w:pPr>
      <w:r w:rsidRPr="00215DB5">
        <w:t>6194/15 SOC 78</w:t>
      </w:r>
    </w:p>
    <w:p w:rsidR="00290BE6" w:rsidRPr="00215DB5" w:rsidRDefault="00290BE6" w:rsidP="00290BE6">
      <w:pPr>
        <w:pStyle w:val="Text4"/>
      </w:pPr>
      <w:r w:rsidRPr="00215DB5">
        <w:t>+ ADD 1</w:t>
      </w:r>
    </w:p>
    <w:p w:rsidR="00290BE6" w:rsidRPr="00215DB5" w:rsidRDefault="00290BE6" w:rsidP="00290BE6">
      <w:pPr>
        <w:pStyle w:val="Text2"/>
        <w:spacing w:before="200" w:line="360" w:lineRule="auto"/>
      </w:pPr>
      <w:r w:rsidRPr="00215DB5">
        <w:rPr>
          <w:u w:val="single"/>
        </w:rPr>
        <w:t>Съветът</w:t>
      </w:r>
      <w:r w:rsidRPr="00215DB5">
        <w:t xml:space="preserve"> одобри ключовите послания, съдържащи се в док. 6194/15.</w:t>
      </w:r>
    </w:p>
    <w:p w:rsidR="00290BE6" w:rsidRPr="00215DB5" w:rsidRDefault="00290BE6" w:rsidP="00290BE6">
      <w:pPr>
        <w:pStyle w:val="PointManual"/>
        <w:spacing w:before="600"/>
        <w:rPr>
          <w:b/>
          <w:bCs/>
        </w:rPr>
      </w:pPr>
      <w:r w:rsidRPr="00215DB5">
        <w:rPr>
          <w:b/>
        </w:rPr>
        <w:t>4.</w:t>
      </w:r>
      <w:r w:rsidRPr="00215DB5">
        <w:tab/>
      </w:r>
      <w:r w:rsidRPr="00215DB5">
        <w:rPr>
          <w:b/>
        </w:rPr>
        <w:t>Договорености за финансиране и ефективност и ефикасност на разпределението на ресурсите: съвместен доклад на Комитета за социална закрила и службите на Европейската комисия</w:t>
      </w:r>
    </w:p>
    <w:p w:rsidR="006843CB" w:rsidRPr="00215DB5" w:rsidRDefault="00290BE6" w:rsidP="00290BE6">
      <w:pPr>
        <w:pStyle w:val="Dash1"/>
      </w:pPr>
      <w:r w:rsidRPr="00215DB5">
        <w:t>Одобряване на ключовите послания</w:t>
      </w:r>
    </w:p>
    <w:p w:rsidR="006843CB" w:rsidRPr="00215DB5" w:rsidRDefault="00290BE6" w:rsidP="00290BE6">
      <w:pPr>
        <w:pStyle w:val="Text3"/>
      </w:pPr>
      <w:r w:rsidRPr="00215DB5">
        <w:t>6140/15 SOC 66 EMPL 27 ECOFIN93 SAN 44</w:t>
      </w:r>
    </w:p>
    <w:p w:rsidR="00290BE6" w:rsidRPr="00215DB5" w:rsidRDefault="00290BE6" w:rsidP="00290BE6">
      <w:pPr>
        <w:pStyle w:val="Text4"/>
      </w:pPr>
      <w:r w:rsidRPr="00215DB5">
        <w:t>+ COR 1</w:t>
      </w:r>
    </w:p>
    <w:p w:rsidR="00290BE6" w:rsidRPr="00215DB5" w:rsidRDefault="00290BE6" w:rsidP="00290BE6">
      <w:pPr>
        <w:pStyle w:val="Text1"/>
        <w:spacing w:before="200" w:line="360" w:lineRule="auto"/>
      </w:pPr>
      <w:r w:rsidRPr="00215DB5">
        <w:rPr>
          <w:u w:val="single"/>
        </w:rPr>
        <w:t>Съветът</w:t>
      </w:r>
      <w:r w:rsidRPr="00215DB5">
        <w:t xml:space="preserve"> одобри ключовите послания, съдържащи се в док. 6140/15 + COR 1.</w:t>
      </w:r>
    </w:p>
    <w:p w:rsidR="00290BE6" w:rsidRPr="00215DB5" w:rsidRDefault="00290BE6" w:rsidP="00290BE6">
      <w:pPr>
        <w:pStyle w:val="PointManual"/>
        <w:spacing w:before="600"/>
        <w:rPr>
          <w:b/>
          <w:bCs/>
          <w:i/>
          <w:iCs/>
        </w:rPr>
      </w:pPr>
      <w:r w:rsidRPr="00215DB5">
        <w:rPr>
          <w:b/>
        </w:rPr>
        <w:t>5.</w:t>
      </w:r>
      <w:r w:rsidRPr="00215DB5">
        <w:tab/>
      </w:r>
      <w:r w:rsidRPr="00215DB5">
        <w:rPr>
          <w:b/>
        </w:rPr>
        <w:t>Проект за заключения на Съвета относно напредъка в посока към по-приобщаващи пазари на труда</w:t>
      </w:r>
    </w:p>
    <w:p w:rsidR="006843CB" w:rsidRPr="00215DB5" w:rsidRDefault="00290BE6" w:rsidP="00290BE6">
      <w:pPr>
        <w:pStyle w:val="Dash1"/>
      </w:pPr>
      <w:r w:rsidRPr="00215DB5">
        <w:t>Приемане</w:t>
      </w:r>
    </w:p>
    <w:p w:rsidR="00290BE6" w:rsidRPr="00215DB5" w:rsidRDefault="00290BE6" w:rsidP="00290BE6">
      <w:pPr>
        <w:pStyle w:val="Text3"/>
      </w:pPr>
      <w:r w:rsidRPr="00215DB5">
        <w:t>6182/15 SOC 75 EMPL 36 ECOFIN 102 EDUC 32</w:t>
      </w:r>
    </w:p>
    <w:p w:rsidR="00290BE6" w:rsidRPr="00215DB5" w:rsidRDefault="00290BE6" w:rsidP="00290BE6">
      <w:pPr>
        <w:pStyle w:val="Text1"/>
        <w:spacing w:before="200" w:line="360" w:lineRule="auto"/>
      </w:pPr>
      <w:r w:rsidRPr="00215DB5">
        <w:rPr>
          <w:u w:val="single"/>
        </w:rPr>
        <w:t>Съветът</w:t>
      </w:r>
      <w:r w:rsidRPr="00215DB5">
        <w:t xml:space="preserve"> прие заключенията относно приобщаващите пазари на труда. Окончателният текст е поместен в док. 7017/15.</w:t>
      </w:r>
    </w:p>
    <w:p w:rsidR="00290BE6" w:rsidRPr="00215DB5" w:rsidRDefault="00290BE6" w:rsidP="00290BE6">
      <w:pPr>
        <w:pStyle w:val="PointManual"/>
        <w:spacing w:before="600"/>
        <w:rPr>
          <w:b/>
          <w:bCs/>
        </w:rPr>
      </w:pPr>
      <w:r w:rsidRPr="00215DB5">
        <w:rPr>
          <w:b/>
        </w:rPr>
        <w:t>6.</w:t>
      </w:r>
      <w:r w:rsidRPr="00215DB5">
        <w:tab/>
      </w:r>
      <w:r w:rsidRPr="00215DB5">
        <w:rPr>
          <w:b/>
        </w:rPr>
        <w:t>Проект за заключения на Съвета относно стратегическа рамка на ЕС за здравословни и безопасни условия на труд за периода 2014—2020 г.: Приспособяване към новите предизвикателства</w:t>
      </w:r>
    </w:p>
    <w:p w:rsidR="006843CB" w:rsidRPr="00215DB5" w:rsidRDefault="00290BE6" w:rsidP="00290BE6">
      <w:pPr>
        <w:pStyle w:val="Dash1"/>
      </w:pPr>
      <w:r w:rsidRPr="00215DB5">
        <w:t>Приемане</w:t>
      </w:r>
    </w:p>
    <w:p w:rsidR="00290BE6" w:rsidRPr="00215DB5" w:rsidRDefault="00290BE6" w:rsidP="00290BE6">
      <w:pPr>
        <w:pStyle w:val="Text3"/>
      </w:pPr>
      <w:r w:rsidRPr="00215DB5">
        <w:t>6535/15 SOC 98 EMPL 46</w:t>
      </w:r>
    </w:p>
    <w:p w:rsidR="00290BE6" w:rsidRPr="00215DB5" w:rsidRDefault="00290BE6" w:rsidP="00290BE6">
      <w:pPr>
        <w:pStyle w:val="Text4"/>
      </w:pPr>
      <w:r w:rsidRPr="00215DB5">
        <w:t>+ REV 1 (el)</w:t>
      </w:r>
    </w:p>
    <w:p w:rsidR="00290BE6" w:rsidRPr="00215DB5" w:rsidRDefault="00290BE6" w:rsidP="00290BE6">
      <w:pPr>
        <w:pStyle w:val="Text1"/>
        <w:spacing w:before="200" w:line="360" w:lineRule="auto"/>
      </w:pPr>
      <w:r w:rsidRPr="00215DB5">
        <w:rPr>
          <w:u w:val="single"/>
        </w:rPr>
        <w:t>Съветът</w:t>
      </w:r>
      <w:r w:rsidRPr="00215DB5">
        <w:t xml:space="preserve"> прие заключенията. Окончателният текст е поместен в док. 7013/15.</w:t>
      </w:r>
    </w:p>
    <w:p w:rsidR="00FC4670" w:rsidRPr="005C4DD9" w:rsidRDefault="00FC4670" w:rsidP="001C1F59">
      <w:pPr>
        <w:pStyle w:val="FinalLine"/>
      </w:pPr>
    </w:p>
    <w:sectPr w:rsidR="00FC4670" w:rsidRPr="005C4DD9" w:rsidSect="00394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59" w:rsidRDefault="001C1F59" w:rsidP="001C1F59">
      <w:r>
        <w:separator/>
      </w:r>
    </w:p>
  </w:endnote>
  <w:endnote w:type="continuationSeparator" w:id="0">
    <w:p w:rsidR="001C1F59" w:rsidRDefault="001C1F59" w:rsidP="001C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6" w:rsidRPr="00394F86" w:rsidRDefault="00666406" w:rsidP="00394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4F86" w:rsidRPr="00D94637" w:rsidTr="00394F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4F86" w:rsidRPr="00D94637" w:rsidRDefault="00394F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94F86" w:rsidRPr="00B310DC" w:rsidTr="00394F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4F86" w:rsidRPr="00AD7BF2" w:rsidRDefault="00394F86" w:rsidP="004F54B2">
          <w:pPr>
            <w:pStyle w:val="FooterText"/>
          </w:pPr>
          <w:r>
            <w:t>7002/15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4F86" w:rsidRPr="00AD7BF2" w:rsidRDefault="00394F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4F86" w:rsidRPr="002511D8" w:rsidRDefault="00394F86" w:rsidP="00D94637">
          <w:pPr>
            <w:pStyle w:val="FooterText"/>
            <w:jc w:val="center"/>
          </w:pPr>
          <w:r>
            <w:t>nm/MLK/eal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4F86" w:rsidRPr="00B310DC" w:rsidRDefault="00394F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94F86" w:rsidRPr="00D94637" w:rsidTr="00394F86">
      <w:trPr>
        <w:jc w:val="center"/>
      </w:trPr>
      <w:tc>
        <w:tcPr>
          <w:tcW w:w="1774" w:type="pct"/>
          <w:shd w:val="clear" w:color="auto" w:fill="auto"/>
        </w:tcPr>
        <w:p w:rsidR="00394F86" w:rsidRPr="00AD7BF2" w:rsidRDefault="00394F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4F86" w:rsidRPr="00AD7BF2" w:rsidRDefault="00394F8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94F86" w:rsidRPr="00D94637" w:rsidRDefault="00394F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4F86" w:rsidRPr="00D94637" w:rsidRDefault="00394F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C1F59" w:rsidRPr="00394F86" w:rsidRDefault="001C1F59" w:rsidP="00394F8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4F86" w:rsidRPr="00D94637" w:rsidTr="00394F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4F86" w:rsidRPr="00D94637" w:rsidRDefault="00394F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94F86" w:rsidRPr="00B310DC" w:rsidTr="00394F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4F86" w:rsidRPr="00AD7BF2" w:rsidRDefault="00394F86" w:rsidP="004F54B2">
          <w:pPr>
            <w:pStyle w:val="FooterText"/>
          </w:pPr>
          <w:r>
            <w:t>7002/15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4F86" w:rsidRPr="00AD7BF2" w:rsidRDefault="00394F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4F86" w:rsidRPr="002511D8" w:rsidRDefault="00394F86" w:rsidP="00D94637">
          <w:pPr>
            <w:pStyle w:val="FooterText"/>
            <w:jc w:val="center"/>
          </w:pPr>
          <w:r>
            <w:t>nm/MLK/eal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4F86" w:rsidRPr="00B310DC" w:rsidRDefault="00394F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94F86" w:rsidRPr="00D94637" w:rsidTr="00394F86">
      <w:trPr>
        <w:jc w:val="center"/>
      </w:trPr>
      <w:tc>
        <w:tcPr>
          <w:tcW w:w="1774" w:type="pct"/>
          <w:shd w:val="clear" w:color="auto" w:fill="auto"/>
        </w:tcPr>
        <w:p w:rsidR="00394F86" w:rsidRPr="00AD7BF2" w:rsidRDefault="00394F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4F86" w:rsidRPr="00AD7BF2" w:rsidRDefault="00394F8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94F86" w:rsidRPr="00D94637" w:rsidRDefault="00394F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4F86" w:rsidRPr="00D94637" w:rsidRDefault="00394F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C1F59" w:rsidRPr="00394F86" w:rsidRDefault="001C1F59" w:rsidP="00394F8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59" w:rsidRDefault="001C1F59" w:rsidP="001C1F59">
      <w:r>
        <w:separator/>
      </w:r>
    </w:p>
  </w:footnote>
  <w:footnote w:type="continuationSeparator" w:id="0">
    <w:p w:rsidR="001C1F59" w:rsidRDefault="001C1F59" w:rsidP="001C1F59">
      <w:r>
        <w:continuationSeparator/>
      </w:r>
    </w:p>
  </w:footnote>
  <w:footnote w:id="1">
    <w:p w:rsidR="00290BE6" w:rsidRPr="00555D80" w:rsidRDefault="00290BE6" w:rsidP="00290BE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6" w:rsidRPr="00394F86" w:rsidRDefault="00666406" w:rsidP="00394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6" w:rsidRPr="00394F86" w:rsidRDefault="00666406" w:rsidP="00394F8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06" w:rsidRPr="00394F86" w:rsidRDefault="00666406" w:rsidP="00394F8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d49dd59-57bf-4fe4-91ec-304b21d1437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2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0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1&lt;/text&gt;_x000d__x000a_      &lt;text&gt;SOC 162&lt;/text&gt;_x000d__x000a_      &lt;text&gt;EMPL 82&lt;/text&gt;_x000d__x000a_      &lt;text&gt;SAN 63&lt;/text&gt;_x000d__x000a_      &lt;text&gt;CONSOM 4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7;&amp;#1040;&amp;#1045;&amp;#1058;&amp;#1054;&amp;#1057;&amp;#1058;, &amp;#1057;&amp;#1054;&amp;#1062;&amp;#1048;&amp;#1040;&amp;#1051;&amp;#1053;&amp;#1040; &amp;#1055;&amp;#1054;&amp;#1051;&amp;#1048;&amp;#1058;&amp;#1048;&amp;#1050;&amp;#1040;, &amp;#1047;&amp;#1044;&amp;#1056;&amp;#1040;&amp;#1042;&amp;#1045;&amp;#1054;&amp;#1055;&amp;#1040;&amp;#1047;&amp;#1042;&amp;#1040;&amp;#1053;&amp;#1045; &amp;#1048; &amp;#1055;&amp;#1054;&amp;#1058;&amp;#1056;&amp;#1045;&amp;#1041;&amp;#1048;&amp;#1058;&amp;#1045;&amp;#1051;&amp;#1057;&amp;#1050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9 &amp;#1084;&amp;#1072;&amp;#1088;&amp;#109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74-&amp;#1090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lt;/Run&amp;gt;&amp;lt;Run FontFamily=&quot;Times New Roman&quot; FontWeight=&quot;Bold&quot;&amp;gt;&amp;lt;Run.TextDecorations&amp;gt;&amp;lt;TextDecoration Location=&quot;Underline&quot; /&amp;gt;&amp;lt;/Run.TextDecorations&amp;gt;&amp;#1047;&amp;#1040;&amp;#1045;&amp;#1058;&amp;#1054;&amp;#1057;&amp;#1058;, &amp;#1057;&amp;#1054;&amp;#1062;&amp;#1048;&amp;#1040;&amp;#1051;&amp;#1053;&amp;#1040; &amp;#1055;&amp;#1054;&amp;#1051;&amp;#1048;&amp;#1058;&amp;#1048;&amp;#1050;&amp;#1040;&amp;lt;/Run&amp;gt;&amp;lt;Run FontFamily=&quot;Times New Roman&quot; FontWeight=&quot;Bold&quot;&amp;gt;, &amp;#1047;&amp;#1044;&amp;#1056;&amp;#1040;&amp;#1042;&amp;#1045;&amp;#1054;&amp;#1055;&amp;#1040;&amp;#1047;&amp;#1042;&amp;#1040;&amp;#1053;&amp;#1045; &amp;#1048; &amp;#1055;&amp;#1054;&amp;#1058;&amp;#1056;&amp;#1045;&amp;#1041;&amp;#1048;&amp;#1058;&amp;#1045;&amp;#1051;&amp;#1057;&amp;#1050;&amp;#1048; &amp;#1042;&amp;#1066;&amp;#1055;&amp;#1056;&amp;#1054;&amp;#1057;&amp;#1048;)&amp;lt;/Run&amp;gt;&amp;lt;Run FontFamily=&quot;Times New Roman&quot;&amp;gt;, &amp;#1087;&amp;#1088;&amp;#1086;&amp;#1074;&amp;#1077;&amp;#1076;&amp;#1077;&amp;#1085;&amp;#1086; &amp;#1074; &amp;#1041;&amp;#1088;&amp;#1102;&amp;#1082;&amp;#1089;&amp;#1077;&amp;#1083; &amp;#1085;&amp;#1072; 9 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MLK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C1F59"/>
    <w:rsid w:val="00010C1D"/>
    <w:rsid w:val="0009656C"/>
    <w:rsid w:val="00165755"/>
    <w:rsid w:val="00182F2F"/>
    <w:rsid w:val="001834D4"/>
    <w:rsid w:val="001C1F59"/>
    <w:rsid w:val="00215DB5"/>
    <w:rsid w:val="00252B7C"/>
    <w:rsid w:val="00290BE6"/>
    <w:rsid w:val="002A2AE8"/>
    <w:rsid w:val="00394F86"/>
    <w:rsid w:val="003C6E8B"/>
    <w:rsid w:val="003F19D2"/>
    <w:rsid w:val="00433782"/>
    <w:rsid w:val="00447521"/>
    <w:rsid w:val="005157F5"/>
    <w:rsid w:val="005C4DD9"/>
    <w:rsid w:val="0063379B"/>
    <w:rsid w:val="00666406"/>
    <w:rsid w:val="006843CB"/>
    <w:rsid w:val="006A38C5"/>
    <w:rsid w:val="006C12EE"/>
    <w:rsid w:val="006C1AD4"/>
    <w:rsid w:val="006E33E2"/>
    <w:rsid w:val="006F4741"/>
    <w:rsid w:val="007016CD"/>
    <w:rsid w:val="0075756A"/>
    <w:rsid w:val="00825503"/>
    <w:rsid w:val="00865FDE"/>
    <w:rsid w:val="008826F8"/>
    <w:rsid w:val="008E23D4"/>
    <w:rsid w:val="00994F88"/>
    <w:rsid w:val="00A469D7"/>
    <w:rsid w:val="00B05D78"/>
    <w:rsid w:val="00B1521D"/>
    <w:rsid w:val="00B5606F"/>
    <w:rsid w:val="00BE1373"/>
    <w:rsid w:val="00D451E4"/>
    <w:rsid w:val="00E91F8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link w:val="Text2Char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link w:val="Dash2Char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1F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C1F5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C1F5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C1F59"/>
  </w:style>
  <w:style w:type="character" w:customStyle="1" w:styleId="FootnoteTextChar">
    <w:name w:val="Footnote Text Char"/>
    <w:basedOn w:val="DefaultParagraphFont"/>
    <w:link w:val="FootnoteText"/>
    <w:rsid w:val="00290BE6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290BE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290BE6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290BE6"/>
    <w:rPr>
      <w:sz w:val="24"/>
      <w:szCs w:val="24"/>
      <w:lang w:val="bg-BG" w:eastAsia="bg-BG"/>
    </w:rPr>
  </w:style>
  <w:style w:type="character" w:customStyle="1" w:styleId="Dash2Char">
    <w:name w:val="Dash 2 Char"/>
    <w:link w:val="Dash2"/>
    <w:rsid w:val="00290BE6"/>
    <w:rPr>
      <w:sz w:val="24"/>
      <w:szCs w:val="24"/>
      <w:lang w:val="bg-BG" w:eastAsia="bg-BG"/>
    </w:rPr>
  </w:style>
  <w:style w:type="character" w:customStyle="1" w:styleId="Text2Char">
    <w:name w:val="Text 2 Char"/>
    <w:link w:val="Text2"/>
    <w:rsid w:val="00290BE6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8F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3F1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9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link w:val="Text2Char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link w:val="Dash2Char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C1F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C1F5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C1F5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C1F59"/>
  </w:style>
  <w:style w:type="character" w:customStyle="1" w:styleId="FootnoteTextChar">
    <w:name w:val="Footnote Text Char"/>
    <w:basedOn w:val="DefaultParagraphFont"/>
    <w:link w:val="FootnoteText"/>
    <w:rsid w:val="00290BE6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290BE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290BE6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290BE6"/>
    <w:rPr>
      <w:sz w:val="24"/>
      <w:szCs w:val="24"/>
      <w:lang w:val="bg-BG" w:eastAsia="bg-BG"/>
    </w:rPr>
  </w:style>
  <w:style w:type="character" w:customStyle="1" w:styleId="Dash2Char">
    <w:name w:val="Dash 2 Char"/>
    <w:link w:val="Dash2"/>
    <w:rsid w:val="00290BE6"/>
    <w:rPr>
      <w:sz w:val="24"/>
      <w:szCs w:val="24"/>
      <w:lang w:val="bg-BG" w:eastAsia="bg-BG"/>
    </w:rPr>
  </w:style>
  <w:style w:type="character" w:customStyle="1" w:styleId="Text2Char">
    <w:name w:val="Text 2 Char"/>
    <w:link w:val="Text2"/>
    <w:rsid w:val="00290BE6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8F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3F1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9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ALEXANDROVA-LIPMAN Elisaveta</cp:lastModifiedBy>
  <cp:revision>4</cp:revision>
  <cp:lastPrinted>2015-03-27T10:59:00Z</cp:lastPrinted>
  <dcterms:created xsi:type="dcterms:W3CDTF">2015-04-08T15:03:00Z</dcterms:created>
  <dcterms:modified xsi:type="dcterms:W3CDTF">2015-04-08T15:11:00Z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