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6B" w:rsidRPr="00FF55F6" w:rsidRDefault="003A7FCD" w:rsidP="00FF55F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73fc7f7-832e-4845-9044-f71d2ca9da90_0" style="width:568.45pt;height:504.85pt">
            <v:imagedata r:id="rId9" o:title=""/>
          </v:shape>
        </w:pict>
      </w:r>
      <w:bookmarkEnd w:id="0"/>
    </w:p>
    <w:p w:rsidR="004157A5" w:rsidRPr="00FF55F6" w:rsidRDefault="004157A5" w:rsidP="008826F6">
      <w:pPr>
        <w:rPr>
          <w:b/>
          <w:bCs/>
        </w:rPr>
      </w:pPr>
    </w:p>
    <w:p w:rsidR="004157A5" w:rsidRPr="00FF55F6" w:rsidRDefault="004157A5" w:rsidP="005C5F8E">
      <w:pPr>
        <w:rPr>
          <w:b/>
          <w:bCs/>
        </w:rPr>
      </w:pPr>
      <w:r w:rsidRPr="00FF55F6">
        <w:rPr>
          <w:b/>
          <w:u w:val="single"/>
        </w:rPr>
        <w:t>ЗАСЕДАНИЕ НА 18 ЮНИ 2015 г., ЧЕТВЪРТЪК (9,30 ч.)</w:t>
      </w:r>
    </w:p>
    <w:p w:rsidR="004157A5" w:rsidRPr="00FF55F6" w:rsidRDefault="004157A5" w:rsidP="008826F6">
      <w:pPr>
        <w:rPr>
          <w:b/>
          <w:bCs/>
        </w:rPr>
      </w:pPr>
    </w:p>
    <w:p w:rsidR="004157A5" w:rsidRPr="00FF55F6" w:rsidRDefault="004157A5" w:rsidP="008826F6">
      <w:pPr>
        <w:rPr>
          <w:b/>
          <w:bCs/>
        </w:rPr>
      </w:pPr>
    </w:p>
    <w:p w:rsidR="004157A5" w:rsidRPr="00FF55F6" w:rsidRDefault="004157A5" w:rsidP="005C5F8E">
      <w:pPr>
        <w:pStyle w:val="PointManual"/>
        <w:spacing w:before="0"/>
      </w:pPr>
      <w:r w:rsidRPr="00FF55F6">
        <w:t>1.</w:t>
      </w:r>
      <w:r w:rsidRPr="00FF55F6">
        <w:tab/>
        <w:t xml:space="preserve">Приемане на предварителния дневен ред </w:t>
      </w:r>
    </w:p>
    <w:p w:rsidR="004157A5" w:rsidRPr="00FF55F6" w:rsidRDefault="004157A5" w:rsidP="005C5F8E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5C5F8E" w:rsidRPr="00FF55F6" w:rsidRDefault="005C5F8E" w:rsidP="005C5F8E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4157A5" w:rsidRPr="00FF55F6" w:rsidRDefault="004157A5" w:rsidP="005C5F8E">
      <w:pPr>
        <w:rPr>
          <w:b/>
          <w:bCs/>
          <w:i/>
          <w:iCs/>
          <w:color w:val="000000"/>
        </w:rPr>
      </w:pPr>
      <w:r w:rsidRPr="00FF55F6">
        <w:rPr>
          <w:b/>
          <w:u w:val="single"/>
        </w:rPr>
        <w:t>Незаконодателни дейности</w:t>
      </w:r>
      <w:r w:rsidRPr="00FF55F6">
        <w:rPr>
          <w:b/>
        </w:rPr>
        <w:t xml:space="preserve"> </w:t>
      </w:r>
    </w:p>
    <w:p w:rsidR="005C5F8E" w:rsidRPr="00FF55F6" w:rsidRDefault="005C5F8E" w:rsidP="005C5F8E">
      <w:pPr>
        <w:pStyle w:val="PointManual"/>
        <w:spacing w:before="0"/>
      </w:pPr>
    </w:p>
    <w:p w:rsidR="005C5F8E" w:rsidRPr="00FF55F6" w:rsidRDefault="005C5F8E" w:rsidP="005C5F8E">
      <w:pPr>
        <w:pStyle w:val="PointManual"/>
        <w:spacing w:before="0"/>
      </w:pPr>
    </w:p>
    <w:p w:rsidR="004157A5" w:rsidRPr="00FF55F6" w:rsidRDefault="004157A5" w:rsidP="005C5F8E">
      <w:pPr>
        <w:pStyle w:val="PointManual"/>
        <w:spacing w:before="0"/>
      </w:pPr>
      <w:r w:rsidRPr="00FF55F6">
        <w:t>2.</w:t>
      </w:r>
      <w:r w:rsidRPr="00FF55F6">
        <w:tab/>
        <w:t>(евентуално) Одобряване на списъка на точки А</w:t>
      </w:r>
    </w:p>
    <w:p w:rsidR="004157A5" w:rsidRPr="00FF55F6" w:rsidRDefault="004157A5" w:rsidP="005C5F8E">
      <w:pPr>
        <w:jc w:val="both"/>
        <w:rPr>
          <w:b/>
          <w:bCs/>
          <w:color w:val="000000"/>
          <w:u w:val="single"/>
        </w:rPr>
      </w:pPr>
    </w:p>
    <w:p w:rsidR="008F6967" w:rsidRPr="00FF55F6" w:rsidRDefault="005C5F8E" w:rsidP="005C5F8E">
      <w:pPr>
        <w:jc w:val="both"/>
        <w:rPr>
          <w:b/>
          <w:bCs/>
          <w:color w:val="000000"/>
          <w:u w:val="single"/>
        </w:rPr>
      </w:pPr>
      <w:r w:rsidRPr="00FF55F6">
        <w:br w:type="page"/>
      </w:r>
    </w:p>
    <w:p w:rsidR="004157A5" w:rsidRPr="00FF55F6" w:rsidRDefault="004157A5" w:rsidP="005C5F8E">
      <w:pPr>
        <w:jc w:val="both"/>
        <w:rPr>
          <w:b/>
          <w:bCs/>
          <w:i/>
          <w:iCs/>
          <w:color w:val="000000"/>
        </w:rPr>
      </w:pPr>
      <w:r w:rsidRPr="00FF55F6">
        <w:rPr>
          <w:b/>
          <w:color w:val="000000"/>
          <w:u w:val="single"/>
        </w:rPr>
        <w:t>Обсъждания на законодателни актове</w:t>
      </w:r>
    </w:p>
    <w:p w:rsidR="004157A5" w:rsidRPr="00FF55F6" w:rsidRDefault="004157A5" w:rsidP="005C5F8E">
      <w:pPr>
        <w:rPr>
          <w:b/>
          <w:bCs/>
        </w:rPr>
      </w:pPr>
      <w:r w:rsidRPr="00FF55F6">
        <w:rPr>
          <w:b/>
          <w:color w:val="000000"/>
        </w:rPr>
        <w:t>(открито обсъждане съгласно член 16, параграф 8 от Договора за Европейския съюз)</w:t>
      </w:r>
    </w:p>
    <w:p w:rsidR="004157A5" w:rsidRPr="00FF55F6" w:rsidRDefault="004157A5" w:rsidP="005C5F8E"/>
    <w:p w:rsidR="004157A5" w:rsidRPr="00FF55F6" w:rsidRDefault="004157A5" w:rsidP="005C5F8E">
      <w:pPr>
        <w:pStyle w:val="PointManual"/>
        <w:spacing w:before="0"/>
      </w:pPr>
      <w:r w:rsidRPr="00FF55F6">
        <w:t>3.</w:t>
      </w:r>
      <w:r w:rsidRPr="00FF55F6">
        <w:tab/>
        <w:t>(евентуално) Одобряване на списъка на точки А</w:t>
      </w:r>
    </w:p>
    <w:p w:rsidR="004157A5" w:rsidRPr="00FF55F6" w:rsidRDefault="004157A5" w:rsidP="005C5F8E">
      <w:pPr>
        <w:rPr>
          <w:b/>
          <w:bCs/>
          <w:caps/>
          <w:u w:val="single"/>
        </w:rPr>
      </w:pPr>
    </w:p>
    <w:p w:rsidR="005C5F8E" w:rsidRPr="00FF55F6" w:rsidRDefault="005C5F8E" w:rsidP="005C5F8E">
      <w:pPr>
        <w:rPr>
          <w:b/>
          <w:bCs/>
          <w:caps/>
          <w:u w:val="single"/>
        </w:rPr>
      </w:pPr>
    </w:p>
    <w:p w:rsidR="004157A5" w:rsidRPr="00FF55F6" w:rsidRDefault="004157A5" w:rsidP="005C5F8E">
      <w:pPr>
        <w:rPr>
          <w:caps/>
          <w:u w:val="single"/>
        </w:rPr>
      </w:pPr>
      <w:r w:rsidRPr="00FF55F6">
        <w:rPr>
          <w:caps/>
          <w:u w:val="single"/>
        </w:rPr>
        <w:t xml:space="preserve">ЗАЕТОСТ И СОЦИАЛНА ПОЛИТИКА </w:t>
      </w:r>
    </w:p>
    <w:p w:rsidR="004157A5" w:rsidRPr="00FF55F6" w:rsidRDefault="004157A5" w:rsidP="008826F6"/>
    <w:p w:rsidR="005C5F8E" w:rsidRPr="00FF55F6" w:rsidRDefault="005C5F8E" w:rsidP="008826F6"/>
    <w:p w:rsidR="004157A5" w:rsidRPr="00FF55F6" w:rsidRDefault="004157A5" w:rsidP="005C5F8E">
      <w:pPr>
        <w:pStyle w:val="PointManual"/>
        <w:spacing w:before="0"/>
      </w:pPr>
      <w:r w:rsidRPr="00FF55F6">
        <w:t>4.</w:t>
      </w:r>
      <w:r w:rsidRPr="00FF55F6">
        <w:tab/>
        <w:t xml:space="preserve">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дружествата, допуснати до борсова търговия, и свързани с това мерки </w:t>
      </w:r>
      <w:r w:rsidRPr="00FF55F6">
        <w:rPr>
          <w:b/>
        </w:rPr>
        <w:t>(първо четене) (*)</w:t>
      </w:r>
    </w:p>
    <w:p w:rsidR="004157A5" w:rsidRPr="00FF55F6" w:rsidRDefault="004157A5" w:rsidP="008826F6">
      <w:pPr>
        <w:pStyle w:val="Text1"/>
      </w:pPr>
      <w:r w:rsidRPr="00FF55F6">
        <w:t>(правно основание, предложено от Комисията: член 157 от ДФЕС)</w:t>
      </w:r>
    </w:p>
    <w:p w:rsidR="004157A5" w:rsidRPr="00FF55F6" w:rsidRDefault="004157A5" w:rsidP="008826F6">
      <w:pPr>
        <w:pStyle w:val="Text1"/>
        <w:rPr>
          <w:i/>
          <w:iCs/>
        </w:rPr>
      </w:pPr>
      <w:r w:rsidRPr="00FF55F6">
        <w:t>Междуинституционално досие: 2012/0299 (COD)</w:t>
      </w:r>
    </w:p>
    <w:p w:rsidR="004157A5" w:rsidRPr="00FF55F6" w:rsidRDefault="004157A5" w:rsidP="005C5F8E">
      <w:pPr>
        <w:pStyle w:val="Dash1"/>
      </w:pPr>
      <w:r w:rsidRPr="00FF55F6">
        <w:t xml:space="preserve">Доклад за напредъка </w:t>
      </w:r>
    </w:p>
    <w:p w:rsidR="004157A5" w:rsidRPr="00FF55F6" w:rsidRDefault="00F54F7D" w:rsidP="005623D1">
      <w:pPr>
        <w:pStyle w:val="Text3"/>
        <w:rPr>
          <w:bCs/>
          <w:i/>
          <w:iCs/>
        </w:rPr>
      </w:pPr>
      <w:r w:rsidRPr="00FF55F6">
        <w:t>16433/12 SOC 943 ECOFIN 708 DRS 130 CODEC 2724</w:t>
      </w:r>
    </w:p>
    <w:p w:rsidR="005C5F8E" w:rsidRPr="00FF55F6" w:rsidRDefault="005C5F8E" w:rsidP="008826F6">
      <w:pPr>
        <w:outlineLvl w:val="0"/>
        <w:rPr>
          <w:bCs/>
          <w:i/>
          <w:iCs/>
        </w:rPr>
      </w:pPr>
    </w:p>
    <w:p w:rsidR="005C5F8E" w:rsidRPr="00FF55F6" w:rsidRDefault="005C5F8E" w:rsidP="008826F6">
      <w:pPr>
        <w:outlineLvl w:val="0"/>
        <w:rPr>
          <w:bCs/>
          <w:i/>
          <w:iCs/>
        </w:rPr>
      </w:pPr>
    </w:p>
    <w:p w:rsidR="004157A5" w:rsidRPr="00FF55F6" w:rsidRDefault="004157A5" w:rsidP="005C5F8E">
      <w:pPr>
        <w:pStyle w:val="PointManual"/>
        <w:spacing w:before="0"/>
      </w:pPr>
      <w:r w:rsidRPr="00FF55F6">
        <w:t>5.</w:t>
      </w:r>
      <w:r w:rsidRPr="00FF55F6">
        <w:tab/>
        <w:t>Предложение за директива на Съвета за прилагане на принципа на равно третиране на лицата без оглед на религиозна принадлежност или убеждения, увреждане, възраст или сексуална ориентация</w:t>
      </w:r>
    </w:p>
    <w:p w:rsidR="004157A5" w:rsidRPr="00FF55F6" w:rsidRDefault="004157A5" w:rsidP="008826F6">
      <w:pPr>
        <w:pStyle w:val="Text1"/>
        <w:rPr>
          <w:i/>
          <w:iCs/>
        </w:rPr>
      </w:pPr>
      <w:r w:rsidRPr="00FF55F6">
        <w:t>Междуинституционално досие: 2008/0140 (CNS)</w:t>
      </w:r>
    </w:p>
    <w:p w:rsidR="004157A5" w:rsidRPr="00FF55F6" w:rsidRDefault="004157A5" w:rsidP="005C5F8E">
      <w:pPr>
        <w:pStyle w:val="Dash1"/>
      </w:pPr>
      <w:r w:rsidRPr="00FF55F6">
        <w:t>Доклад за напредъка</w:t>
      </w:r>
    </w:p>
    <w:p w:rsidR="004157A5" w:rsidRPr="00FF55F6" w:rsidRDefault="00F54F7D" w:rsidP="005623D1">
      <w:pPr>
        <w:pStyle w:val="Text3"/>
        <w:rPr>
          <w:b/>
          <w:bCs/>
          <w:u w:val="single"/>
        </w:rPr>
      </w:pPr>
      <w:r w:rsidRPr="00FF55F6">
        <w:t>11531/08 SOC 411 JAI 368 MI 246</w:t>
      </w:r>
    </w:p>
    <w:p w:rsidR="005C5F8E" w:rsidRPr="00FF55F6" w:rsidRDefault="005C5F8E" w:rsidP="005C5F8E">
      <w:pPr>
        <w:rPr>
          <w:b/>
          <w:bCs/>
          <w:u w:val="single"/>
        </w:rPr>
      </w:pPr>
    </w:p>
    <w:p w:rsidR="004157A5" w:rsidRPr="00FF55F6" w:rsidRDefault="004157A5" w:rsidP="005C5F8E">
      <w:pPr>
        <w:rPr>
          <w:b/>
          <w:bCs/>
          <w:u w:val="single"/>
        </w:rPr>
      </w:pPr>
    </w:p>
    <w:p w:rsidR="004157A5" w:rsidRPr="00FF55F6" w:rsidRDefault="004157A5" w:rsidP="005C5F8E">
      <w:pPr>
        <w:rPr>
          <w:b/>
          <w:bCs/>
          <w:i/>
          <w:iCs/>
          <w:color w:val="000000"/>
        </w:rPr>
      </w:pPr>
      <w:r w:rsidRPr="00FF55F6">
        <w:rPr>
          <w:b/>
          <w:u w:val="single"/>
        </w:rPr>
        <w:t>Незаконодателни дейности</w:t>
      </w:r>
      <w:r w:rsidRPr="00FF55F6">
        <w:rPr>
          <w:b/>
        </w:rPr>
        <w:t xml:space="preserve"> </w:t>
      </w:r>
    </w:p>
    <w:p w:rsidR="004157A5" w:rsidRPr="00FF55F6" w:rsidRDefault="004157A5" w:rsidP="00F96A63">
      <w:pPr>
        <w:rPr>
          <w:b/>
          <w:bCs/>
        </w:rPr>
      </w:pPr>
      <w:r w:rsidRPr="00FF55F6">
        <w:rPr>
          <w:b/>
          <w:color w:val="000000"/>
        </w:rPr>
        <w:t>(открит дебат съгласно член 8, параграф 2 от Процедурния правилник на Съвета по точки 6—9)</w:t>
      </w:r>
    </w:p>
    <w:p w:rsidR="004157A5" w:rsidRPr="00FF55F6" w:rsidRDefault="004157A5" w:rsidP="008826F6">
      <w:pPr>
        <w:rPr>
          <w:b/>
          <w:bCs/>
        </w:rPr>
      </w:pPr>
    </w:p>
    <w:p w:rsidR="004157A5" w:rsidRPr="00FF55F6" w:rsidRDefault="004157A5" w:rsidP="008826F6"/>
    <w:p w:rsidR="004157A5" w:rsidRPr="00FF55F6" w:rsidRDefault="004157A5" w:rsidP="005C5F8E">
      <w:pPr>
        <w:pStyle w:val="PointManual"/>
        <w:spacing w:before="0"/>
      </w:pPr>
      <w:r w:rsidRPr="00FF55F6">
        <w:t>6.</w:t>
      </w:r>
      <w:r w:rsidRPr="00FF55F6">
        <w:tab/>
        <w:t>Европейски семестър за 2015 г.: принос за заседанието на Европейския съвет (Брюксел, 25—26 юни)</w:t>
      </w:r>
    </w:p>
    <w:p w:rsidR="004157A5" w:rsidRPr="00FF55F6" w:rsidRDefault="004157A5" w:rsidP="005C5F8E">
      <w:pPr>
        <w:pStyle w:val="Dash1"/>
      </w:pPr>
      <w:r w:rsidRPr="00FF55F6">
        <w:t>Ориентационен дебат</w:t>
      </w:r>
    </w:p>
    <w:p w:rsidR="004157A5" w:rsidRPr="00FF55F6" w:rsidRDefault="004157A5" w:rsidP="008826F6">
      <w:pPr>
        <w:rPr>
          <w:rFonts w:eastAsia="Calibri"/>
          <w:i/>
        </w:rPr>
      </w:pPr>
    </w:p>
    <w:p w:rsidR="004157A5" w:rsidRPr="00FF55F6" w:rsidRDefault="005C5F8E" w:rsidP="005C5F8E">
      <w:pPr>
        <w:pStyle w:val="PointManual1"/>
        <w:rPr>
          <w:rFonts w:eastAsia="Calibri"/>
        </w:rPr>
      </w:pPr>
      <w:r w:rsidRPr="00FF55F6">
        <w:t>а)</w:t>
      </w:r>
      <w:r w:rsidRPr="00FF55F6">
        <w:tab/>
        <w:t>Проект за препоръки на Съвета относно националните програми за реформи за 2015 г. към всяка държава членка и проект за обяснителна бележка</w:t>
      </w:r>
    </w:p>
    <w:p w:rsidR="004157A5" w:rsidRPr="00FF55F6" w:rsidRDefault="004157A5" w:rsidP="005C5F8E">
      <w:pPr>
        <w:pStyle w:val="Dash2"/>
        <w:rPr>
          <w:i/>
          <w:iCs/>
        </w:rPr>
      </w:pPr>
      <w:r w:rsidRPr="00FF55F6">
        <w:t xml:space="preserve">Одобряване </w:t>
      </w:r>
    </w:p>
    <w:p w:rsidR="004157A5" w:rsidRPr="00FF55F6" w:rsidRDefault="004157A5" w:rsidP="005C5F8E">
      <w:pPr>
        <w:tabs>
          <w:tab w:val="left" w:pos="1134"/>
        </w:tabs>
        <w:rPr>
          <w:rFonts w:eastAsia="Calibri"/>
        </w:rPr>
      </w:pPr>
    </w:p>
    <w:p w:rsidR="004157A5" w:rsidRPr="00FF55F6" w:rsidRDefault="005C5F8E" w:rsidP="005C5F8E">
      <w:pPr>
        <w:pStyle w:val="PointManual1"/>
        <w:rPr>
          <w:rFonts w:eastAsia="Calibri"/>
        </w:rPr>
      </w:pPr>
      <w:r w:rsidRPr="00FF55F6">
        <w:t>б)</w:t>
      </w:r>
      <w:r w:rsidRPr="00FF55F6">
        <w:tab/>
        <w:t xml:space="preserve">Оценка на специфичните за всяка държава препоръки за 2015 г. и изпълнение на специфичните за всяка държава препоръки за 2014 г. </w:t>
      </w:r>
    </w:p>
    <w:p w:rsidR="004157A5" w:rsidRPr="00FF55F6" w:rsidRDefault="004157A5" w:rsidP="005C5F8E">
      <w:pPr>
        <w:pStyle w:val="Dash2"/>
      </w:pPr>
      <w:r w:rsidRPr="00FF55F6">
        <w:t>Одобряване на становищата на Комитета по заетостта и Комитета за социална закрила</w:t>
      </w:r>
    </w:p>
    <w:p w:rsidR="004157A5" w:rsidRPr="00FF55F6" w:rsidRDefault="004157A5" w:rsidP="008826F6">
      <w:pPr>
        <w:outlineLvl w:val="1"/>
        <w:rPr>
          <w:bCs/>
          <w:highlight w:val="yellow"/>
        </w:rPr>
      </w:pPr>
    </w:p>
    <w:p w:rsidR="004157A5" w:rsidRPr="00FF55F6" w:rsidRDefault="005C5F8E" w:rsidP="005C5F8E">
      <w:pPr>
        <w:pStyle w:val="PointManual1"/>
        <w:rPr>
          <w:rFonts w:eastAsia="Calibri"/>
        </w:rPr>
      </w:pPr>
      <w:r w:rsidRPr="00FF55F6">
        <w:t>в)</w:t>
      </w:r>
      <w:r w:rsidRPr="00FF55F6">
        <w:tab/>
        <w:t>Наблюдение на резултатите и показателите в областта на заетостта</w:t>
      </w:r>
    </w:p>
    <w:p w:rsidR="004157A5" w:rsidRPr="00FF55F6" w:rsidRDefault="004157A5" w:rsidP="005C5F8E">
      <w:pPr>
        <w:pStyle w:val="Dash2"/>
      </w:pPr>
      <w:r w:rsidRPr="00FF55F6">
        <w:t>Одобряване на доклада на Комитета по заетостта</w:t>
      </w:r>
    </w:p>
    <w:p w:rsidR="004157A5" w:rsidRPr="00FF55F6" w:rsidRDefault="004157A5" w:rsidP="008826F6">
      <w:pPr>
        <w:outlineLvl w:val="1"/>
        <w:rPr>
          <w:i/>
          <w:iCs/>
        </w:rPr>
      </w:pPr>
    </w:p>
    <w:p w:rsidR="004157A5" w:rsidRPr="00FF55F6" w:rsidRDefault="009A5339" w:rsidP="009A5339">
      <w:pPr>
        <w:outlineLvl w:val="1"/>
        <w:rPr>
          <w:i/>
          <w:iCs/>
        </w:rPr>
      </w:pPr>
      <w:r w:rsidRPr="00FF55F6">
        <w:br w:type="page"/>
      </w:r>
    </w:p>
    <w:p w:rsidR="004157A5" w:rsidRPr="00FF55F6" w:rsidRDefault="004157A5" w:rsidP="006003B2">
      <w:pPr>
        <w:pStyle w:val="PointManual"/>
        <w:spacing w:before="0"/>
      </w:pPr>
      <w:r w:rsidRPr="00FF55F6">
        <w:t>7.</w:t>
      </w:r>
      <w:r w:rsidRPr="00FF55F6">
        <w:tab/>
        <w:t xml:space="preserve">Предложение за решение на Съвета относно насоките за политиката на държавите членки в областта на заетостта </w:t>
      </w:r>
    </w:p>
    <w:p w:rsidR="004157A5" w:rsidRPr="00FF55F6" w:rsidRDefault="004157A5" w:rsidP="005C5F8E">
      <w:pPr>
        <w:pStyle w:val="Dash1"/>
      </w:pPr>
      <w:r w:rsidRPr="00FF55F6">
        <w:t>Общ подход</w:t>
      </w:r>
    </w:p>
    <w:p w:rsidR="00F54F7D" w:rsidRPr="00FF55F6" w:rsidRDefault="00F54F7D" w:rsidP="005623D1">
      <w:pPr>
        <w:pStyle w:val="Text3"/>
      </w:pPr>
      <w:r w:rsidRPr="00FF55F6">
        <w:t xml:space="preserve">6144/15 SOC 70 EMPL 31 ECOFIN 97 EDUC 28 JEUN 21 </w:t>
      </w:r>
    </w:p>
    <w:p w:rsidR="004157A5" w:rsidRPr="00FF55F6" w:rsidRDefault="00F54F7D" w:rsidP="005623D1">
      <w:pPr>
        <w:pStyle w:val="Text4"/>
        <w:rPr>
          <w:i/>
          <w:iCs/>
        </w:rPr>
      </w:pPr>
      <w:r w:rsidRPr="00FF55F6">
        <w:t>+ ADD 1</w:t>
      </w:r>
    </w:p>
    <w:p w:rsidR="009A5339" w:rsidRPr="00FF55F6" w:rsidRDefault="009A5339" w:rsidP="005C5F8E">
      <w:pPr>
        <w:outlineLvl w:val="1"/>
        <w:rPr>
          <w:i/>
          <w:iCs/>
        </w:rPr>
      </w:pPr>
    </w:p>
    <w:p w:rsidR="004157A5" w:rsidRPr="00FF55F6" w:rsidRDefault="004157A5" w:rsidP="005C5F8E">
      <w:pPr>
        <w:outlineLvl w:val="1"/>
        <w:rPr>
          <w:i/>
          <w:iCs/>
        </w:rPr>
      </w:pPr>
    </w:p>
    <w:p w:rsidR="004157A5" w:rsidRPr="00FF55F6" w:rsidRDefault="004157A5" w:rsidP="005C5F8E">
      <w:pPr>
        <w:pStyle w:val="PointManual"/>
        <w:spacing w:before="0"/>
      </w:pPr>
      <w:r w:rsidRPr="00FF55F6">
        <w:t>8.</w:t>
      </w:r>
      <w:r w:rsidRPr="00FF55F6">
        <w:tab/>
        <w:t>Младежка заетост</w:t>
      </w:r>
    </w:p>
    <w:p w:rsidR="004157A5" w:rsidRPr="00FF55F6" w:rsidRDefault="004157A5" w:rsidP="008826F6">
      <w:pPr>
        <w:rPr>
          <w:rFonts w:eastAsia="Calibri" w:cs="Arial"/>
          <w:szCs w:val="22"/>
        </w:rPr>
      </w:pPr>
    </w:p>
    <w:p w:rsidR="004157A5" w:rsidRPr="00FF55F6" w:rsidRDefault="004157A5" w:rsidP="005C5F8E">
      <w:pPr>
        <w:pStyle w:val="PointManual1"/>
        <w:rPr>
          <w:rFonts w:eastAsia="Calibri"/>
        </w:rPr>
      </w:pPr>
      <w:r w:rsidRPr="00FF55F6">
        <w:t>а)</w:t>
      </w:r>
      <w:r w:rsidRPr="00FF55F6">
        <w:tab/>
        <w:t xml:space="preserve">Проект за заключения относно специален доклад № 3 на Европейската сметна палата „Първи стъпки на европейската „Гаранция за младежта“ и възможни рискове пред нейното изпълнение“ </w:t>
      </w:r>
    </w:p>
    <w:p w:rsidR="004157A5" w:rsidRPr="00FF55F6" w:rsidRDefault="004157A5" w:rsidP="005C5F8E">
      <w:pPr>
        <w:pStyle w:val="Dash2"/>
        <w:rPr>
          <w:rFonts w:eastAsia="Calibri"/>
        </w:rPr>
      </w:pPr>
      <w:r w:rsidRPr="00FF55F6">
        <w:t xml:space="preserve">Приемане </w:t>
      </w:r>
    </w:p>
    <w:p w:rsidR="004157A5" w:rsidRPr="00FF55F6" w:rsidRDefault="004157A5" w:rsidP="008826F6">
      <w:pPr>
        <w:rPr>
          <w:rFonts w:eastAsia="Calibri" w:cs="Arial"/>
          <w:szCs w:val="22"/>
        </w:rPr>
      </w:pPr>
    </w:p>
    <w:p w:rsidR="004157A5" w:rsidRPr="00FF55F6" w:rsidRDefault="004157A5" w:rsidP="005C5F8E">
      <w:pPr>
        <w:pStyle w:val="PointManual1"/>
        <w:rPr>
          <w:rFonts w:eastAsia="Calibri"/>
        </w:rPr>
      </w:pPr>
      <w:r w:rsidRPr="00FF55F6">
        <w:t>б)</w:t>
      </w:r>
      <w:r w:rsidRPr="00FF55F6">
        <w:tab/>
        <w:t>Състояние на изпълнението на действията на ЕС</w:t>
      </w:r>
    </w:p>
    <w:p w:rsidR="004157A5" w:rsidRPr="00FF55F6" w:rsidRDefault="004157A5" w:rsidP="005C5F8E">
      <w:pPr>
        <w:pStyle w:val="Dash2"/>
        <w:rPr>
          <w:rFonts w:eastAsia="Calibri"/>
        </w:rPr>
      </w:pPr>
      <w:r w:rsidRPr="00FF55F6">
        <w:t xml:space="preserve">Представяне от Комисията </w:t>
      </w:r>
    </w:p>
    <w:p w:rsidR="005C5F8E" w:rsidRPr="00FF55F6" w:rsidRDefault="005C5F8E" w:rsidP="008826F6">
      <w:pPr>
        <w:outlineLvl w:val="0"/>
        <w:rPr>
          <w:bCs/>
          <w:i/>
          <w:iCs/>
        </w:rPr>
      </w:pPr>
    </w:p>
    <w:p w:rsidR="004157A5" w:rsidRPr="00FF55F6" w:rsidRDefault="004157A5" w:rsidP="008826F6">
      <w:pPr>
        <w:outlineLvl w:val="0"/>
        <w:rPr>
          <w:bCs/>
          <w:i/>
          <w:iCs/>
        </w:rPr>
      </w:pPr>
    </w:p>
    <w:p w:rsidR="004157A5" w:rsidRPr="00FF55F6" w:rsidRDefault="004157A5" w:rsidP="005C5F8E">
      <w:pPr>
        <w:pStyle w:val="PointManual"/>
        <w:spacing w:before="0"/>
      </w:pPr>
      <w:r w:rsidRPr="00FF55F6">
        <w:t>9.</w:t>
      </w:r>
      <w:r w:rsidRPr="00FF55F6">
        <w:tab/>
        <w:t>Проект за заключения на Съвета „Равни възможности за жените и мъжете по отношение на доходите:</w:t>
      </w:r>
      <w:r w:rsidRPr="00FF55F6">
        <w:rPr>
          <w:color w:val="000000"/>
        </w:rPr>
        <w:t xml:space="preserve"> премахване на неравнопоставеността на половете по отношение на пенсиите“</w:t>
      </w:r>
    </w:p>
    <w:p w:rsidR="004157A5" w:rsidRPr="00FF55F6" w:rsidRDefault="004157A5" w:rsidP="005C5F8E">
      <w:pPr>
        <w:pStyle w:val="Dash1"/>
      </w:pPr>
      <w:r w:rsidRPr="00FF55F6">
        <w:t xml:space="preserve">Приемане </w:t>
      </w:r>
    </w:p>
    <w:p w:rsidR="005C5F8E" w:rsidRPr="00FF55F6" w:rsidRDefault="005C5F8E" w:rsidP="008826F6">
      <w:pPr>
        <w:outlineLvl w:val="0"/>
        <w:rPr>
          <w:bCs/>
          <w:i/>
          <w:iCs/>
        </w:rPr>
      </w:pPr>
    </w:p>
    <w:p w:rsidR="005C5F8E" w:rsidRPr="00FF55F6" w:rsidRDefault="005C5F8E" w:rsidP="008826F6">
      <w:pPr>
        <w:outlineLvl w:val="0"/>
        <w:rPr>
          <w:bCs/>
          <w:i/>
          <w:iCs/>
        </w:rPr>
      </w:pPr>
    </w:p>
    <w:p w:rsidR="004157A5" w:rsidRPr="00FF55F6" w:rsidRDefault="004157A5" w:rsidP="005C5F8E">
      <w:pPr>
        <w:rPr>
          <w:b/>
          <w:bCs/>
          <w:u w:val="single"/>
        </w:rPr>
      </w:pPr>
      <w:r w:rsidRPr="00FF55F6">
        <w:rPr>
          <w:b/>
          <w:u w:val="single"/>
        </w:rPr>
        <w:t>Други въпроси</w:t>
      </w:r>
    </w:p>
    <w:p w:rsidR="004157A5" w:rsidRPr="00FF55F6" w:rsidRDefault="004157A5" w:rsidP="008826F6">
      <w:pPr>
        <w:rPr>
          <w:b/>
          <w:bCs/>
          <w:u w:val="single"/>
        </w:rPr>
      </w:pPr>
    </w:p>
    <w:p w:rsidR="004157A5" w:rsidRPr="00FF55F6" w:rsidRDefault="004157A5" w:rsidP="005C5F8E">
      <w:pPr>
        <w:pStyle w:val="PointDoubleManual"/>
        <w:spacing w:before="0"/>
      </w:pPr>
      <w:r w:rsidRPr="00FF55F6">
        <w:t>10.</w:t>
      </w:r>
      <w:r w:rsidRPr="00FF55F6">
        <w:tab/>
        <w:t>а)</w:t>
      </w:r>
      <w:r w:rsidRPr="00FF55F6">
        <w:tab/>
        <w:t>Текущи законодателни предложения</w:t>
      </w:r>
    </w:p>
    <w:p w:rsidR="004157A5" w:rsidRPr="00FF55F6" w:rsidRDefault="004157A5" w:rsidP="008826F6">
      <w:pPr>
        <w:pStyle w:val="Text2"/>
      </w:pPr>
      <w:r w:rsidRPr="00FF55F6">
        <w:t>(открито обсъждане съгласно член 16, параграф 8 от Договора за Европейския съюз)</w:t>
      </w:r>
    </w:p>
    <w:p w:rsidR="004157A5" w:rsidRPr="00FF55F6" w:rsidRDefault="004157A5" w:rsidP="005C5F8E">
      <w:pPr>
        <w:pStyle w:val="Dash2"/>
      </w:pPr>
      <w:r w:rsidRPr="00FF55F6">
        <w:t>Информация от председателството</w:t>
      </w:r>
    </w:p>
    <w:p w:rsidR="004157A5" w:rsidRPr="00FF55F6" w:rsidRDefault="004157A5" w:rsidP="008826F6">
      <w:pPr>
        <w:outlineLvl w:val="1"/>
        <w:rPr>
          <w:i/>
          <w:iCs/>
        </w:rPr>
      </w:pPr>
    </w:p>
    <w:p w:rsidR="005C5F8E" w:rsidRPr="00FF55F6" w:rsidRDefault="005C5F8E" w:rsidP="00214175">
      <w:pPr>
        <w:pStyle w:val="PointManual1"/>
      </w:pPr>
      <w:r w:rsidRPr="00FF55F6">
        <w:t>б)</w:t>
      </w:r>
      <w:r w:rsidRPr="00FF55F6">
        <w:tab/>
        <w:t>Доклад относно прилагането на рамката на ЕС за 2015 г. за национални стратегии за интегриране на ромите</w:t>
      </w:r>
    </w:p>
    <w:p w:rsidR="005C5F8E" w:rsidRPr="00FF55F6" w:rsidRDefault="0009023E" w:rsidP="005C5F8E">
      <w:pPr>
        <w:pStyle w:val="Dash2"/>
      </w:pPr>
      <w:r w:rsidRPr="00FF55F6">
        <w:t>Информация от Комисията</w:t>
      </w:r>
    </w:p>
    <w:p w:rsidR="004157A5" w:rsidRPr="00FF55F6" w:rsidRDefault="004157A5" w:rsidP="008826F6">
      <w:pPr>
        <w:outlineLvl w:val="1"/>
      </w:pPr>
    </w:p>
    <w:p w:rsidR="004157A5" w:rsidRPr="00FF55F6" w:rsidRDefault="004157A5" w:rsidP="005C5F8E">
      <w:pPr>
        <w:pStyle w:val="PointManual1"/>
      </w:pPr>
      <w:r w:rsidRPr="00FF55F6">
        <w:t>в)</w:t>
      </w:r>
      <w:r w:rsidRPr="00FF55F6">
        <w:tab/>
        <w:t>Доклад за функционирането на преходните разпоредби относно свободното движение на работници от Хърватия и придружаващия го работен документ на службите на Комисията</w:t>
      </w:r>
    </w:p>
    <w:p w:rsidR="004157A5" w:rsidRPr="00FF55F6" w:rsidRDefault="004157A5" w:rsidP="005C5F8E">
      <w:pPr>
        <w:pStyle w:val="Dash2"/>
      </w:pPr>
      <w:r w:rsidRPr="00FF55F6">
        <w:t>Информация от Комисията</w:t>
      </w:r>
    </w:p>
    <w:p w:rsidR="004157A5" w:rsidRPr="00FF55F6" w:rsidRDefault="004157A5" w:rsidP="008826F6"/>
    <w:p w:rsidR="005C5F8E" w:rsidRPr="00FF55F6" w:rsidRDefault="005C5F8E" w:rsidP="005C5F8E">
      <w:pPr>
        <w:pStyle w:val="PointManual1"/>
      </w:pPr>
      <w:r w:rsidRPr="00FF55F6">
        <w:t>г)</w:t>
      </w:r>
      <w:r w:rsidRPr="00FF55F6">
        <w:tab/>
        <w:t xml:space="preserve">Резултати от конференциите, организирани от латвийското председателство </w:t>
      </w:r>
    </w:p>
    <w:p w:rsidR="005C5F8E" w:rsidRPr="00FF55F6" w:rsidRDefault="005C5F8E" w:rsidP="005C5F8E">
      <w:pPr>
        <w:pStyle w:val="Dash2"/>
      </w:pPr>
      <w:r w:rsidRPr="00FF55F6">
        <w:t xml:space="preserve">Информация от председателството </w:t>
      </w:r>
    </w:p>
    <w:p w:rsidR="005C5F8E" w:rsidRPr="00FF55F6" w:rsidRDefault="005C5F8E" w:rsidP="008826F6"/>
    <w:p w:rsidR="004157A5" w:rsidRPr="00FF55F6" w:rsidRDefault="005C5F8E" w:rsidP="005C5F8E">
      <w:pPr>
        <w:pStyle w:val="PointManual1"/>
      </w:pPr>
      <w:r w:rsidRPr="00FF55F6">
        <w:t>д)</w:t>
      </w:r>
      <w:r w:rsidRPr="00FF55F6">
        <w:tab/>
        <w:t>Работна програма на предстоящото председателство</w:t>
      </w:r>
    </w:p>
    <w:p w:rsidR="004157A5" w:rsidRPr="00FF55F6" w:rsidRDefault="004157A5" w:rsidP="005C5F8E">
      <w:pPr>
        <w:pStyle w:val="Dash2"/>
      </w:pPr>
      <w:r w:rsidRPr="00FF55F6">
        <w:t>Информация от делегацията на Люксембург</w:t>
      </w:r>
    </w:p>
    <w:p w:rsidR="004157A5" w:rsidRPr="00FF55F6" w:rsidRDefault="004157A5" w:rsidP="008826F6">
      <w:pPr>
        <w:outlineLvl w:val="0"/>
        <w:rPr>
          <w:bCs/>
          <w:i/>
        </w:rPr>
      </w:pPr>
      <w:r w:rsidRPr="00FF55F6">
        <w:br w:type="page"/>
      </w:r>
    </w:p>
    <w:p w:rsidR="004157A5" w:rsidRPr="00FF55F6" w:rsidRDefault="004157A5" w:rsidP="00F947D5">
      <w:pPr>
        <w:spacing w:line="240" w:lineRule="exact"/>
        <w:rPr>
          <w:b/>
          <w:bCs/>
          <w:u w:val="single"/>
        </w:rPr>
      </w:pPr>
      <w:r w:rsidRPr="00FF55F6">
        <w:rPr>
          <w:b/>
          <w:u w:val="single"/>
        </w:rPr>
        <w:t xml:space="preserve">ЗАСЕДАНИЕ НА 19 ЮНИ 2015 г., ПЕТЪК (10,00 ч.) </w:t>
      </w:r>
    </w:p>
    <w:p w:rsidR="004157A5" w:rsidRPr="00FF55F6" w:rsidRDefault="004157A5" w:rsidP="00F947D5">
      <w:pPr>
        <w:spacing w:line="240" w:lineRule="exact"/>
        <w:rPr>
          <w:b/>
          <w:bCs/>
          <w:u w:val="single"/>
        </w:rPr>
      </w:pPr>
    </w:p>
    <w:p w:rsidR="004157A5" w:rsidRPr="00FF55F6" w:rsidRDefault="004157A5" w:rsidP="00F947D5">
      <w:pPr>
        <w:spacing w:line="240" w:lineRule="exact"/>
      </w:pPr>
      <w:r w:rsidRPr="00FF55F6">
        <w:rPr>
          <w:u w:val="single"/>
        </w:rPr>
        <w:t>ЗДРАВЕОПАЗВАНЕ</w:t>
      </w:r>
    </w:p>
    <w:p w:rsidR="004157A5" w:rsidRPr="00FF55F6" w:rsidRDefault="004157A5" w:rsidP="00F947D5">
      <w:pPr>
        <w:spacing w:line="240" w:lineRule="exact"/>
        <w:jc w:val="center"/>
        <w:rPr>
          <w:rFonts w:eastAsia="Calibri"/>
          <w:i/>
          <w:iCs/>
        </w:rPr>
      </w:pPr>
    </w:p>
    <w:p w:rsidR="005C5F8E" w:rsidRPr="00FF55F6" w:rsidRDefault="005C5F8E" w:rsidP="00F947D5">
      <w:pPr>
        <w:spacing w:line="240" w:lineRule="exact"/>
        <w:jc w:val="center"/>
        <w:rPr>
          <w:rFonts w:eastAsia="Calibri"/>
          <w:i/>
          <w:iCs/>
        </w:rPr>
      </w:pPr>
    </w:p>
    <w:p w:rsidR="004157A5" w:rsidRPr="00FF55F6" w:rsidRDefault="004157A5" w:rsidP="00F947D5">
      <w:pPr>
        <w:spacing w:line="240" w:lineRule="exact"/>
        <w:outlineLvl w:val="0"/>
        <w:rPr>
          <w:rFonts w:eastAsia="Calibri" w:cs="Arial"/>
          <w:b/>
          <w:szCs w:val="22"/>
          <w:u w:val="single"/>
        </w:rPr>
      </w:pPr>
      <w:r w:rsidRPr="00FF55F6">
        <w:rPr>
          <w:b/>
          <w:u w:val="single"/>
        </w:rPr>
        <w:t>Обсъждания на законодателни актове</w:t>
      </w:r>
    </w:p>
    <w:p w:rsidR="004157A5" w:rsidRPr="00FF55F6" w:rsidRDefault="004157A5" w:rsidP="00F947D5">
      <w:pPr>
        <w:spacing w:line="240" w:lineRule="exact"/>
        <w:rPr>
          <w:rFonts w:eastAsia="Calibri" w:cs="Arial"/>
          <w:b/>
          <w:bCs/>
          <w:szCs w:val="22"/>
        </w:rPr>
      </w:pPr>
      <w:r w:rsidRPr="00FF55F6">
        <w:rPr>
          <w:b/>
        </w:rPr>
        <w:t>(открито обсъждане съгласно член 16, параграф 8 от Договора за Европейския съюз)</w:t>
      </w:r>
    </w:p>
    <w:p w:rsidR="004157A5" w:rsidRPr="00FF55F6" w:rsidRDefault="004157A5" w:rsidP="00F947D5">
      <w:pPr>
        <w:spacing w:line="240" w:lineRule="exact"/>
        <w:rPr>
          <w:rFonts w:eastAsia="Calibri" w:cs="Arial"/>
          <w:szCs w:val="22"/>
        </w:rPr>
      </w:pPr>
    </w:p>
    <w:p w:rsidR="005C5F8E" w:rsidRPr="00FF55F6" w:rsidRDefault="005C5F8E" w:rsidP="00F947D5">
      <w:pPr>
        <w:spacing w:line="240" w:lineRule="exact"/>
        <w:rPr>
          <w:rFonts w:eastAsia="Calibri" w:cs="Arial"/>
          <w:szCs w:val="22"/>
        </w:rPr>
      </w:pPr>
    </w:p>
    <w:p w:rsidR="004157A5" w:rsidRPr="00FF55F6" w:rsidRDefault="004157A5" w:rsidP="00F947D5">
      <w:pPr>
        <w:pStyle w:val="PointManual"/>
        <w:spacing w:before="0" w:line="240" w:lineRule="exact"/>
      </w:pPr>
      <w:r w:rsidRPr="00FF55F6">
        <w:t>11.</w:t>
      </w:r>
      <w:r w:rsidRPr="00FF55F6">
        <w:tab/>
        <w:t>Предложение за регламент на Европейския парламент и на Съвета за медицинските изделия и за изменение на Директива 2001/83/ЕО, Регламент (ЕО) № 178/2002 и Регламент (ЕО) № 1223/2009 (</w:t>
      </w:r>
      <w:r w:rsidRPr="00FF55F6">
        <w:rPr>
          <w:b/>
        </w:rPr>
        <w:t>първо четене</w:t>
      </w:r>
      <w:r w:rsidRPr="00FF55F6">
        <w:t>) (*)</w:t>
      </w:r>
    </w:p>
    <w:p w:rsidR="004157A5" w:rsidRPr="00FF55F6" w:rsidRDefault="004157A5" w:rsidP="00F947D5">
      <w:pPr>
        <w:pStyle w:val="Text1"/>
        <w:spacing w:line="240" w:lineRule="exact"/>
      </w:pPr>
      <w:r w:rsidRPr="00FF55F6">
        <w:t>(правно основание, предложено от Комисията: член 114 и член 168, параграф 4, буква в) от ДФЕС)</w:t>
      </w:r>
    </w:p>
    <w:p w:rsidR="004157A5" w:rsidRPr="00FF55F6" w:rsidRDefault="004157A5" w:rsidP="00F947D5">
      <w:pPr>
        <w:pStyle w:val="Text1"/>
        <w:spacing w:line="240" w:lineRule="exact"/>
        <w:rPr>
          <w:rFonts w:eastAsia="Calibri" w:cs="Arial"/>
          <w:szCs w:val="22"/>
        </w:rPr>
      </w:pPr>
      <w:r w:rsidRPr="00FF55F6">
        <w:t>Междуинституционално досие: 2012/0266 (COD)</w:t>
      </w:r>
    </w:p>
    <w:p w:rsidR="004157A5" w:rsidRPr="00FF55F6" w:rsidRDefault="004157A5" w:rsidP="00F947D5">
      <w:pPr>
        <w:pStyle w:val="Text1"/>
        <w:spacing w:line="240" w:lineRule="exact"/>
        <w:rPr>
          <w:rFonts w:eastAsia="Calibri"/>
        </w:rPr>
      </w:pPr>
      <w:r w:rsidRPr="00FF55F6">
        <w:t>и</w:t>
      </w:r>
    </w:p>
    <w:p w:rsidR="004157A5" w:rsidRPr="00FF55F6" w:rsidRDefault="004157A5" w:rsidP="00F947D5">
      <w:pPr>
        <w:pStyle w:val="Text1"/>
        <w:spacing w:line="240" w:lineRule="exact"/>
      </w:pPr>
      <w:r w:rsidRPr="00FF55F6">
        <w:t>Предложение за регламент на Европейския парламент и на Съвета относно ин витро диагностичните медицински изделия (</w:t>
      </w:r>
      <w:r w:rsidRPr="00FF55F6">
        <w:rPr>
          <w:b/>
        </w:rPr>
        <w:t>първо четене</w:t>
      </w:r>
      <w:r w:rsidRPr="00FF55F6">
        <w:t>) (*)</w:t>
      </w:r>
    </w:p>
    <w:p w:rsidR="004157A5" w:rsidRPr="00FF55F6" w:rsidRDefault="004157A5" w:rsidP="00F947D5">
      <w:pPr>
        <w:pStyle w:val="Text1"/>
        <w:spacing w:line="240" w:lineRule="exact"/>
      </w:pPr>
      <w:r w:rsidRPr="00FF55F6">
        <w:t>(правно основание, предложено от Комисията: член 114 и член 168, параграф 4, буква в) от ДФЕС)</w:t>
      </w:r>
    </w:p>
    <w:p w:rsidR="004157A5" w:rsidRPr="00FF55F6" w:rsidRDefault="004157A5" w:rsidP="00F947D5">
      <w:pPr>
        <w:pStyle w:val="Text1"/>
        <w:spacing w:line="240" w:lineRule="exact"/>
        <w:rPr>
          <w:rFonts w:eastAsia="Calibri" w:cs="Arial"/>
          <w:szCs w:val="22"/>
        </w:rPr>
      </w:pPr>
      <w:r w:rsidRPr="00FF55F6">
        <w:t>Междуинституционално досие: 2012/0267 (COD)</w:t>
      </w:r>
    </w:p>
    <w:p w:rsidR="004157A5" w:rsidRPr="00FF55F6" w:rsidRDefault="004157A5" w:rsidP="00F947D5">
      <w:pPr>
        <w:pStyle w:val="Dash1"/>
        <w:spacing w:line="240" w:lineRule="exact"/>
        <w:rPr>
          <w:b/>
          <w:bCs/>
        </w:rPr>
      </w:pPr>
      <w:r w:rsidRPr="00FF55F6">
        <w:t>Общ подход (●)</w:t>
      </w:r>
    </w:p>
    <w:p w:rsidR="005623D1" w:rsidRPr="00FF55F6" w:rsidRDefault="005623D1" w:rsidP="00F947D5">
      <w:pPr>
        <w:pStyle w:val="Text3"/>
        <w:spacing w:line="240" w:lineRule="exact"/>
      </w:pPr>
      <w:r w:rsidRPr="00FF55F6">
        <w:t xml:space="preserve">14493/12 PHARM 71 SAN 215 MI 597 COMPET 600 CODEC 2305 </w:t>
      </w:r>
    </w:p>
    <w:p w:rsidR="00853821" w:rsidRPr="00FF55F6" w:rsidRDefault="00853821" w:rsidP="00F947D5">
      <w:pPr>
        <w:pStyle w:val="Text3"/>
        <w:spacing w:line="240" w:lineRule="exact"/>
      </w:pPr>
      <w:r w:rsidRPr="00FF55F6">
        <w:t>14499/12 PHARM 72 SAN 216 MI 598 COMPET 599 CODEC 2312</w:t>
      </w:r>
    </w:p>
    <w:p w:rsidR="00853821" w:rsidRPr="00FF55F6" w:rsidRDefault="00853821" w:rsidP="00F947D5">
      <w:pPr>
        <w:spacing w:line="240" w:lineRule="exact"/>
        <w:rPr>
          <w:rFonts w:eastAsia="Calibri"/>
        </w:rPr>
      </w:pPr>
    </w:p>
    <w:p w:rsidR="004157A5" w:rsidRPr="00FF55F6" w:rsidRDefault="004157A5" w:rsidP="00F947D5">
      <w:pPr>
        <w:spacing w:line="240" w:lineRule="exact"/>
        <w:rPr>
          <w:rFonts w:eastAsia="Calibri"/>
        </w:rPr>
      </w:pPr>
    </w:p>
    <w:p w:rsidR="004157A5" w:rsidRPr="00FF55F6" w:rsidRDefault="004157A5" w:rsidP="00F947D5">
      <w:pPr>
        <w:spacing w:line="240" w:lineRule="exact"/>
        <w:rPr>
          <w:rFonts w:eastAsia="Calibri" w:cs="Arial"/>
          <w:b/>
          <w:bCs/>
          <w:szCs w:val="22"/>
          <w:u w:val="single"/>
        </w:rPr>
      </w:pPr>
      <w:r w:rsidRPr="00FF55F6">
        <w:rPr>
          <w:b/>
          <w:u w:val="single"/>
        </w:rPr>
        <w:t>Други въпроси</w:t>
      </w:r>
    </w:p>
    <w:p w:rsidR="004157A5" w:rsidRPr="00FF55F6" w:rsidRDefault="004157A5" w:rsidP="00F947D5">
      <w:pPr>
        <w:spacing w:line="240" w:lineRule="exact"/>
        <w:rPr>
          <w:b/>
          <w:bCs/>
          <w:u w:val="single"/>
        </w:rPr>
      </w:pPr>
    </w:p>
    <w:p w:rsidR="004157A5" w:rsidRPr="00FF55F6" w:rsidRDefault="005F6A68" w:rsidP="00F947D5">
      <w:pPr>
        <w:pStyle w:val="PointDoubleManual"/>
        <w:spacing w:before="0" w:line="240" w:lineRule="exact"/>
        <w:rPr>
          <w:rFonts w:eastAsia="Calibri" w:cs="Arial"/>
          <w:szCs w:val="22"/>
        </w:rPr>
      </w:pPr>
      <w:r w:rsidRPr="00FF55F6">
        <w:t>12.</w:t>
      </w:r>
      <w:r w:rsidRPr="00FF55F6">
        <w:tab/>
        <w:t>а)</w:t>
      </w:r>
      <w:r w:rsidRPr="00FF55F6">
        <w:tab/>
        <w:t>Последващи действия във връзка с неформалната среща на министрите на здравеопазването от ЕС, посветена на новата рамка за политиката на ЕС по отношение на алкохола (20—21 април 2015 г., Рига)</w:t>
      </w:r>
    </w:p>
    <w:p w:rsidR="004157A5" w:rsidRPr="00FF55F6" w:rsidRDefault="004157A5" w:rsidP="00F947D5">
      <w:pPr>
        <w:pStyle w:val="Dash2"/>
        <w:spacing w:line="240" w:lineRule="exact"/>
        <w:rPr>
          <w:rFonts w:eastAsia="Calibri"/>
        </w:rPr>
      </w:pPr>
      <w:r w:rsidRPr="00FF55F6">
        <w:t xml:space="preserve">Информация от делегацията на Словения </w:t>
      </w:r>
    </w:p>
    <w:p w:rsidR="004157A5" w:rsidRPr="00FF55F6" w:rsidRDefault="004157A5" w:rsidP="00F947D5">
      <w:pPr>
        <w:spacing w:line="240" w:lineRule="exact"/>
        <w:rPr>
          <w:rFonts w:eastAsia="Calibri" w:cs="Arial"/>
          <w:szCs w:val="22"/>
        </w:rPr>
      </w:pPr>
    </w:p>
    <w:p w:rsidR="005C5F8E" w:rsidRPr="00FF55F6" w:rsidRDefault="005C5F8E" w:rsidP="00F947D5">
      <w:pPr>
        <w:pStyle w:val="PointManual1"/>
        <w:spacing w:line="240" w:lineRule="exact"/>
        <w:rPr>
          <w:rFonts w:eastAsia="Calibri"/>
        </w:rPr>
      </w:pPr>
      <w:r w:rsidRPr="00FF55F6">
        <w:t>б)</w:t>
      </w:r>
      <w:r w:rsidRPr="00FF55F6">
        <w:tab/>
        <w:t>Значението на здравното измерение в европейската програма за миграция</w:t>
      </w:r>
    </w:p>
    <w:p w:rsidR="005C5F8E" w:rsidRPr="00FF55F6" w:rsidRDefault="005C5F8E" w:rsidP="00F947D5">
      <w:pPr>
        <w:pStyle w:val="Dash2"/>
        <w:spacing w:line="240" w:lineRule="exact"/>
        <w:rPr>
          <w:rFonts w:eastAsia="Calibri"/>
        </w:rPr>
      </w:pPr>
      <w:r w:rsidRPr="00FF55F6">
        <w:t>Информация от делегациите на Кипър, Гърция, Италия и Малта</w:t>
      </w:r>
    </w:p>
    <w:p w:rsidR="005C5F8E" w:rsidRPr="00FF55F6" w:rsidRDefault="005C5F8E" w:rsidP="00F947D5">
      <w:pPr>
        <w:spacing w:line="240" w:lineRule="exact"/>
        <w:rPr>
          <w:rFonts w:eastAsia="Calibri" w:cs="Arial"/>
          <w:szCs w:val="22"/>
        </w:rPr>
      </w:pPr>
    </w:p>
    <w:p w:rsidR="004157A5" w:rsidRPr="00FF55F6" w:rsidRDefault="005C5F8E" w:rsidP="00F947D5">
      <w:pPr>
        <w:pStyle w:val="PointManual1"/>
        <w:spacing w:line="240" w:lineRule="exact"/>
        <w:rPr>
          <w:rFonts w:eastAsia="Calibri"/>
        </w:rPr>
      </w:pPr>
      <w:r w:rsidRPr="00FF55F6">
        <w:t>в)</w:t>
      </w:r>
      <w:r w:rsidRPr="00FF55F6">
        <w:tab/>
        <w:t>Работна програма на предстоящото председателство</w:t>
      </w:r>
    </w:p>
    <w:p w:rsidR="004157A5" w:rsidRPr="00FF55F6" w:rsidRDefault="004157A5" w:rsidP="00F947D5">
      <w:pPr>
        <w:pStyle w:val="Dash2"/>
        <w:spacing w:line="240" w:lineRule="exact"/>
        <w:rPr>
          <w:rFonts w:eastAsia="Calibri"/>
        </w:rPr>
      </w:pPr>
      <w:r w:rsidRPr="00FF55F6">
        <w:t>Информация от делегацията на Люксембург</w:t>
      </w:r>
    </w:p>
    <w:p w:rsidR="005C5F8E" w:rsidRPr="00FF55F6" w:rsidRDefault="005C5F8E" w:rsidP="00F947D5">
      <w:pPr>
        <w:spacing w:line="240" w:lineRule="exact"/>
        <w:rPr>
          <w:rFonts w:eastAsia="Calibri"/>
          <w:i/>
          <w:iCs/>
        </w:rPr>
      </w:pPr>
    </w:p>
    <w:p w:rsidR="0025715C" w:rsidRPr="00FF55F6" w:rsidRDefault="0025715C" w:rsidP="00F947D5">
      <w:pPr>
        <w:spacing w:line="240" w:lineRule="exact"/>
        <w:rPr>
          <w:rFonts w:eastAsia="Calibri"/>
          <w:i/>
          <w:iCs/>
        </w:rPr>
      </w:pPr>
    </w:p>
    <w:p w:rsidR="004157A5" w:rsidRPr="00FF55F6" w:rsidRDefault="004157A5" w:rsidP="00F947D5">
      <w:pPr>
        <w:spacing w:line="240" w:lineRule="exact"/>
        <w:rPr>
          <w:rFonts w:eastAsia="Calibri"/>
          <w:i/>
          <w:iCs/>
        </w:rPr>
      </w:pPr>
      <w:r w:rsidRPr="00FF55F6">
        <w:rPr>
          <w:i/>
        </w:rPr>
        <w:t>____________________</w:t>
      </w:r>
    </w:p>
    <w:p w:rsidR="004157A5" w:rsidRPr="00FF55F6" w:rsidRDefault="005F6A68" w:rsidP="00F947D5">
      <w:pPr>
        <w:spacing w:line="240" w:lineRule="exact"/>
      </w:pPr>
      <w:r w:rsidRPr="00FF55F6">
        <w:t>(*)</w:t>
      </w:r>
      <w:r w:rsidRPr="00FF55F6">
        <w:tab/>
        <w:t>Точка, по която може да бъде поискано гласуване.</w:t>
      </w:r>
    </w:p>
    <w:p w:rsidR="004157A5" w:rsidRPr="00FF55F6" w:rsidRDefault="004157A5" w:rsidP="00F947D5">
      <w:pPr>
        <w:pStyle w:val="PointManual"/>
        <w:spacing w:before="0" w:line="240" w:lineRule="exact"/>
      </w:pPr>
      <w:r w:rsidRPr="00FF55F6">
        <w:t>(●)</w:t>
      </w:r>
      <w:r w:rsidRPr="00FF55F6">
        <w:tab/>
        <w:t>Когато приема общ подход след като Европейският парламент е приел позицията си на първо четене, Съветът не действа по смисъла на член 294, параграфи 4 и 5 от ДФЕС.</w:t>
      </w:r>
    </w:p>
    <w:p w:rsidR="00D55F6B" w:rsidRPr="00FF55F6" w:rsidRDefault="00D55F6B" w:rsidP="00F947D5">
      <w:pPr>
        <w:pStyle w:val="FinalLine"/>
        <w:spacing w:before="480" w:after="240" w:line="240" w:lineRule="exact"/>
      </w:pPr>
    </w:p>
    <w:p w:rsidR="00D55F6B" w:rsidRPr="00FF55F6" w:rsidRDefault="00C307AA" w:rsidP="00F947D5">
      <w:pPr>
        <w:pStyle w:val="NB"/>
        <w:spacing w:before="0" w:line="240" w:lineRule="exact"/>
      </w:pPr>
      <w:r w:rsidRPr="00FF55F6">
        <w:t>NB:</w:t>
      </w:r>
      <w:r w:rsidRPr="00FF55F6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C307AA" w:rsidRDefault="00C307AA" w:rsidP="00F947D5">
      <w:pPr>
        <w:pStyle w:val="NB"/>
        <w:spacing w:before="240" w:line="240" w:lineRule="exact"/>
      </w:pPr>
      <w:r w:rsidRPr="00FF55F6">
        <w:t>NB:</w:t>
      </w:r>
      <w:r w:rsidRPr="00FF55F6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C307AA" w:rsidSect="003A7F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BF" w:rsidRDefault="002042BF" w:rsidP="00D55F6B">
      <w:r>
        <w:separator/>
      </w:r>
    </w:p>
  </w:endnote>
  <w:endnote w:type="continuationSeparator" w:id="0">
    <w:p w:rsidR="002042BF" w:rsidRDefault="002042BF" w:rsidP="00D5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74" w:rsidRPr="003A7FCD" w:rsidRDefault="00AA6D74" w:rsidP="003A7F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A7FCD" w:rsidRPr="00D94637" w:rsidTr="003A7F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A7FCD" w:rsidRPr="00D94637" w:rsidRDefault="003A7F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A7FCD" w:rsidRPr="00B310DC" w:rsidTr="003A7F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A7FCD" w:rsidRPr="00AD7BF2" w:rsidRDefault="003A7FCD" w:rsidP="004F54B2">
          <w:pPr>
            <w:pStyle w:val="FooterText"/>
          </w:pPr>
          <w:r>
            <w:t>CM 2802/15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A7FCD" w:rsidRPr="00AD7BF2" w:rsidRDefault="003A7F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A7FCD" w:rsidRPr="002511D8" w:rsidRDefault="003A7FC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A7FCD" w:rsidRPr="00B310DC" w:rsidRDefault="003A7FC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A7FCD" w:rsidRPr="00D94637" w:rsidTr="003A7FCD">
      <w:trPr>
        <w:jc w:val="center"/>
      </w:trPr>
      <w:tc>
        <w:tcPr>
          <w:tcW w:w="1774" w:type="pct"/>
          <w:shd w:val="clear" w:color="auto" w:fill="auto"/>
        </w:tcPr>
        <w:p w:rsidR="003A7FCD" w:rsidRPr="00AD7BF2" w:rsidRDefault="003A7F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A7FCD" w:rsidRPr="00AD7BF2" w:rsidRDefault="003A7FC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A7FCD" w:rsidRPr="00D94637" w:rsidRDefault="003A7F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A7FCD" w:rsidRPr="00D94637" w:rsidRDefault="003A7F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55F6B" w:rsidRPr="003A7FCD" w:rsidRDefault="00D55F6B" w:rsidP="003A7FC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A7FCD" w:rsidRPr="00D94637" w:rsidTr="003A7F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A7FCD" w:rsidRPr="00D94637" w:rsidRDefault="003A7F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A7FCD" w:rsidRPr="00B310DC" w:rsidTr="003A7F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A7FCD" w:rsidRPr="00AD7BF2" w:rsidRDefault="003A7FCD" w:rsidP="004F54B2">
          <w:pPr>
            <w:pStyle w:val="FooterText"/>
          </w:pPr>
          <w:r>
            <w:t>CM 2802/15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A7FCD" w:rsidRPr="00AD7BF2" w:rsidRDefault="003A7F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A7FCD" w:rsidRPr="002511D8" w:rsidRDefault="003A7FC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A7FCD" w:rsidRPr="00B310DC" w:rsidRDefault="003A7FC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A7FCD" w:rsidRPr="00D94637" w:rsidTr="003A7FCD">
      <w:trPr>
        <w:jc w:val="center"/>
      </w:trPr>
      <w:tc>
        <w:tcPr>
          <w:tcW w:w="1774" w:type="pct"/>
          <w:shd w:val="clear" w:color="auto" w:fill="auto"/>
        </w:tcPr>
        <w:p w:rsidR="003A7FCD" w:rsidRPr="00AD7BF2" w:rsidRDefault="003A7F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A7FCD" w:rsidRPr="00AD7BF2" w:rsidRDefault="003A7FC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A7FCD" w:rsidRPr="00D94637" w:rsidRDefault="003A7F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A7FCD" w:rsidRPr="00D94637" w:rsidRDefault="003A7F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55F6B" w:rsidRPr="003A7FCD" w:rsidRDefault="00D55F6B" w:rsidP="003A7FC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BF" w:rsidRDefault="002042BF" w:rsidP="00D55F6B">
      <w:r>
        <w:separator/>
      </w:r>
    </w:p>
  </w:footnote>
  <w:footnote w:type="continuationSeparator" w:id="0">
    <w:p w:rsidR="002042BF" w:rsidRDefault="002042BF" w:rsidP="00D5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74" w:rsidRPr="003A7FCD" w:rsidRDefault="00AA6D74" w:rsidP="003A7F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74" w:rsidRPr="003A7FCD" w:rsidRDefault="00AA6D74" w:rsidP="003A7FC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74" w:rsidRPr="003A7FCD" w:rsidRDefault="00AA6D74" w:rsidP="003A7FC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F6C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4A7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0A6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2D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7CB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47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804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C65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5A7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32E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C19323B"/>
    <w:multiLevelType w:val="hybridMultilevel"/>
    <w:tmpl w:val="9230D4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2">
    <w:nsid w:val="7EA72BAB"/>
    <w:multiLevelType w:val="hybridMultilevel"/>
    <w:tmpl w:val="B7BE8EB6"/>
    <w:lvl w:ilvl="0" w:tplc="F17E26A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5DCE322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32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16"/>
  </w:num>
  <w:num w:numId="41">
    <w:abstractNumId w:val="1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b73fc7f7-832e-4845-9044-f71d2ca9da9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0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80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8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 xml:space=&quot;preserve&quot;&amp;gt;&amp;lt;Run.TextDecorations&amp;gt;&amp;lt;TextDecoration Location=&quot;Underline&quot; /&amp;gt;&amp;lt;/Run.TextDecorations&amp;gt;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lt;/Run&amp;gt;&amp;#1080; &amp;#1087;&amp;#1086;&amp;#1090;&amp;#1088;&amp;#1077;&amp;#1073;&amp;#1080;&amp;#1090;&amp;#1077;&amp;#1083;&amp;#1089;&amp;#1082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18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55F6B"/>
    <w:rsid w:val="00010C1D"/>
    <w:rsid w:val="000628CF"/>
    <w:rsid w:val="0009023E"/>
    <w:rsid w:val="0009656C"/>
    <w:rsid w:val="00165755"/>
    <w:rsid w:val="00182F2F"/>
    <w:rsid w:val="001C1958"/>
    <w:rsid w:val="002042BF"/>
    <w:rsid w:val="00213F1F"/>
    <w:rsid w:val="00214175"/>
    <w:rsid w:val="00247696"/>
    <w:rsid w:val="0025715C"/>
    <w:rsid w:val="00263F9B"/>
    <w:rsid w:val="0029002A"/>
    <w:rsid w:val="002A2AE8"/>
    <w:rsid w:val="002F129B"/>
    <w:rsid w:val="00300852"/>
    <w:rsid w:val="003A1AF6"/>
    <w:rsid w:val="003A7FCD"/>
    <w:rsid w:val="003C6E8B"/>
    <w:rsid w:val="004157A5"/>
    <w:rsid w:val="004B5A07"/>
    <w:rsid w:val="004F17B6"/>
    <w:rsid w:val="005157F5"/>
    <w:rsid w:val="00560887"/>
    <w:rsid w:val="005623D1"/>
    <w:rsid w:val="0059771B"/>
    <w:rsid w:val="005A49B7"/>
    <w:rsid w:val="005C5F8E"/>
    <w:rsid w:val="005F60B0"/>
    <w:rsid w:val="005F6A68"/>
    <w:rsid w:val="006003B2"/>
    <w:rsid w:val="0063379B"/>
    <w:rsid w:val="00644126"/>
    <w:rsid w:val="00656C3E"/>
    <w:rsid w:val="006A38C5"/>
    <w:rsid w:val="006A7587"/>
    <w:rsid w:val="006C1AD4"/>
    <w:rsid w:val="006E33E2"/>
    <w:rsid w:val="006F4741"/>
    <w:rsid w:val="0075756A"/>
    <w:rsid w:val="007775C3"/>
    <w:rsid w:val="007D5C0D"/>
    <w:rsid w:val="007E26E0"/>
    <w:rsid w:val="00812CD2"/>
    <w:rsid w:val="00825503"/>
    <w:rsid w:val="00844380"/>
    <w:rsid w:val="00845799"/>
    <w:rsid w:val="00853821"/>
    <w:rsid w:val="008826F6"/>
    <w:rsid w:val="008826F8"/>
    <w:rsid w:val="008F6967"/>
    <w:rsid w:val="009328B2"/>
    <w:rsid w:val="00965BCF"/>
    <w:rsid w:val="009820FA"/>
    <w:rsid w:val="009A2645"/>
    <w:rsid w:val="009A5339"/>
    <w:rsid w:val="00A469D7"/>
    <w:rsid w:val="00A9427F"/>
    <w:rsid w:val="00AA6D74"/>
    <w:rsid w:val="00B011E5"/>
    <w:rsid w:val="00B875A2"/>
    <w:rsid w:val="00BB54F6"/>
    <w:rsid w:val="00BE1373"/>
    <w:rsid w:val="00C307AA"/>
    <w:rsid w:val="00C75F10"/>
    <w:rsid w:val="00CB151E"/>
    <w:rsid w:val="00CB35E6"/>
    <w:rsid w:val="00CE00B3"/>
    <w:rsid w:val="00D451E4"/>
    <w:rsid w:val="00D55F6B"/>
    <w:rsid w:val="00DC3CEE"/>
    <w:rsid w:val="00E40773"/>
    <w:rsid w:val="00E417AF"/>
    <w:rsid w:val="00F26383"/>
    <w:rsid w:val="00F54F7D"/>
    <w:rsid w:val="00F947D5"/>
    <w:rsid w:val="00F96A63"/>
    <w:rsid w:val="00FC4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F55F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F55F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3CA8-9FCE-4F9B-A7D5-220A8ED1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 Sokolova Veselina</dc:creator>
  <cp:lastModifiedBy>VASILEVA Sokolova Veselina</cp:lastModifiedBy>
  <cp:revision>4</cp:revision>
  <cp:lastPrinted>2015-06-03T07:31:00Z</cp:lastPrinted>
  <dcterms:created xsi:type="dcterms:W3CDTF">2015-06-03T12:15:00Z</dcterms:created>
  <dcterms:modified xsi:type="dcterms:W3CDTF">2015-06-03T12:18:00Z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