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2DA" w:rsidRPr="00B94322" w:rsidRDefault="005D2214" w:rsidP="00B94322">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a048dca-819a-49e8-b8b9-78e09c7ef8e6_0" style="width:568.5pt;height:318pt">
            <v:imagedata r:id="rId9" o:title=""/>
          </v:shape>
        </w:pict>
      </w:r>
      <w:bookmarkEnd w:id="0"/>
    </w:p>
    <w:p w:rsidR="006E3EB4" w:rsidRPr="00FC7B64" w:rsidRDefault="006E3EB4">
      <w:pPr>
        <w:sectPr w:rsidR="006E3EB4" w:rsidRPr="00FC7B64" w:rsidSect="005D2214">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7102DA" w:rsidRDefault="007102DA" w:rsidP="007237F5">
      <w:pPr>
        <w:pStyle w:val="Typedudocument"/>
        <w:rPr>
          <w:noProof/>
        </w:rPr>
      </w:pPr>
      <w:r w:rsidRPr="00BC520F">
        <w:rPr>
          <w:noProof/>
        </w:rPr>
        <w:lastRenderedPageBreak/>
        <w:t xml:space="preserve">RÈGLEMENT </w:t>
      </w:r>
      <w:r w:rsidR="007237F5">
        <w:rPr>
          <w:noProof/>
        </w:rPr>
        <w:t xml:space="preserve">(UE) 2015/… </w:t>
      </w:r>
      <w:r w:rsidRPr="00BC520F">
        <w:rPr>
          <w:noProof/>
        </w:rPr>
        <w:t>DU CONSEIL</w:t>
      </w:r>
    </w:p>
    <w:p w:rsidR="007237F5" w:rsidRPr="00066BB3" w:rsidRDefault="007237F5" w:rsidP="00066BB3">
      <w:pPr>
        <w:pStyle w:val="Datedadoption"/>
      </w:pPr>
      <w:r>
        <w:t>du …</w:t>
      </w:r>
    </w:p>
    <w:p w:rsidR="007102DA" w:rsidRPr="00177F4C" w:rsidRDefault="007102DA" w:rsidP="007102DA">
      <w:pPr>
        <w:pStyle w:val="Titreobjet"/>
        <w:rPr>
          <w:noProof/>
        </w:rPr>
      </w:pPr>
      <w:r w:rsidRPr="00BC520F">
        <w:rPr>
          <w:noProof/>
        </w:rPr>
        <w:t>sur l</w:t>
      </w:r>
      <w:r>
        <w:rPr>
          <w:noProof/>
        </w:rPr>
        <w:t>'</w:t>
      </w:r>
      <w:r w:rsidRPr="00BC520F">
        <w:rPr>
          <w:noProof/>
        </w:rPr>
        <w:t>appl</w:t>
      </w:r>
      <w:r w:rsidR="00DE6E25">
        <w:rPr>
          <w:noProof/>
        </w:rPr>
        <w:t>ication des articles 107 et 108</w:t>
      </w:r>
      <w:r w:rsidR="00066BB3">
        <w:rPr>
          <w:noProof/>
        </w:rPr>
        <w:br/>
      </w:r>
      <w:r w:rsidRPr="00BC520F">
        <w:rPr>
          <w:noProof/>
        </w:rPr>
        <w:t>du traité sur le fonctionnement de l</w:t>
      </w:r>
      <w:r>
        <w:rPr>
          <w:noProof/>
        </w:rPr>
        <w:t>'</w:t>
      </w:r>
      <w:r w:rsidR="00DE6E25">
        <w:rPr>
          <w:noProof/>
        </w:rPr>
        <w:t>Union européenne</w:t>
      </w:r>
      <w:r w:rsidR="00066BB3">
        <w:rPr>
          <w:noProof/>
        </w:rPr>
        <w:br/>
      </w:r>
      <w:r w:rsidRPr="00BC520F">
        <w:rPr>
          <w:noProof/>
        </w:rPr>
        <w:t>à certaines catégories d</w:t>
      </w:r>
      <w:r>
        <w:rPr>
          <w:noProof/>
        </w:rPr>
        <w:t>'</w:t>
      </w:r>
      <w:r w:rsidRPr="00BC520F">
        <w:rPr>
          <w:noProof/>
        </w:rPr>
        <w:t>aides d</w:t>
      </w:r>
      <w:r>
        <w:rPr>
          <w:noProof/>
        </w:rPr>
        <w:t>'</w:t>
      </w:r>
      <w:r w:rsidR="00DE6E25">
        <w:rPr>
          <w:noProof/>
        </w:rPr>
        <w:t>État horizontales</w:t>
      </w:r>
      <w:r w:rsidR="00066BB3">
        <w:rPr>
          <w:noProof/>
        </w:rPr>
        <w:br/>
      </w:r>
      <w:r w:rsidRPr="00BC520F">
        <w:rPr>
          <w:noProof/>
        </w:rPr>
        <w:t>(texte codifié)</w:t>
      </w:r>
    </w:p>
    <w:p w:rsidR="007102DA" w:rsidRDefault="007102DA" w:rsidP="00066BB3">
      <w:pPr>
        <w:pStyle w:val="Sous-titreobjet"/>
        <w:rPr>
          <w:noProof/>
        </w:rPr>
      </w:pPr>
      <w:r w:rsidRPr="00BC520F">
        <w:rPr>
          <w:noProof/>
        </w:rPr>
        <w:t>(Texte présentant de l'intérêt pour l'EEE)</w:t>
      </w:r>
    </w:p>
    <w:p w:rsidR="007102DA" w:rsidRDefault="007102DA" w:rsidP="007102DA">
      <w:pPr>
        <w:pStyle w:val="Institutionquiagit"/>
        <w:rPr>
          <w:noProof/>
        </w:rPr>
      </w:pPr>
      <w:r w:rsidRPr="00177F4C">
        <w:rPr>
          <w:noProof/>
        </w:rPr>
        <w:t>LE CONSEIL DE L</w:t>
      </w:r>
      <w:r>
        <w:rPr>
          <w:noProof/>
        </w:rPr>
        <w:t>'</w:t>
      </w:r>
      <w:r w:rsidRPr="00177F4C">
        <w:rPr>
          <w:noProof/>
        </w:rPr>
        <w:t>UNION EUROPÉENNE,</w:t>
      </w:r>
    </w:p>
    <w:p w:rsidR="007102DA" w:rsidRPr="00800EEA" w:rsidRDefault="007102DA" w:rsidP="00066BB3">
      <w:pPr>
        <w:autoSpaceDE w:val="0"/>
        <w:autoSpaceDN w:val="0"/>
        <w:rPr>
          <w:noProof/>
        </w:rPr>
      </w:pPr>
      <w:r w:rsidRPr="00800EEA">
        <w:rPr>
          <w:noProof/>
        </w:rPr>
        <w:t>vu le traité sur le fonctionnement de l'Union européenne,</w:t>
      </w:r>
      <w:r>
        <w:rPr>
          <w:noProof/>
        </w:rPr>
        <w:t xml:space="preserve"> et notamment son article</w:t>
      </w:r>
      <w:r w:rsidRPr="00800EEA">
        <w:rPr>
          <w:noProof/>
        </w:rPr>
        <w:t>109,</w:t>
      </w:r>
    </w:p>
    <w:p w:rsidR="007102DA" w:rsidRPr="00727E44" w:rsidRDefault="007102DA" w:rsidP="00066BB3">
      <w:pPr>
        <w:autoSpaceDE w:val="0"/>
        <w:autoSpaceDN w:val="0"/>
        <w:rPr>
          <w:noProof/>
        </w:rPr>
      </w:pPr>
      <w:r w:rsidRPr="00727E44">
        <w:rPr>
          <w:noProof/>
        </w:rPr>
        <w:t>vu la proposition de la Commission</w:t>
      </w:r>
      <w:r>
        <w:rPr>
          <w:noProof/>
        </w:rPr>
        <w:t xml:space="preserve"> européenne</w:t>
      </w:r>
      <w:r w:rsidRPr="00727E44">
        <w:rPr>
          <w:noProof/>
        </w:rPr>
        <w:t>,</w:t>
      </w:r>
    </w:p>
    <w:p w:rsidR="007102DA" w:rsidRPr="00727E44" w:rsidRDefault="007102DA" w:rsidP="00066BB3">
      <w:pPr>
        <w:autoSpaceDE w:val="0"/>
        <w:autoSpaceDN w:val="0"/>
        <w:rPr>
          <w:noProof/>
        </w:rPr>
      </w:pPr>
      <w:r w:rsidRPr="00BE1AFF">
        <w:rPr>
          <w:noProof/>
        </w:rPr>
        <w:t>vu l'avis du Parlement européen</w:t>
      </w:r>
      <w:r w:rsidRPr="00B06C46">
        <w:rPr>
          <w:rStyle w:val="FootnoteReference"/>
          <w:noProof/>
        </w:rPr>
        <w:footnoteReference w:id="1"/>
      </w:r>
      <w:r w:rsidRPr="00727E44">
        <w:rPr>
          <w:noProof/>
        </w:rPr>
        <w:t>,</w:t>
      </w:r>
    </w:p>
    <w:p w:rsidR="007102DA" w:rsidRDefault="00066BB3" w:rsidP="00066BB3">
      <w:pPr>
        <w:autoSpaceDE w:val="0"/>
        <w:autoSpaceDN w:val="0"/>
        <w:rPr>
          <w:noProof/>
        </w:rPr>
      </w:pPr>
      <w:r>
        <w:rPr>
          <w:noProof/>
        </w:rPr>
        <w:br w:type="page"/>
      </w:r>
      <w:r w:rsidR="007102DA">
        <w:rPr>
          <w:noProof/>
        </w:rPr>
        <w:lastRenderedPageBreak/>
        <w:t>considérant ce qui suit:</w:t>
      </w:r>
    </w:p>
    <w:p w:rsidR="007102DA" w:rsidRPr="00800EEA" w:rsidRDefault="007102DA" w:rsidP="007102DA">
      <w:pPr>
        <w:pStyle w:val="ManualConsidrant"/>
        <w:rPr>
          <w:noProof/>
        </w:rPr>
      </w:pPr>
      <w:r w:rsidRPr="00D5504D">
        <w:rPr>
          <w:noProof/>
        </w:rPr>
        <w:t>(1)</w:t>
      </w:r>
      <w:r w:rsidRPr="00D5504D">
        <w:rPr>
          <w:noProof/>
        </w:rPr>
        <w:tab/>
      </w:r>
      <w:r w:rsidRPr="00800EEA">
        <w:rPr>
          <w:noProof/>
        </w:rPr>
        <w:t>Le règlement (CE) n° 994/98 du Conseil</w:t>
      </w:r>
      <w:r w:rsidRPr="00800EEA">
        <w:rPr>
          <w:rStyle w:val="FootnoteReference"/>
          <w:noProof/>
        </w:rPr>
        <w:footnoteReference w:id="2"/>
      </w:r>
      <w:r w:rsidRPr="00800EEA">
        <w:rPr>
          <w:noProof/>
        </w:rPr>
        <w:t xml:space="preserve"> a été modifié de façon substantielle</w:t>
      </w:r>
      <w:r w:rsidRPr="00800EEA">
        <w:rPr>
          <w:rStyle w:val="FootnoteReference"/>
          <w:noProof/>
        </w:rPr>
        <w:footnoteReference w:id="3"/>
      </w:r>
      <w:r w:rsidR="00DE6E25">
        <w:rPr>
          <w:noProof/>
        </w:rPr>
        <w:t xml:space="preserve">. Il </w:t>
      </w:r>
      <w:r w:rsidRPr="00800EEA">
        <w:rPr>
          <w:noProof/>
        </w:rPr>
        <w:t>convient, dans un souci de clarté et de rationalité, de p</w:t>
      </w:r>
      <w:r w:rsidR="00DE6E25">
        <w:rPr>
          <w:noProof/>
        </w:rPr>
        <w:t xml:space="preserve">rocéder à la codification dudit </w:t>
      </w:r>
      <w:r w:rsidRPr="00800EEA">
        <w:rPr>
          <w:noProof/>
        </w:rPr>
        <w:t>règlement.</w:t>
      </w:r>
    </w:p>
    <w:p w:rsidR="007102DA" w:rsidRPr="00800EEA" w:rsidRDefault="007102DA" w:rsidP="00066BB3">
      <w:pPr>
        <w:pStyle w:val="ManualConsidrant"/>
        <w:rPr>
          <w:noProof/>
        </w:rPr>
      </w:pPr>
      <w:r w:rsidRPr="00D5504D">
        <w:rPr>
          <w:noProof/>
        </w:rPr>
        <w:t>(2)</w:t>
      </w:r>
      <w:r w:rsidRPr="00D5504D">
        <w:rPr>
          <w:noProof/>
        </w:rPr>
        <w:tab/>
      </w:r>
      <w:r w:rsidRPr="00800EEA">
        <w:rPr>
          <w:noProof/>
        </w:rPr>
        <w:t>En vertu du traité sur le fonctionnement de l'Union européenne (TFUE), l'appréciation de la comptabilité des aides avec le marché intérieur incombe essentiellement à la Commission.</w:t>
      </w:r>
    </w:p>
    <w:p w:rsidR="007102DA" w:rsidRDefault="007102DA" w:rsidP="007102DA">
      <w:pPr>
        <w:pStyle w:val="ManualConsidrant"/>
        <w:rPr>
          <w:noProof/>
        </w:rPr>
      </w:pPr>
      <w:r w:rsidRPr="00D5504D">
        <w:rPr>
          <w:noProof/>
        </w:rPr>
        <w:t>(3)</w:t>
      </w:r>
      <w:r w:rsidRPr="00D5504D">
        <w:rPr>
          <w:noProof/>
        </w:rPr>
        <w:tab/>
      </w:r>
      <w:r>
        <w:rPr>
          <w:noProof/>
        </w:rPr>
        <w:t>L</w:t>
      </w:r>
      <w:r w:rsidRPr="00727E44">
        <w:rPr>
          <w:noProof/>
        </w:rPr>
        <w:t>e bon fonctionnement du marché intérieur exige une application rigoureuse et efficace des règles de concurrence en matière d'aides d'État</w:t>
      </w:r>
      <w:r>
        <w:rPr>
          <w:noProof/>
        </w:rPr>
        <w:t>.</w:t>
      </w:r>
    </w:p>
    <w:p w:rsidR="007102DA" w:rsidRDefault="007102DA" w:rsidP="00066BB3">
      <w:pPr>
        <w:pStyle w:val="ManualConsidrant"/>
        <w:rPr>
          <w:noProof/>
        </w:rPr>
      </w:pPr>
      <w:r w:rsidRPr="00D5504D">
        <w:rPr>
          <w:noProof/>
        </w:rPr>
        <w:t>(4)</w:t>
      </w:r>
      <w:r w:rsidRPr="00D5504D">
        <w:rPr>
          <w:noProof/>
        </w:rPr>
        <w:tab/>
      </w:r>
      <w:r>
        <w:rPr>
          <w:noProof/>
        </w:rPr>
        <w:t>Il convient que la</w:t>
      </w:r>
      <w:r w:rsidRPr="009F4A44">
        <w:rPr>
          <w:noProof/>
        </w:rPr>
        <w:t xml:space="preserve"> Commission</w:t>
      </w:r>
      <w:r w:rsidRPr="00727E44">
        <w:rPr>
          <w:noProof/>
        </w:rPr>
        <w:t xml:space="preserve"> soit </w:t>
      </w:r>
      <w:r>
        <w:rPr>
          <w:noProof/>
        </w:rPr>
        <w:t>habilitée</w:t>
      </w:r>
      <w:r w:rsidRPr="00727E44">
        <w:rPr>
          <w:noProof/>
        </w:rPr>
        <w:t xml:space="preserve"> à déclarer, par voie de règlements, dans des domaines où elle dispose d'une expérience suffisante pour définir des critères de compatibilité </w:t>
      </w:r>
      <w:r w:rsidRPr="00004180">
        <w:rPr>
          <w:noProof/>
        </w:rPr>
        <w:t>généraux</w:t>
      </w:r>
      <w:r w:rsidRPr="00727E44">
        <w:rPr>
          <w:noProof/>
        </w:rPr>
        <w:t xml:space="preserve">, que certaines catégories </w:t>
      </w:r>
      <w:r>
        <w:rPr>
          <w:noProof/>
        </w:rPr>
        <w:t>spécifiques</w:t>
      </w:r>
      <w:r w:rsidRPr="009F4A44">
        <w:rPr>
          <w:noProof/>
        </w:rPr>
        <w:t xml:space="preserve"> </w:t>
      </w:r>
      <w:r w:rsidRPr="00727E44">
        <w:rPr>
          <w:noProof/>
        </w:rPr>
        <w:t xml:space="preserve">d'aides sont compatibles avec le marché </w:t>
      </w:r>
      <w:r>
        <w:rPr>
          <w:noProof/>
        </w:rPr>
        <w:t xml:space="preserve">intérieur </w:t>
      </w:r>
      <w:r w:rsidRPr="00727E44">
        <w:rPr>
          <w:noProof/>
        </w:rPr>
        <w:t xml:space="preserve">conformément à une ou plusieurs dispositions de l'article </w:t>
      </w:r>
      <w:r>
        <w:rPr>
          <w:noProof/>
        </w:rPr>
        <w:t>107</w:t>
      </w:r>
      <w:r w:rsidRPr="00727E44">
        <w:rPr>
          <w:noProof/>
        </w:rPr>
        <w:t xml:space="preserve">, paragraphes 2 et 3, du </w:t>
      </w:r>
      <w:r>
        <w:rPr>
          <w:noProof/>
        </w:rPr>
        <w:t xml:space="preserve">TFUE </w:t>
      </w:r>
      <w:r w:rsidRPr="00727E44">
        <w:rPr>
          <w:noProof/>
        </w:rPr>
        <w:t xml:space="preserve">et sont exemptées de la procédure de </w:t>
      </w:r>
      <w:r>
        <w:rPr>
          <w:noProof/>
        </w:rPr>
        <w:t>l'article 108</w:t>
      </w:r>
      <w:r w:rsidRPr="00727E44">
        <w:rPr>
          <w:noProof/>
        </w:rPr>
        <w:t>, paragraphe 3</w:t>
      </w:r>
      <w:r>
        <w:rPr>
          <w:noProof/>
        </w:rPr>
        <w:t xml:space="preserve"> du TFUE.</w:t>
      </w:r>
    </w:p>
    <w:p w:rsidR="007102DA" w:rsidRDefault="007102DA" w:rsidP="00066BB3">
      <w:pPr>
        <w:pStyle w:val="ManualConsidrant"/>
        <w:rPr>
          <w:noProof/>
        </w:rPr>
      </w:pPr>
      <w:r w:rsidRPr="00D5504D">
        <w:rPr>
          <w:noProof/>
        </w:rPr>
        <w:t>(5)</w:t>
      </w:r>
      <w:r w:rsidRPr="00D5504D">
        <w:rPr>
          <w:noProof/>
        </w:rPr>
        <w:tab/>
      </w:r>
      <w:r>
        <w:rPr>
          <w:noProof/>
        </w:rPr>
        <w:t>D</w:t>
      </w:r>
      <w:r w:rsidRPr="00727E44">
        <w:rPr>
          <w:noProof/>
        </w:rPr>
        <w:t xml:space="preserve">es règlements d'exemption par catégorie </w:t>
      </w:r>
      <w:r>
        <w:rPr>
          <w:noProof/>
        </w:rPr>
        <w:t xml:space="preserve">assurent </w:t>
      </w:r>
      <w:r w:rsidRPr="00727E44">
        <w:rPr>
          <w:noProof/>
        </w:rPr>
        <w:t xml:space="preserve">la transparence et la sécurité juridique; ils peuvent être appliqués directement par les </w:t>
      </w:r>
      <w:r w:rsidRPr="00004180">
        <w:rPr>
          <w:noProof/>
        </w:rPr>
        <w:t>juridictions</w:t>
      </w:r>
      <w:r w:rsidRPr="00727E44">
        <w:rPr>
          <w:noProof/>
        </w:rPr>
        <w:t xml:space="preserve"> nationales, sans préjudice </w:t>
      </w:r>
      <w:r>
        <w:rPr>
          <w:noProof/>
        </w:rPr>
        <w:t>de l'article 4, paragraphe 3, du</w:t>
      </w:r>
      <w:r w:rsidRPr="00CF3297">
        <w:rPr>
          <w:noProof/>
        </w:rPr>
        <w:t> </w:t>
      </w:r>
      <w:r>
        <w:rPr>
          <w:noProof/>
        </w:rPr>
        <w:t xml:space="preserve">traité sur l'Union européenne </w:t>
      </w:r>
      <w:r w:rsidRPr="00727E44">
        <w:rPr>
          <w:noProof/>
        </w:rPr>
        <w:t>et</w:t>
      </w:r>
      <w:r>
        <w:rPr>
          <w:noProof/>
        </w:rPr>
        <w:t xml:space="preserve"> de l'article 267</w:t>
      </w:r>
      <w:r w:rsidRPr="00FE2280">
        <w:rPr>
          <w:noProof/>
        </w:rPr>
        <w:t xml:space="preserve"> </w:t>
      </w:r>
      <w:r w:rsidRPr="00727E44">
        <w:rPr>
          <w:noProof/>
        </w:rPr>
        <w:t xml:space="preserve">du </w:t>
      </w:r>
      <w:r>
        <w:rPr>
          <w:noProof/>
        </w:rPr>
        <w:t>TFUE.</w:t>
      </w:r>
    </w:p>
    <w:p w:rsidR="007102DA" w:rsidRDefault="00B1179A" w:rsidP="00066BB3">
      <w:pPr>
        <w:pStyle w:val="ManualConsidrant"/>
        <w:rPr>
          <w:noProof/>
        </w:rPr>
      </w:pPr>
      <w:r>
        <w:rPr>
          <w:noProof/>
        </w:rPr>
        <w:br w:type="page"/>
      </w:r>
      <w:r w:rsidR="007102DA" w:rsidRPr="00D5504D">
        <w:rPr>
          <w:noProof/>
        </w:rPr>
        <w:lastRenderedPageBreak/>
        <w:t>(6)</w:t>
      </w:r>
      <w:r w:rsidR="007102DA" w:rsidRPr="00D5504D">
        <w:rPr>
          <w:noProof/>
        </w:rPr>
        <w:tab/>
      </w:r>
      <w:r w:rsidR="007102DA" w:rsidRPr="004F07A4">
        <w:rPr>
          <w:noProof/>
        </w:rPr>
        <w:t>Les aides d</w:t>
      </w:r>
      <w:r w:rsidR="007102DA">
        <w:rPr>
          <w:noProof/>
        </w:rPr>
        <w:t>'</w:t>
      </w:r>
      <w:r w:rsidR="007102DA" w:rsidRPr="004F07A4">
        <w:rPr>
          <w:noProof/>
        </w:rPr>
        <w:t>État sont une notion objective définie à l</w:t>
      </w:r>
      <w:r w:rsidR="007102DA">
        <w:rPr>
          <w:noProof/>
        </w:rPr>
        <w:t>'</w:t>
      </w:r>
      <w:r w:rsidR="007102DA" w:rsidRPr="004F07A4">
        <w:rPr>
          <w:noProof/>
        </w:rPr>
        <w:t xml:space="preserve">article 107, paragraphe 1, du TFUE. Le pouvoir de la Commission d'adopter des exemptions par catégorie tel qu'il est prévu </w:t>
      </w:r>
      <w:r w:rsidR="007102DA">
        <w:rPr>
          <w:noProof/>
        </w:rPr>
        <w:t xml:space="preserve">par le présent </w:t>
      </w:r>
      <w:r w:rsidR="00DE6E25">
        <w:rPr>
          <w:noProof/>
        </w:rPr>
        <w:t xml:space="preserve">règlement </w:t>
      </w:r>
      <w:r w:rsidR="007102DA" w:rsidRPr="004F07A4">
        <w:rPr>
          <w:noProof/>
        </w:rPr>
        <w:t>s</w:t>
      </w:r>
      <w:r w:rsidR="007102DA">
        <w:rPr>
          <w:noProof/>
        </w:rPr>
        <w:t>'</w:t>
      </w:r>
      <w:r w:rsidR="007102DA" w:rsidRPr="004F07A4">
        <w:rPr>
          <w:noProof/>
        </w:rPr>
        <w:t>applique uniquement aux mesures qui satisfont aux critères énoncés à l</w:t>
      </w:r>
      <w:r w:rsidR="007102DA">
        <w:rPr>
          <w:noProof/>
        </w:rPr>
        <w:t>'</w:t>
      </w:r>
      <w:r w:rsidR="007102DA" w:rsidRPr="004F07A4">
        <w:rPr>
          <w:noProof/>
        </w:rPr>
        <w:t>article 107, paragraphe 1, du TFUE, et qui constituent à ce titre une aide d</w:t>
      </w:r>
      <w:r w:rsidR="007102DA">
        <w:rPr>
          <w:noProof/>
        </w:rPr>
        <w:t>'</w:t>
      </w:r>
      <w:r w:rsidR="007102DA" w:rsidRPr="004F07A4">
        <w:rPr>
          <w:noProof/>
        </w:rPr>
        <w:t>État. La prise en compte d</w:t>
      </w:r>
      <w:r w:rsidR="007102DA">
        <w:rPr>
          <w:noProof/>
        </w:rPr>
        <w:t>'</w:t>
      </w:r>
      <w:r w:rsidR="007102DA" w:rsidRPr="004F07A4">
        <w:rPr>
          <w:noProof/>
        </w:rPr>
        <w:t>une certaine catégorie d</w:t>
      </w:r>
      <w:r w:rsidR="007102DA">
        <w:rPr>
          <w:noProof/>
        </w:rPr>
        <w:t>'</w:t>
      </w:r>
      <w:r w:rsidR="007102DA" w:rsidRPr="004F07A4">
        <w:rPr>
          <w:noProof/>
        </w:rPr>
        <w:t xml:space="preserve">aide dans le </w:t>
      </w:r>
      <w:r w:rsidR="007102DA">
        <w:rPr>
          <w:noProof/>
        </w:rPr>
        <w:t>présent</w:t>
      </w:r>
      <w:r w:rsidR="007102DA" w:rsidRPr="002B7EBF">
        <w:rPr>
          <w:noProof/>
        </w:rPr>
        <w:t xml:space="preserve"> </w:t>
      </w:r>
      <w:r w:rsidR="007102DA" w:rsidRPr="004F07A4">
        <w:rPr>
          <w:noProof/>
        </w:rPr>
        <w:t xml:space="preserve">règlement, ou </w:t>
      </w:r>
      <w:r w:rsidR="007102DA">
        <w:rPr>
          <w:noProof/>
        </w:rPr>
        <w:t>dans</w:t>
      </w:r>
      <w:r w:rsidR="007102DA" w:rsidRPr="004F07A4">
        <w:rPr>
          <w:noProof/>
        </w:rPr>
        <w:t xml:space="preserve"> un règlement d</w:t>
      </w:r>
      <w:r w:rsidR="007102DA">
        <w:rPr>
          <w:noProof/>
        </w:rPr>
        <w:t>'</w:t>
      </w:r>
      <w:r w:rsidR="007102DA" w:rsidRPr="004F07A4">
        <w:rPr>
          <w:noProof/>
        </w:rPr>
        <w:t>exemption ne préjuge pas la qualification d</w:t>
      </w:r>
      <w:r w:rsidR="007102DA">
        <w:rPr>
          <w:noProof/>
        </w:rPr>
        <w:t>'</w:t>
      </w:r>
      <w:r w:rsidR="007102DA" w:rsidRPr="004F07A4">
        <w:rPr>
          <w:noProof/>
        </w:rPr>
        <w:t>une mesure en tant qu</w:t>
      </w:r>
      <w:r w:rsidR="007102DA">
        <w:rPr>
          <w:noProof/>
        </w:rPr>
        <w:t>'</w:t>
      </w:r>
      <w:r w:rsidR="007102DA" w:rsidRPr="004F07A4">
        <w:rPr>
          <w:noProof/>
        </w:rPr>
        <w:t>a</w:t>
      </w:r>
      <w:r w:rsidR="007102DA">
        <w:rPr>
          <w:noProof/>
        </w:rPr>
        <w:t>ide d'État au sens de l'article </w:t>
      </w:r>
      <w:r w:rsidR="007102DA" w:rsidRPr="004F07A4">
        <w:rPr>
          <w:noProof/>
        </w:rPr>
        <w:t>107, paragraphe</w:t>
      </w:r>
      <w:r w:rsidR="007102DA">
        <w:rPr>
          <w:noProof/>
        </w:rPr>
        <w:t> </w:t>
      </w:r>
      <w:r w:rsidR="007102DA" w:rsidRPr="004F07A4">
        <w:rPr>
          <w:noProof/>
        </w:rPr>
        <w:t>1, du TFUE.</w:t>
      </w:r>
    </w:p>
    <w:p w:rsidR="007102DA" w:rsidRDefault="007102DA" w:rsidP="00066BB3">
      <w:pPr>
        <w:pStyle w:val="ManualConsidrant"/>
        <w:rPr>
          <w:noProof/>
        </w:rPr>
      </w:pPr>
      <w:r w:rsidRPr="00D5504D">
        <w:rPr>
          <w:noProof/>
        </w:rPr>
        <w:t>(7)</w:t>
      </w:r>
      <w:r w:rsidRPr="00D5504D">
        <w:rPr>
          <w:noProof/>
        </w:rPr>
        <w:tab/>
      </w:r>
      <w:r>
        <w:rPr>
          <w:noProof/>
        </w:rPr>
        <w:t>L</w:t>
      </w:r>
      <w:r w:rsidRPr="004F07A4">
        <w:rPr>
          <w:noProof/>
        </w:rPr>
        <w:t xml:space="preserve">a Commission </w:t>
      </w:r>
      <w:r>
        <w:rPr>
          <w:noProof/>
        </w:rPr>
        <w:t>devrait être habilitée</w:t>
      </w:r>
      <w:r w:rsidRPr="00727E44">
        <w:rPr>
          <w:noProof/>
        </w:rPr>
        <w:t xml:space="preserve"> </w:t>
      </w:r>
      <w:r w:rsidRPr="004F07A4">
        <w:rPr>
          <w:noProof/>
        </w:rPr>
        <w:t>à déclarer que</w:t>
      </w:r>
      <w:r>
        <w:rPr>
          <w:noProof/>
        </w:rPr>
        <w:t xml:space="preserve">, </w:t>
      </w:r>
      <w:r w:rsidRPr="004F07A4">
        <w:rPr>
          <w:noProof/>
        </w:rPr>
        <w:t>sous réserve de certaines conditions, les aides en faveur des petites et moyennes entreprises, de la recherche</w:t>
      </w:r>
      <w:r>
        <w:rPr>
          <w:noProof/>
        </w:rPr>
        <w:t xml:space="preserve">, </w:t>
      </w:r>
      <w:r w:rsidRPr="004F07A4">
        <w:rPr>
          <w:noProof/>
        </w:rPr>
        <w:t>du développement</w:t>
      </w:r>
      <w:r>
        <w:rPr>
          <w:noProof/>
        </w:rPr>
        <w:t xml:space="preserve"> et de l'innovation</w:t>
      </w:r>
      <w:r w:rsidRPr="004F07A4">
        <w:rPr>
          <w:noProof/>
        </w:rPr>
        <w:t>, de la protection de l</w:t>
      </w:r>
      <w:r>
        <w:rPr>
          <w:noProof/>
        </w:rPr>
        <w:t>'</w:t>
      </w:r>
      <w:r w:rsidRPr="004F07A4">
        <w:rPr>
          <w:noProof/>
        </w:rPr>
        <w:t>environnement, de l</w:t>
      </w:r>
      <w:r>
        <w:rPr>
          <w:noProof/>
        </w:rPr>
        <w:t>'</w:t>
      </w:r>
      <w:r w:rsidRPr="004F07A4">
        <w:rPr>
          <w:noProof/>
        </w:rPr>
        <w:t>emploi et de la formation, ainsi que les aides respectant la carte approuvée par la Commission pour chaque État membre pour l</w:t>
      </w:r>
      <w:r>
        <w:rPr>
          <w:noProof/>
        </w:rPr>
        <w:t>'</w:t>
      </w:r>
      <w:r w:rsidRPr="004F07A4">
        <w:rPr>
          <w:noProof/>
        </w:rPr>
        <w:t>octroi des aides à finalité régionale sont compatibles avec le marché intérieur et ne sont pas soumises à l</w:t>
      </w:r>
      <w:r>
        <w:rPr>
          <w:noProof/>
        </w:rPr>
        <w:t>'</w:t>
      </w:r>
      <w:r w:rsidRPr="004F07A4">
        <w:rPr>
          <w:noProof/>
        </w:rPr>
        <w:t>obligation de notification.</w:t>
      </w:r>
    </w:p>
    <w:p w:rsidR="007102DA" w:rsidRDefault="007102DA" w:rsidP="007102DA">
      <w:pPr>
        <w:pStyle w:val="ManualConsidrant"/>
        <w:rPr>
          <w:noProof/>
        </w:rPr>
      </w:pPr>
      <w:r w:rsidRPr="00D5504D">
        <w:rPr>
          <w:noProof/>
        </w:rPr>
        <w:t>(8)</w:t>
      </w:r>
      <w:r w:rsidRPr="00D5504D">
        <w:rPr>
          <w:noProof/>
        </w:rPr>
        <w:tab/>
      </w:r>
      <w:r>
        <w:rPr>
          <w:noProof/>
        </w:rPr>
        <w:t>L'</w:t>
      </w:r>
      <w:r w:rsidRPr="004F07A4">
        <w:rPr>
          <w:noProof/>
        </w:rPr>
        <w:t>innovation est devenue une priorité fondamentale de l</w:t>
      </w:r>
      <w:r>
        <w:rPr>
          <w:noProof/>
        </w:rPr>
        <w:t>'</w:t>
      </w:r>
      <w:r w:rsidRPr="004F07A4">
        <w:rPr>
          <w:noProof/>
        </w:rPr>
        <w:t>Union s</w:t>
      </w:r>
      <w:r>
        <w:rPr>
          <w:noProof/>
        </w:rPr>
        <w:t>'</w:t>
      </w:r>
      <w:r w:rsidRPr="004F07A4">
        <w:rPr>
          <w:noProof/>
        </w:rPr>
        <w:t xml:space="preserve">inscrivant dans </w:t>
      </w:r>
      <w:r>
        <w:rPr>
          <w:noProof/>
        </w:rPr>
        <w:t>"</w:t>
      </w:r>
      <w:r w:rsidRPr="004F07A4">
        <w:rPr>
          <w:noProof/>
        </w:rPr>
        <w:t>Une Union de l</w:t>
      </w:r>
      <w:r>
        <w:rPr>
          <w:noProof/>
        </w:rPr>
        <w:t>'</w:t>
      </w:r>
      <w:r w:rsidRPr="004F07A4">
        <w:rPr>
          <w:noProof/>
        </w:rPr>
        <w:t>innovation</w:t>
      </w:r>
      <w:r>
        <w:rPr>
          <w:noProof/>
        </w:rPr>
        <w:t>"</w:t>
      </w:r>
      <w:r w:rsidRPr="004F07A4">
        <w:rPr>
          <w:noProof/>
        </w:rPr>
        <w:t>, l</w:t>
      </w:r>
      <w:r>
        <w:rPr>
          <w:noProof/>
        </w:rPr>
        <w:t>'</w:t>
      </w:r>
      <w:r w:rsidRPr="004F07A4">
        <w:rPr>
          <w:noProof/>
        </w:rPr>
        <w:t>une des initiatives phares de la stratégie Europe 2020. En outre, les aides en faveur de l</w:t>
      </w:r>
      <w:r>
        <w:rPr>
          <w:noProof/>
        </w:rPr>
        <w:t>'</w:t>
      </w:r>
      <w:r w:rsidRPr="004F07A4">
        <w:rPr>
          <w:noProof/>
        </w:rPr>
        <w:t>innovation sont souvent assez modestes et faussent peu la concurrence.</w:t>
      </w:r>
    </w:p>
    <w:p w:rsidR="007102DA" w:rsidRPr="00FA43F6" w:rsidRDefault="00B1179A" w:rsidP="00066BB3">
      <w:pPr>
        <w:pStyle w:val="ManualConsidrant"/>
        <w:rPr>
          <w:noProof/>
        </w:rPr>
      </w:pPr>
      <w:r>
        <w:rPr>
          <w:noProof/>
        </w:rPr>
        <w:br w:type="page"/>
      </w:r>
      <w:r w:rsidR="007102DA" w:rsidRPr="00D5504D">
        <w:rPr>
          <w:noProof/>
        </w:rPr>
        <w:lastRenderedPageBreak/>
        <w:t>(9)</w:t>
      </w:r>
      <w:r w:rsidR="007102DA" w:rsidRPr="00D5504D">
        <w:rPr>
          <w:noProof/>
        </w:rPr>
        <w:tab/>
      </w:r>
      <w:r w:rsidR="007102DA" w:rsidRPr="004F07A4">
        <w:rPr>
          <w:noProof/>
        </w:rPr>
        <w:t>Dans le secteur de la culture et de la conservation du patrimoine, il convient qu</w:t>
      </w:r>
      <w:r w:rsidR="007102DA">
        <w:rPr>
          <w:noProof/>
        </w:rPr>
        <w:t>'</w:t>
      </w:r>
      <w:r w:rsidR="007102DA" w:rsidRPr="004F07A4">
        <w:rPr>
          <w:noProof/>
        </w:rPr>
        <w:t>un certain nombre de mesures prises par les États membres ne puissent constituer une aide dans la mesure où elles ne satisfont pas à tous les critères visés à l</w:t>
      </w:r>
      <w:r w:rsidR="007102DA">
        <w:rPr>
          <w:noProof/>
        </w:rPr>
        <w:t>'</w:t>
      </w:r>
      <w:r w:rsidR="007102DA" w:rsidRPr="004F07A4">
        <w:rPr>
          <w:noProof/>
        </w:rPr>
        <w:t>article 107, paragraphe 1, du TFUE, du fait par exemple que le bénéficiaire n</w:t>
      </w:r>
      <w:r w:rsidR="007102DA">
        <w:rPr>
          <w:noProof/>
        </w:rPr>
        <w:t>'</w:t>
      </w:r>
      <w:r w:rsidR="007102DA" w:rsidRPr="004F07A4">
        <w:rPr>
          <w:noProof/>
        </w:rPr>
        <w:t>exerce pas d</w:t>
      </w:r>
      <w:r w:rsidR="007102DA">
        <w:rPr>
          <w:noProof/>
        </w:rPr>
        <w:t>'</w:t>
      </w:r>
      <w:r w:rsidR="007102DA" w:rsidRPr="004F07A4">
        <w:rPr>
          <w:noProof/>
        </w:rPr>
        <w:t>activité économique ou parce qu</w:t>
      </w:r>
      <w:r w:rsidR="007102DA">
        <w:rPr>
          <w:noProof/>
        </w:rPr>
        <w:t>'</w:t>
      </w:r>
      <w:r w:rsidR="007102DA" w:rsidRPr="004F07A4">
        <w:rPr>
          <w:noProof/>
        </w:rPr>
        <w:t>elles n</w:t>
      </w:r>
      <w:r w:rsidR="007102DA">
        <w:rPr>
          <w:noProof/>
        </w:rPr>
        <w:t>'</w:t>
      </w:r>
      <w:r w:rsidR="007102DA" w:rsidRPr="004F07A4">
        <w:rPr>
          <w:noProof/>
        </w:rPr>
        <w:t>ont pas d</w:t>
      </w:r>
      <w:r w:rsidR="007102DA">
        <w:rPr>
          <w:noProof/>
        </w:rPr>
        <w:t>'</w:t>
      </w:r>
      <w:r w:rsidR="007102DA" w:rsidRPr="004F07A4">
        <w:rPr>
          <w:noProof/>
        </w:rPr>
        <w:t>effet sur les échanges entre les États membres. Toutefois, lorsque des mesures prises dans le domaine de la culture et de la conservation du patrimoine constituent une aide d</w:t>
      </w:r>
      <w:r w:rsidR="007102DA">
        <w:rPr>
          <w:noProof/>
        </w:rPr>
        <w:t>'</w:t>
      </w:r>
      <w:r w:rsidR="007102DA" w:rsidRPr="004F07A4">
        <w:rPr>
          <w:noProof/>
        </w:rPr>
        <w:t>État au sens de l</w:t>
      </w:r>
      <w:r w:rsidR="007102DA">
        <w:rPr>
          <w:noProof/>
        </w:rPr>
        <w:t>'</w:t>
      </w:r>
      <w:r w:rsidR="007102DA" w:rsidRPr="004F07A4">
        <w:rPr>
          <w:noProof/>
        </w:rPr>
        <w:t xml:space="preserve">article 107, paragraphe 1, du TFUE, la Commission </w:t>
      </w:r>
      <w:r w:rsidR="007102DA">
        <w:rPr>
          <w:noProof/>
        </w:rPr>
        <w:t>devrait être habilitée</w:t>
      </w:r>
      <w:r w:rsidR="007102DA" w:rsidRPr="00727E44">
        <w:rPr>
          <w:noProof/>
        </w:rPr>
        <w:t xml:space="preserve"> </w:t>
      </w:r>
      <w:r w:rsidR="007102DA">
        <w:rPr>
          <w:noProof/>
        </w:rPr>
        <w:t xml:space="preserve">à déclarer que, sous réserve de certaines conditions, cette aide est </w:t>
      </w:r>
      <w:r w:rsidR="007102DA" w:rsidRPr="004F07A4">
        <w:rPr>
          <w:noProof/>
        </w:rPr>
        <w:t>compatible avec le marché intérieur et n</w:t>
      </w:r>
      <w:r w:rsidR="007102DA">
        <w:rPr>
          <w:noProof/>
        </w:rPr>
        <w:t xml:space="preserve">'est </w:t>
      </w:r>
      <w:r w:rsidR="007102DA" w:rsidRPr="004F07A4">
        <w:rPr>
          <w:noProof/>
        </w:rPr>
        <w:t>pas soumise à l</w:t>
      </w:r>
      <w:r w:rsidR="007102DA">
        <w:rPr>
          <w:noProof/>
        </w:rPr>
        <w:t>'</w:t>
      </w:r>
      <w:r w:rsidR="007102DA" w:rsidRPr="004F07A4">
        <w:rPr>
          <w:noProof/>
        </w:rPr>
        <w:t>obligation de notification</w:t>
      </w:r>
      <w:r w:rsidR="00132F7C">
        <w:rPr>
          <w:noProof/>
        </w:rPr>
        <w:t xml:space="preserve"> </w:t>
      </w:r>
      <w:r w:rsidR="00317C02">
        <w:rPr>
          <w:noProof/>
        </w:rPr>
        <w:t xml:space="preserve">visée </w:t>
      </w:r>
      <w:r w:rsidR="00132F7C">
        <w:rPr>
          <w:noProof/>
        </w:rPr>
        <w:t>à l'article 108, paragraphe 3</w:t>
      </w:r>
      <w:r w:rsidR="0031505A">
        <w:rPr>
          <w:noProof/>
        </w:rPr>
        <w:t>,</w:t>
      </w:r>
      <w:r w:rsidR="00132F7C">
        <w:rPr>
          <w:noProof/>
        </w:rPr>
        <w:t xml:space="preserve"> du TFUE</w:t>
      </w:r>
      <w:r w:rsidR="007102DA">
        <w:rPr>
          <w:noProof/>
        </w:rPr>
        <w:t>. L</w:t>
      </w:r>
      <w:r w:rsidR="007102DA" w:rsidRPr="004F07A4">
        <w:rPr>
          <w:noProof/>
        </w:rPr>
        <w:t>es petits projets dans le domaine de la culture, de la création et de la conservation du patrimoine ne provoquent généralement pas de distorsions significatives, et de récents cas ont montré que ces aides ont des effets limités sur les échanges.</w:t>
      </w:r>
    </w:p>
    <w:p w:rsidR="007102DA" w:rsidRPr="00FA43F6" w:rsidRDefault="007102DA" w:rsidP="00066BB3">
      <w:pPr>
        <w:pStyle w:val="ManualConsidrant"/>
        <w:rPr>
          <w:noProof/>
        </w:rPr>
      </w:pPr>
      <w:r w:rsidRPr="00D5504D">
        <w:rPr>
          <w:noProof/>
        </w:rPr>
        <w:t>(10)</w:t>
      </w:r>
      <w:r w:rsidRPr="00D5504D">
        <w:rPr>
          <w:noProof/>
        </w:rPr>
        <w:tab/>
      </w:r>
      <w:r w:rsidRPr="004F07A4">
        <w:rPr>
          <w:noProof/>
        </w:rPr>
        <w:t>Les exemptions dans le secteur de la culture et de la conservation du patrimoine pourraient être définies sur la base de l</w:t>
      </w:r>
      <w:r>
        <w:rPr>
          <w:noProof/>
        </w:rPr>
        <w:t>'</w:t>
      </w:r>
      <w:r w:rsidRPr="004F07A4">
        <w:rPr>
          <w:noProof/>
        </w:rPr>
        <w:t>expérience acquise par la Commission, présentée dans des lignes directrices, telles que celles concernant les œuvres cinématographiques et audiovisuelles, ou être élaborées au cas par cas. Lors de l</w:t>
      </w:r>
      <w:r>
        <w:rPr>
          <w:noProof/>
        </w:rPr>
        <w:t>'</w:t>
      </w:r>
      <w:r w:rsidRPr="004F07A4">
        <w:rPr>
          <w:noProof/>
        </w:rPr>
        <w:t>élaboration de ces exemptions par catégorie, la Commission devrait tenir compte du fait qu</w:t>
      </w:r>
      <w:r>
        <w:rPr>
          <w:noProof/>
        </w:rPr>
        <w:t>'</w:t>
      </w:r>
      <w:r w:rsidRPr="004F07A4">
        <w:rPr>
          <w:noProof/>
        </w:rPr>
        <w:t>elles ne devraient concerner que les mesures constituant une aide d</w:t>
      </w:r>
      <w:r>
        <w:rPr>
          <w:noProof/>
        </w:rPr>
        <w:t>'</w:t>
      </w:r>
      <w:r w:rsidRPr="004F07A4">
        <w:rPr>
          <w:noProof/>
        </w:rPr>
        <w:t>État, qu</w:t>
      </w:r>
      <w:r>
        <w:rPr>
          <w:noProof/>
        </w:rPr>
        <w:t>'</w:t>
      </w:r>
      <w:r w:rsidRPr="004F07A4">
        <w:rPr>
          <w:noProof/>
        </w:rPr>
        <w:t xml:space="preserve">elles devraient en principe être axées sur les mesures qui contribuent aux objectifs de </w:t>
      </w:r>
      <w:r>
        <w:rPr>
          <w:noProof/>
        </w:rPr>
        <w:t>"</w:t>
      </w:r>
      <w:r w:rsidRPr="004F07A4">
        <w:rPr>
          <w:noProof/>
        </w:rPr>
        <w:t>modernisation de la politique de l</w:t>
      </w:r>
      <w:r>
        <w:rPr>
          <w:noProof/>
        </w:rPr>
        <w:t>'</w:t>
      </w:r>
      <w:r w:rsidRPr="004F07A4">
        <w:rPr>
          <w:noProof/>
        </w:rPr>
        <w:t>Union européenne en matière d</w:t>
      </w:r>
      <w:r>
        <w:rPr>
          <w:noProof/>
        </w:rPr>
        <w:t>'</w:t>
      </w:r>
      <w:r w:rsidRPr="004F07A4">
        <w:rPr>
          <w:noProof/>
        </w:rPr>
        <w:t>aides d</w:t>
      </w:r>
      <w:r>
        <w:rPr>
          <w:noProof/>
        </w:rPr>
        <w:t>'</w:t>
      </w:r>
      <w:r w:rsidRPr="004F07A4">
        <w:rPr>
          <w:noProof/>
        </w:rPr>
        <w:t>État</w:t>
      </w:r>
      <w:r>
        <w:rPr>
          <w:noProof/>
        </w:rPr>
        <w:t>"</w:t>
      </w:r>
      <w:r w:rsidRPr="004F07A4">
        <w:rPr>
          <w:noProof/>
        </w:rPr>
        <w:t xml:space="preserve"> (SAM) et que seules les aides pour lesquelles la Commission possède déjà une expérience considérable peuvent faire l</w:t>
      </w:r>
      <w:r>
        <w:rPr>
          <w:noProof/>
        </w:rPr>
        <w:t>'</w:t>
      </w:r>
      <w:r w:rsidRPr="004F07A4">
        <w:rPr>
          <w:noProof/>
        </w:rPr>
        <w:t>objet d</w:t>
      </w:r>
      <w:r>
        <w:rPr>
          <w:noProof/>
        </w:rPr>
        <w:t>'une exemption par catégorie. En</w:t>
      </w:r>
      <w:r w:rsidR="00066BB3">
        <w:rPr>
          <w:noProof/>
        </w:rPr>
        <w:t xml:space="preserve"> </w:t>
      </w:r>
      <w:r w:rsidRPr="004F07A4">
        <w:rPr>
          <w:noProof/>
        </w:rPr>
        <w:t>outre, le fait que la culture relève avant tout de la compétence des États membres, la protection particulière dont bénéficie la diversité culturelle en vertu de l</w:t>
      </w:r>
      <w:r>
        <w:rPr>
          <w:noProof/>
        </w:rPr>
        <w:t>'</w:t>
      </w:r>
      <w:r w:rsidRPr="004F07A4">
        <w:rPr>
          <w:noProof/>
        </w:rPr>
        <w:t>article 167, paragraphe 1, du TFUE et la nature particulière de la culture devraient être pris en compte.</w:t>
      </w:r>
    </w:p>
    <w:p w:rsidR="007102DA" w:rsidRDefault="00B1179A" w:rsidP="00066BB3">
      <w:pPr>
        <w:pStyle w:val="ManualConsidrant"/>
        <w:rPr>
          <w:noProof/>
        </w:rPr>
      </w:pPr>
      <w:r>
        <w:rPr>
          <w:noProof/>
        </w:rPr>
        <w:br w:type="page"/>
      </w:r>
      <w:r w:rsidR="007102DA" w:rsidRPr="00D5504D">
        <w:rPr>
          <w:noProof/>
        </w:rPr>
        <w:lastRenderedPageBreak/>
        <w:t>(11)</w:t>
      </w:r>
      <w:r w:rsidR="007102DA" w:rsidRPr="00D5504D">
        <w:rPr>
          <w:noProof/>
        </w:rPr>
        <w:tab/>
      </w:r>
      <w:r w:rsidR="007102DA">
        <w:rPr>
          <w:noProof/>
        </w:rPr>
        <w:t>En ce qui concerne</w:t>
      </w:r>
      <w:r w:rsidR="007102DA" w:rsidRPr="00FA43F6">
        <w:rPr>
          <w:noProof/>
        </w:rPr>
        <w:t xml:space="preserve"> </w:t>
      </w:r>
      <w:r w:rsidR="007102DA" w:rsidRPr="004F07A4">
        <w:rPr>
          <w:noProof/>
        </w:rPr>
        <w:t>les aides d</w:t>
      </w:r>
      <w:r w:rsidR="007102DA">
        <w:rPr>
          <w:noProof/>
        </w:rPr>
        <w:t>'</w:t>
      </w:r>
      <w:r w:rsidR="007102DA" w:rsidRPr="004F07A4">
        <w:rPr>
          <w:noProof/>
        </w:rPr>
        <w:t>État destinées à remédier aux dommages causés par les catastrophes naturelles</w:t>
      </w:r>
      <w:r w:rsidR="007102DA">
        <w:rPr>
          <w:noProof/>
        </w:rPr>
        <w:t xml:space="preserve"> ainsi que pour les aides d'État destinées à remédier aux dommages causés par certaines conditions </w:t>
      </w:r>
      <w:r w:rsidR="007102DA" w:rsidRPr="008765C3">
        <w:rPr>
          <w:noProof/>
        </w:rPr>
        <w:t>climatiques défavorables dans le secteur de la pêche</w:t>
      </w:r>
      <w:r w:rsidR="007102DA">
        <w:rPr>
          <w:noProof/>
        </w:rPr>
        <w:t>, l</w:t>
      </w:r>
      <w:r w:rsidR="007102DA" w:rsidRPr="004F07A4">
        <w:rPr>
          <w:noProof/>
        </w:rPr>
        <w:t>es montants accordés dans</w:t>
      </w:r>
      <w:r w:rsidR="007102DA">
        <w:rPr>
          <w:noProof/>
        </w:rPr>
        <w:t xml:space="preserve"> ces domaines </w:t>
      </w:r>
      <w:r w:rsidR="007102DA" w:rsidRPr="004F07A4">
        <w:rPr>
          <w:noProof/>
        </w:rPr>
        <w:t xml:space="preserve">sont généralement limités et il est possible de définir des conditions de compatibilité claires. Le </w:t>
      </w:r>
      <w:r w:rsidR="007102DA">
        <w:rPr>
          <w:noProof/>
        </w:rPr>
        <w:t>présent</w:t>
      </w:r>
      <w:r w:rsidR="007102DA" w:rsidRPr="002E74E9">
        <w:rPr>
          <w:noProof/>
        </w:rPr>
        <w:t xml:space="preserve"> </w:t>
      </w:r>
      <w:r w:rsidR="007102DA" w:rsidRPr="004F07A4">
        <w:rPr>
          <w:noProof/>
        </w:rPr>
        <w:t>règlement</w:t>
      </w:r>
      <w:r w:rsidR="007102DA">
        <w:rPr>
          <w:noProof/>
        </w:rPr>
        <w:t xml:space="preserve"> devrait habiliter</w:t>
      </w:r>
      <w:r w:rsidR="007102DA" w:rsidRPr="002E74E9">
        <w:rPr>
          <w:noProof/>
        </w:rPr>
        <w:t xml:space="preserve"> </w:t>
      </w:r>
      <w:r w:rsidR="007102DA" w:rsidRPr="004F07A4">
        <w:rPr>
          <w:noProof/>
        </w:rPr>
        <w:t>la Commission à exempter ces aides de l</w:t>
      </w:r>
      <w:r w:rsidR="007102DA">
        <w:rPr>
          <w:noProof/>
        </w:rPr>
        <w:t>'</w:t>
      </w:r>
      <w:r w:rsidR="007102DA" w:rsidRPr="004F07A4">
        <w:rPr>
          <w:noProof/>
        </w:rPr>
        <w:t>obligation de notification. Par le passé, la Commission a constaté que ces aides ne provoquaient pas de distorsions majeures et qu</w:t>
      </w:r>
      <w:r w:rsidR="007102DA">
        <w:rPr>
          <w:noProof/>
        </w:rPr>
        <w:t>'</w:t>
      </w:r>
      <w:r w:rsidR="007102DA" w:rsidRPr="004F07A4">
        <w:rPr>
          <w:noProof/>
        </w:rPr>
        <w:t>il était possible de définir des conditions de compatibilité claires sur la base de l</w:t>
      </w:r>
      <w:r w:rsidR="007102DA">
        <w:rPr>
          <w:noProof/>
        </w:rPr>
        <w:t>'</w:t>
      </w:r>
      <w:r w:rsidR="007102DA" w:rsidRPr="004F07A4">
        <w:rPr>
          <w:noProof/>
        </w:rPr>
        <w:t>expérience acquise.</w:t>
      </w:r>
    </w:p>
    <w:p w:rsidR="007102DA" w:rsidRPr="007D792E" w:rsidRDefault="007102DA" w:rsidP="00066BB3">
      <w:pPr>
        <w:pStyle w:val="ManualConsidrant"/>
        <w:rPr>
          <w:noProof/>
        </w:rPr>
      </w:pPr>
      <w:r w:rsidRPr="00D5504D">
        <w:rPr>
          <w:noProof/>
        </w:rPr>
        <w:t>(12)</w:t>
      </w:r>
      <w:r w:rsidRPr="00D5504D">
        <w:rPr>
          <w:noProof/>
        </w:rPr>
        <w:tab/>
      </w:r>
      <w:r w:rsidRPr="004F07A4">
        <w:rPr>
          <w:noProof/>
        </w:rPr>
        <w:t>Conformément à l</w:t>
      </w:r>
      <w:r>
        <w:rPr>
          <w:noProof/>
        </w:rPr>
        <w:t>'</w:t>
      </w:r>
      <w:r w:rsidRPr="004F07A4">
        <w:rPr>
          <w:noProof/>
        </w:rPr>
        <w:t>article 42 du TFUE, les règles en matière d</w:t>
      </w:r>
      <w:r>
        <w:rPr>
          <w:noProof/>
        </w:rPr>
        <w:t>'</w:t>
      </w:r>
      <w:r w:rsidRPr="004F07A4">
        <w:rPr>
          <w:noProof/>
        </w:rPr>
        <w:t>aides d</w:t>
      </w:r>
      <w:r>
        <w:rPr>
          <w:noProof/>
        </w:rPr>
        <w:t>'</w:t>
      </w:r>
      <w:r w:rsidRPr="004F07A4">
        <w:rPr>
          <w:noProof/>
        </w:rPr>
        <w:t>État ne s</w:t>
      </w:r>
      <w:r>
        <w:rPr>
          <w:noProof/>
        </w:rPr>
        <w:t>'</w:t>
      </w:r>
      <w:r w:rsidRPr="004F07A4">
        <w:rPr>
          <w:noProof/>
        </w:rPr>
        <w:t>appliquent pas dans des conditions déterminées à certaines aides en faveur des produits agricoles énumérés à l</w:t>
      </w:r>
      <w:r>
        <w:rPr>
          <w:noProof/>
        </w:rPr>
        <w:t>'</w:t>
      </w:r>
      <w:r w:rsidRPr="004F07A4">
        <w:rPr>
          <w:noProof/>
        </w:rPr>
        <w:t>annexe I du TFUE. L</w:t>
      </w:r>
      <w:r>
        <w:rPr>
          <w:noProof/>
        </w:rPr>
        <w:t>'</w:t>
      </w:r>
      <w:r w:rsidRPr="004F07A4">
        <w:rPr>
          <w:noProof/>
        </w:rPr>
        <w:t>article 42 ne s</w:t>
      </w:r>
      <w:r>
        <w:rPr>
          <w:noProof/>
        </w:rPr>
        <w:t>'</w:t>
      </w:r>
      <w:r w:rsidRPr="004F07A4">
        <w:rPr>
          <w:noProof/>
        </w:rPr>
        <w:t xml:space="preserve">applique pas au secteur forestier ou aux produits non énumérés </w:t>
      </w:r>
      <w:r>
        <w:rPr>
          <w:noProof/>
        </w:rPr>
        <w:t>à ladite annexe</w:t>
      </w:r>
      <w:r w:rsidRPr="004F07A4">
        <w:rPr>
          <w:noProof/>
        </w:rPr>
        <w:t>. La Commission devrait pouvoir exempter certains types d</w:t>
      </w:r>
      <w:r>
        <w:rPr>
          <w:noProof/>
        </w:rPr>
        <w:t>'</w:t>
      </w:r>
      <w:r w:rsidRPr="004F07A4">
        <w:rPr>
          <w:noProof/>
        </w:rPr>
        <w:t>aides en faveur du secteur forestier y compris celles incluses dans les programmes de développement rural ainsi que celles en faveur de la promotion et de la publicité des produits du secteur alimentaire non énumérés à l</w:t>
      </w:r>
      <w:r>
        <w:rPr>
          <w:noProof/>
        </w:rPr>
        <w:t>'</w:t>
      </w:r>
      <w:r w:rsidRPr="004F07A4">
        <w:rPr>
          <w:noProof/>
        </w:rPr>
        <w:t xml:space="preserve">annexe I </w:t>
      </w:r>
      <w:r>
        <w:rPr>
          <w:noProof/>
        </w:rPr>
        <w:t>du TFUE</w:t>
      </w:r>
      <w:r w:rsidRPr="007D792E">
        <w:rPr>
          <w:noProof/>
        </w:rPr>
        <w:t xml:space="preserve"> </w:t>
      </w:r>
      <w:r w:rsidRPr="004F07A4">
        <w:rPr>
          <w:noProof/>
        </w:rPr>
        <w:t>lorsque, compte tenu de son expérience, elle estime que les distorsions de concurrence sont limitées et que des conditions de compatibilité claires peuvent être définies.</w:t>
      </w:r>
    </w:p>
    <w:p w:rsidR="007102DA" w:rsidRPr="00994C08" w:rsidRDefault="00B1179A" w:rsidP="00DE6E25">
      <w:pPr>
        <w:pStyle w:val="ManualConsidrant"/>
        <w:rPr>
          <w:noProof/>
        </w:rPr>
      </w:pPr>
      <w:r>
        <w:rPr>
          <w:noProof/>
        </w:rPr>
        <w:br w:type="page"/>
      </w:r>
      <w:r w:rsidR="007102DA" w:rsidRPr="00D5504D">
        <w:rPr>
          <w:noProof/>
        </w:rPr>
        <w:lastRenderedPageBreak/>
        <w:t>(13)</w:t>
      </w:r>
      <w:r w:rsidR="007102DA" w:rsidRPr="00D5504D">
        <w:rPr>
          <w:noProof/>
        </w:rPr>
        <w:tab/>
      </w:r>
      <w:r w:rsidR="007102DA" w:rsidRPr="004F07A4">
        <w:rPr>
          <w:noProof/>
        </w:rPr>
        <w:t>Aux termes de l</w:t>
      </w:r>
      <w:r w:rsidR="007102DA">
        <w:rPr>
          <w:noProof/>
        </w:rPr>
        <w:t>'</w:t>
      </w:r>
      <w:r w:rsidR="007102DA" w:rsidRPr="004F07A4">
        <w:rPr>
          <w:noProof/>
        </w:rPr>
        <w:t>article 7 du règlement (CE) n</w:t>
      </w:r>
      <w:r w:rsidR="00DE6E25">
        <w:rPr>
          <w:noProof/>
        </w:rPr>
        <w:t>° </w:t>
      </w:r>
      <w:r w:rsidR="007102DA" w:rsidRPr="004F07A4">
        <w:rPr>
          <w:noProof/>
        </w:rPr>
        <w:t>1198/2006 du Conseil</w:t>
      </w:r>
      <w:r w:rsidR="007102DA" w:rsidRPr="00B06C46">
        <w:rPr>
          <w:rStyle w:val="FootnoteReference"/>
          <w:noProof/>
        </w:rPr>
        <w:footnoteReference w:id="4"/>
      </w:r>
      <w:r w:rsidR="00DE6E25">
        <w:rPr>
          <w:noProof/>
        </w:rPr>
        <w:t xml:space="preserve">, les articles </w:t>
      </w:r>
      <w:r w:rsidR="007102DA" w:rsidRPr="004F07A4">
        <w:rPr>
          <w:noProof/>
        </w:rPr>
        <w:t>107, 108 et 109 du TFUE s</w:t>
      </w:r>
      <w:r w:rsidR="007102DA">
        <w:rPr>
          <w:noProof/>
        </w:rPr>
        <w:t>'</w:t>
      </w:r>
      <w:r w:rsidR="007102DA" w:rsidRPr="004F07A4">
        <w:rPr>
          <w:noProof/>
        </w:rPr>
        <w:t>appliquent aux aides accordées par les États membres aux entreprises du secteur de la pêche, à l</w:t>
      </w:r>
      <w:r w:rsidR="007102DA">
        <w:rPr>
          <w:noProof/>
        </w:rPr>
        <w:t>'</w:t>
      </w:r>
      <w:r w:rsidR="007102DA" w:rsidRPr="004F07A4">
        <w:rPr>
          <w:noProof/>
        </w:rPr>
        <w:t>exception des contributions financières versées par les États membres au titre du règlement (CE) n</w:t>
      </w:r>
      <w:r w:rsidR="00DE6E25">
        <w:rPr>
          <w:noProof/>
        </w:rPr>
        <w:t>° </w:t>
      </w:r>
      <w:r w:rsidR="007102DA" w:rsidRPr="004F07A4">
        <w:rPr>
          <w:noProof/>
        </w:rPr>
        <w:t>1198/2006 et conformément à ses dispositions. Les aides d</w:t>
      </w:r>
      <w:r w:rsidR="007102DA">
        <w:rPr>
          <w:noProof/>
        </w:rPr>
        <w:t>'</w:t>
      </w:r>
      <w:r w:rsidR="007102DA" w:rsidRPr="004F07A4">
        <w:rPr>
          <w:noProof/>
        </w:rPr>
        <w:t>État supplémentaires en faveur de la conservation des ressources biologiques marines et d</w:t>
      </w:r>
      <w:r w:rsidR="007102DA">
        <w:rPr>
          <w:noProof/>
        </w:rPr>
        <w:t>'</w:t>
      </w:r>
      <w:r w:rsidR="007102DA" w:rsidRPr="004F07A4">
        <w:rPr>
          <w:noProof/>
        </w:rPr>
        <w:t>eau douce ont habituellement des effets limités sur les échanges entre les États membres, contribuent aux objectifs de l</w:t>
      </w:r>
      <w:r w:rsidR="007102DA">
        <w:rPr>
          <w:noProof/>
        </w:rPr>
        <w:t>'</w:t>
      </w:r>
      <w:r w:rsidR="007102DA" w:rsidRPr="004F07A4">
        <w:rPr>
          <w:noProof/>
        </w:rPr>
        <w:t>Union dans le domaine de la politique maritime et de la pêche et ne faussent pas significativement la concurrence. Les montants accordés sont généralement limités et il est possible de définir des conditions de compatibilité claires.</w:t>
      </w:r>
    </w:p>
    <w:p w:rsidR="007102DA" w:rsidRPr="001D1898" w:rsidRDefault="007102DA" w:rsidP="00066BB3">
      <w:pPr>
        <w:pStyle w:val="ManualConsidrant"/>
        <w:rPr>
          <w:noProof/>
        </w:rPr>
      </w:pPr>
      <w:r w:rsidRPr="00D5504D">
        <w:rPr>
          <w:noProof/>
        </w:rPr>
        <w:t>(14)</w:t>
      </w:r>
      <w:r w:rsidRPr="00D5504D">
        <w:rPr>
          <w:noProof/>
        </w:rPr>
        <w:tab/>
      </w:r>
      <w:r w:rsidRPr="004F07A4">
        <w:rPr>
          <w:noProof/>
        </w:rPr>
        <w:t>Dans le domaine du sport, en particulier du sport amateur, il convient qu</w:t>
      </w:r>
      <w:r>
        <w:rPr>
          <w:noProof/>
        </w:rPr>
        <w:t>'</w:t>
      </w:r>
      <w:r w:rsidRPr="004F07A4">
        <w:rPr>
          <w:noProof/>
        </w:rPr>
        <w:t>un certain nombre de mesures prises par les États membres ne puissent constituer une aide étant donné qu</w:t>
      </w:r>
      <w:r>
        <w:rPr>
          <w:noProof/>
        </w:rPr>
        <w:t>'</w:t>
      </w:r>
      <w:r w:rsidRPr="004F07A4">
        <w:rPr>
          <w:noProof/>
        </w:rPr>
        <w:t>elles ne satisfont pas à tous les critères visés à l</w:t>
      </w:r>
      <w:r>
        <w:rPr>
          <w:noProof/>
        </w:rPr>
        <w:t>'</w:t>
      </w:r>
      <w:r w:rsidRPr="004F07A4">
        <w:rPr>
          <w:noProof/>
        </w:rPr>
        <w:t>article 107, paragraphe 1, du TFUE, du fait par exemple que le bénéficiaire n</w:t>
      </w:r>
      <w:r>
        <w:rPr>
          <w:noProof/>
        </w:rPr>
        <w:t>'</w:t>
      </w:r>
      <w:r w:rsidRPr="004F07A4">
        <w:rPr>
          <w:noProof/>
        </w:rPr>
        <w:t>exerce pas d</w:t>
      </w:r>
      <w:r>
        <w:rPr>
          <w:noProof/>
        </w:rPr>
        <w:t>'</w:t>
      </w:r>
      <w:r w:rsidRPr="004F07A4">
        <w:rPr>
          <w:noProof/>
        </w:rPr>
        <w:t>activité économique ou parce qu</w:t>
      </w:r>
      <w:r>
        <w:rPr>
          <w:noProof/>
        </w:rPr>
        <w:t>'</w:t>
      </w:r>
      <w:r w:rsidRPr="004F07A4">
        <w:rPr>
          <w:noProof/>
        </w:rPr>
        <w:t>elles n</w:t>
      </w:r>
      <w:r>
        <w:rPr>
          <w:noProof/>
        </w:rPr>
        <w:t>'</w:t>
      </w:r>
      <w:r w:rsidRPr="004F07A4">
        <w:rPr>
          <w:noProof/>
        </w:rPr>
        <w:t>ont pas d</w:t>
      </w:r>
      <w:r>
        <w:rPr>
          <w:noProof/>
        </w:rPr>
        <w:t>'</w:t>
      </w:r>
      <w:r w:rsidRPr="004F07A4">
        <w:rPr>
          <w:noProof/>
        </w:rPr>
        <w:t>effet sur les échanges entre les États membres. Toutefois, lorsque des mesures prises dans le domaine du sport constituent une aide d</w:t>
      </w:r>
      <w:r>
        <w:rPr>
          <w:noProof/>
        </w:rPr>
        <w:t>'</w:t>
      </w:r>
      <w:r w:rsidRPr="004F07A4">
        <w:rPr>
          <w:noProof/>
        </w:rPr>
        <w:t>État au sens de l</w:t>
      </w:r>
      <w:r>
        <w:rPr>
          <w:noProof/>
        </w:rPr>
        <w:t>'</w:t>
      </w:r>
      <w:r w:rsidRPr="004F07A4">
        <w:rPr>
          <w:noProof/>
        </w:rPr>
        <w:t>article 107, paragraphe 1, du TFUE, la Commission</w:t>
      </w:r>
      <w:r w:rsidRPr="00CF3297">
        <w:rPr>
          <w:noProof/>
        </w:rPr>
        <w:t xml:space="preserve"> </w:t>
      </w:r>
      <w:r>
        <w:rPr>
          <w:noProof/>
        </w:rPr>
        <w:t>devrait être habilitée</w:t>
      </w:r>
      <w:r w:rsidRPr="00727E44">
        <w:rPr>
          <w:noProof/>
        </w:rPr>
        <w:t xml:space="preserve"> </w:t>
      </w:r>
      <w:r>
        <w:rPr>
          <w:noProof/>
        </w:rPr>
        <w:t>à déclarer que, sous réserve de certaines conditions, cette aide est</w:t>
      </w:r>
      <w:r w:rsidRPr="004F07A4">
        <w:rPr>
          <w:noProof/>
        </w:rPr>
        <w:t xml:space="preserve"> compatible avec le marché intérieur et n</w:t>
      </w:r>
      <w:r>
        <w:rPr>
          <w:noProof/>
        </w:rPr>
        <w:t xml:space="preserve">'est </w:t>
      </w:r>
      <w:r w:rsidRPr="004F07A4">
        <w:rPr>
          <w:noProof/>
        </w:rPr>
        <w:t>pas soumise à l</w:t>
      </w:r>
      <w:r>
        <w:rPr>
          <w:noProof/>
        </w:rPr>
        <w:t>'</w:t>
      </w:r>
      <w:r w:rsidRPr="004F07A4">
        <w:rPr>
          <w:noProof/>
        </w:rPr>
        <w:t>obligation de notification. Les aides d</w:t>
      </w:r>
      <w:r>
        <w:rPr>
          <w:noProof/>
        </w:rPr>
        <w:t>'</w:t>
      </w:r>
      <w:r w:rsidRPr="004F07A4">
        <w:rPr>
          <w:noProof/>
        </w:rPr>
        <w:t>État en faveur du sport, notamment celles destinées au sport amateur ou celles de faible envergure, ont souvent des effets limités sur les échanges entre les États membres et ne faussent pas significativement la concurrence. Les montants accordés sont aussi le plus souvent limités. Il est possible de définir des conditions de compatibilité claires sur la base de l</w:t>
      </w:r>
      <w:r>
        <w:rPr>
          <w:noProof/>
        </w:rPr>
        <w:t>'</w:t>
      </w:r>
      <w:r w:rsidRPr="004F07A4">
        <w:rPr>
          <w:noProof/>
        </w:rPr>
        <w:t>expérience acquise de manière à garantir que les aides au sport ne provoquent pas de distorsions significatives.</w:t>
      </w:r>
    </w:p>
    <w:p w:rsidR="007102DA" w:rsidRPr="001D1898" w:rsidRDefault="00B1179A" w:rsidP="007102DA">
      <w:pPr>
        <w:pStyle w:val="ManualConsidrant"/>
        <w:rPr>
          <w:noProof/>
        </w:rPr>
      </w:pPr>
      <w:r>
        <w:rPr>
          <w:noProof/>
        </w:rPr>
        <w:br w:type="page"/>
      </w:r>
      <w:r w:rsidR="007102DA" w:rsidRPr="00D5504D">
        <w:rPr>
          <w:noProof/>
        </w:rPr>
        <w:lastRenderedPageBreak/>
        <w:t>(15)</w:t>
      </w:r>
      <w:r w:rsidR="007102DA" w:rsidRPr="00D5504D">
        <w:rPr>
          <w:noProof/>
        </w:rPr>
        <w:tab/>
      </w:r>
      <w:r w:rsidR="007102DA" w:rsidRPr="004F07A4">
        <w:rPr>
          <w:noProof/>
        </w:rPr>
        <w:t>En ce qui concerne les aides aux transports aérien et maritime, il ressort de l</w:t>
      </w:r>
      <w:r w:rsidR="007102DA">
        <w:rPr>
          <w:noProof/>
        </w:rPr>
        <w:t>'</w:t>
      </w:r>
      <w:r w:rsidR="007102DA" w:rsidRPr="004F07A4">
        <w:rPr>
          <w:noProof/>
        </w:rPr>
        <w:t>expérience de la Commission que les aides à finalité sociale octroyées au transport des habitants des régions isolées, telles que les régions ultrapériphériques et les îles, y compris les États membres insulaires composés d</w:t>
      </w:r>
      <w:r w:rsidR="007102DA">
        <w:rPr>
          <w:noProof/>
        </w:rPr>
        <w:t>'</w:t>
      </w:r>
      <w:r w:rsidR="007102DA" w:rsidRPr="004F07A4">
        <w:rPr>
          <w:noProof/>
        </w:rPr>
        <w:t>une région unique et les zones peu peuplées, ne donnent lieu à aucune distorsion significative, pour autant qu</w:t>
      </w:r>
      <w:r w:rsidR="007102DA">
        <w:rPr>
          <w:noProof/>
        </w:rPr>
        <w:t>'</w:t>
      </w:r>
      <w:r w:rsidR="007102DA" w:rsidRPr="004F07A4">
        <w:rPr>
          <w:noProof/>
        </w:rPr>
        <w:t>elles soient accordées sans discrimination liée à l</w:t>
      </w:r>
      <w:r w:rsidR="007102DA">
        <w:rPr>
          <w:noProof/>
        </w:rPr>
        <w:t>'</w:t>
      </w:r>
      <w:r w:rsidR="007102DA" w:rsidRPr="004F07A4">
        <w:rPr>
          <w:noProof/>
        </w:rPr>
        <w:t>identité du transporteur. En outre, qu</w:t>
      </w:r>
      <w:r w:rsidR="007102DA">
        <w:rPr>
          <w:noProof/>
        </w:rPr>
        <w:t>'</w:t>
      </w:r>
      <w:r w:rsidR="007102DA" w:rsidRPr="004F07A4">
        <w:rPr>
          <w:noProof/>
        </w:rPr>
        <w:t>il est possible de définir des conditions de compatibilité claires.</w:t>
      </w:r>
    </w:p>
    <w:p w:rsidR="007102DA" w:rsidRPr="001D1898" w:rsidRDefault="007102DA" w:rsidP="007102DA">
      <w:pPr>
        <w:pStyle w:val="ManualConsidrant"/>
        <w:rPr>
          <w:noProof/>
        </w:rPr>
      </w:pPr>
      <w:r w:rsidRPr="00D5504D">
        <w:rPr>
          <w:noProof/>
        </w:rPr>
        <w:t>(16)</w:t>
      </w:r>
      <w:r w:rsidRPr="00D5504D">
        <w:rPr>
          <w:noProof/>
        </w:rPr>
        <w:tab/>
      </w:r>
      <w:r w:rsidRPr="004F07A4">
        <w:rPr>
          <w:noProof/>
        </w:rPr>
        <w:t>Dans le domaine des aides aux infrastructures à haut débit, la Commission a acquis ces dernières années une vaste expérience et a élaboré des lignes directrices</w:t>
      </w:r>
      <w:r w:rsidRPr="00B06C46">
        <w:rPr>
          <w:rStyle w:val="FootnoteReference"/>
          <w:noProof/>
        </w:rPr>
        <w:footnoteReference w:id="5"/>
      </w:r>
      <w:r w:rsidRPr="004F07A4">
        <w:rPr>
          <w:noProof/>
        </w:rPr>
        <w:t>. Il ressort de l</w:t>
      </w:r>
      <w:r>
        <w:rPr>
          <w:noProof/>
        </w:rPr>
        <w:t>'</w:t>
      </w:r>
      <w:r w:rsidRPr="004F07A4">
        <w:rPr>
          <w:noProof/>
        </w:rPr>
        <w:t>expérience de la Commission que les aides accordées à certains types d</w:t>
      </w:r>
      <w:r>
        <w:rPr>
          <w:noProof/>
        </w:rPr>
        <w:t>'</w:t>
      </w:r>
      <w:r w:rsidRPr="004F07A4">
        <w:rPr>
          <w:noProof/>
        </w:rPr>
        <w:t>infrastructures à haut débit ne provoquent pas de distorsions significatives et pourraient bénéficier d</w:t>
      </w:r>
      <w:r>
        <w:rPr>
          <w:noProof/>
        </w:rPr>
        <w:t>'</w:t>
      </w:r>
      <w:r w:rsidRPr="004F07A4">
        <w:rPr>
          <w:noProof/>
        </w:rPr>
        <w:t xml:space="preserve">une exemption par catégorie, sous réserve du respect de certaines conditions de compatibilité et du déploiement des infrastructures dans les </w:t>
      </w:r>
      <w:r>
        <w:rPr>
          <w:noProof/>
        </w:rPr>
        <w:t>"</w:t>
      </w:r>
      <w:r w:rsidRPr="004F07A4">
        <w:rPr>
          <w:noProof/>
        </w:rPr>
        <w:t>zones blanches</w:t>
      </w:r>
      <w:r>
        <w:rPr>
          <w:noProof/>
        </w:rPr>
        <w:t>"</w:t>
      </w:r>
      <w:r w:rsidRPr="004F07A4">
        <w:rPr>
          <w:noProof/>
        </w:rPr>
        <w:t>, c</w:t>
      </w:r>
      <w:r>
        <w:rPr>
          <w:noProof/>
        </w:rPr>
        <w:t>'</w:t>
      </w:r>
      <w:r w:rsidRPr="004F07A4">
        <w:rPr>
          <w:noProof/>
        </w:rPr>
        <w:t>est-à-dire des régions ne disposant pas d</w:t>
      </w:r>
      <w:r>
        <w:rPr>
          <w:noProof/>
        </w:rPr>
        <w:t>'</w:t>
      </w:r>
      <w:r w:rsidRPr="004F07A4">
        <w:rPr>
          <w:noProof/>
        </w:rPr>
        <w:t>infrastructure de même catégorie (soit haut débit, soit réseaux d</w:t>
      </w:r>
      <w:r>
        <w:rPr>
          <w:noProof/>
        </w:rPr>
        <w:t>'</w:t>
      </w:r>
      <w:r w:rsidRPr="004F07A4">
        <w:rPr>
          <w:noProof/>
        </w:rPr>
        <w:t xml:space="preserve">accès de nouvelle génération </w:t>
      </w:r>
      <w:r>
        <w:rPr>
          <w:noProof/>
        </w:rPr>
        <w:t>"</w:t>
      </w:r>
      <w:r w:rsidRPr="004F07A4">
        <w:rPr>
          <w:noProof/>
        </w:rPr>
        <w:t>NGA</w:t>
      </w:r>
      <w:r>
        <w:rPr>
          <w:noProof/>
        </w:rPr>
        <w:t>"</w:t>
      </w:r>
      <w:r w:rsidRPr="004F07A4">
        <w:rPr>
          <w:noProof/>
        </w:rPr>
        <w:t>), et où il est peu probable qu</w:t>
      </w:r>
      <w:r>
        <w:rPr>
          <w:noProof/>
        </w:rPr>
        <w:t>'</w:t>
      </w:r>
      <w:r w:rsidRPr="004F07A4">
        <w:rPr>
          <w:noProof/>
        </w:rPr>
        <w:t>une telle infrastructure soit déployée dans un futur proche, comme cela ressort des critères élaborés dans les lignes directrices. C</w:t>
      </w:r>
      <w:r>
        <w:rPr>
          <w:noProof/>
        </w:rPr>
        <w:t>'</w:t>
      </w:r>
      <w:r w:rsidRPr="004F07A4">
        <w:rPr>
          <w:noProof/>
        </w:rPr>
        <w:t>est le cas des aides couvrant la fourniture des services à haut débit de base, des aides pour des petites mesures particulières couvrant les NGA et des aides en faveur des travaux de génie civil liés au haut débit et des infrastructures passives à haut débit.</w:t>
      </w:r>
    </w:p>
    <w:p w:rsidR="007102DA" w:rsidRPr="0008237B" w:rsidRDefault="00B1179A" w:rsidP="00066BB3">
      <w:pPr>
        <w:pStyle w:val="ManualConsidrant"/>
        <w:rPr>
          <w:noProof/>
        </w:rPr>
      </w:pPr>
      <w:r>
        <w:rPr>
          <w:noProof/>
        </w:rPr>
        <w:br w:type="page"/>
      </w:r>
      <w:r w:rsidR="007102DA" w:rsidRPr="00D5504D">
        <w:rPr>
          <w:noProof/>
        </w:rPr>
        <w:lastRenderedPageBreak/>
        <w:t>(17)</w:t>
      </w:r>
      <w:r w:rsidR="007102DA" w:rsidRPr="00D5504D">
        <w:rPr>
          <w:noProof/>
        </w:rPr>
        <w:tab/>
      </w:r>
      <w:r w:rsidR="007102DA" w:rsidRPr="004F07A4">
        <w:rPr>
          <w:noProof/>
        </w:rPr>
        <w:t>En ce qui concerne les infrastructures, il convient qu</w:t>
      </w:r>
      <w:r w:rsidR="007102DA">
        <w:rPr>
          <w:noProof/>
        </w:rPr>
        <w:t>'</w:t>
      </w:r>
      <w:r w:rsidR="007102DA" w:rsidRPr="004F07A4">
        <w:rPr>
          <w:noProof/>
        </w:rPr>
        <w:t>un certain nombre de mesures prises par les États membres ne puissent constituer une aide dans la mesure où elles ne satisfont pas à tous les critères visés à l</w:t>
      </w:r>
      <w:r w:rsidR="007102DA">
        <w:rPr>
          <w:noProof/>
        </w:rPr>
        <w:t>'</w:t>
      </w:r>
      <w:r w:rsidR="007102DA" w:rsidRPr="004F07A4">
        <w:rPr>
          <w:noProof/>
        </w:rPr>
        <w:t>article 107, paragraphe 1, du TFUE, du fait par exemple que le bénéficiaire n</w:t>
      </w:r>
      <w:r w:rsidR="007102DA">
        <w:rPr>
          <w:noProof/>
        </w:rPr>
        <w:t>'</w:t>
      </w:r>
      <w:r w:rsidR="007102DA" w:rsidRPr="004F07A4">
        <w:rPr>
          <w:noProof/>
        </w:rPr>
        <w:t>exerce pas d</w:t>
      </w:r>
      <w:r w:rsidR="007102DA">
        <w:rPr>
          <w:noProof/>
        </w:rPr>
        <w:t>'</w:t>
      </w:r>
      <w:r w:rsidR="007102DA" w:rsidRPr="004F07A4">
        <w:rPr>
          <w:noProof/>
        </w:rPr>
        <w:t>activité économique, qu</w:t>
      </w:r>
      <w:r w:rsidR="007102DA">
        <w:rPr>
          <w:noProof/>
        </w:rPr>
        <w:t>'</w:t>
      </w:r>
      <w:r w:rsidR="007102DA" w:rsidRPr="004F07A4">
        <w:rPr>
          <w:noProof/>
        </w:rPr>
        <w:t>elles n</w:t>
      </w:r>
      <w:r w:rsidR="007102DA">
        <w:rPr>
          <w:noProof/>
        </w:rPr>
        <w:t>'</w:t>
      </w:r>
      <w:r w:rsidR="007102DA" w:rsidRPr="004F07A4">
        <w:rPr>
          <w:noProof/>
        </w:rPr>
        <w:t>ont pas</w:t>
      </w:r>
      <w:r w:rsidR="00066BB3">
        <w:rPr>
          <w:noProof/>
        </w:rPr>
        <w:t xml:space="preserve"> </w:t>
      </w:r>
      <w:r w:rsidR="007102DA" w:rsidRPr="004F07A4">
        <w:rPr>
          <w:noProof/>
        </w:rPr>
        <w:t>d</w:t>
      </w:r>
      <w:r w:rsidR="007102DA">
        <w:rPr>
          <w:noProof/>
        </w:rPr>
        <w:t>'</w:t>
      </w:r>
      <w:r w:rsidR="007102DA" w:rsidRPr="004F07A4">
        <w:rPr>
          <w:noProof/>
        </w:rPr>
        <w:t>effet sur les échanges entre les États membres ou que les mesures consistent en une compensation pour un service d</w:t>
      </w:r>
      <w:r w:rsidR="007102DA">
        <w:rPr>
          <w:noProof/>
        </w:rPr>
        <w:t>'</w:t>
      </w:r>
      <w:r w:rsidR="007102DA" w:rsidRPr="004F07A4">
        <w:rPr>
          <w:noProof/>
        </w:rPr>
        <w:t>intérêt économique général qui répond à tous les critères de la jurisprudence Altmark</w:t>
      </w:r>
      <w:r w:rsidR="007102DA" w:rsidRPr="00B06C46">
        <w:rPr>
          <w:rStyle w:val="FootnoteReference"/>
          <w:noProof/>
        </w:rPr>
        <w:footnoteReference w:id="6"/>
      </w:r>
      <w:r w:rsidR="007102DA" w:rsidRPr="004F07A4">
        <w:rPr>
          <w:noProof/>
        </w:rPr>
        <w:t>. Toutefois, dans la mesure où le financement d</w:t>
      </w:r>
      <w:r w:rsidR="007102DA">
        <w:rPr>
          <w:noProof/>
        </w:rPr>
        <w:t>'</w:t>
      </w:r>
      <w:r w:rsidR="007102DA" w:rsidRPr="004F07A4">
        <w:rPr>
          <w:noProof/>
        </w:rPr>
        <w:t>infrastructures constitue une aide d</w:t>
      </w:r>
      <w:r w:rsidR="007102DA">
        <w:rPr>
          <w:noProof/>
        </w:rPr>
        <w:t>'</w:t>
      </w:r>
      <w:r w:rsidR="007102DA" w:rsidRPr="004F07A4">
        <w:rPr>
          <w:noProof/>
        </w:rPr>
        <w:t>État au sens de l</w:t>
      </w:r>
      <w:r w:rsidR="007102DA">
        <w:rPr>
          <w:noProof/>
        </w:rPr>
        <w:t>'</w:t>
      </w:r>
      <w:r w:rsidR="007102DA" w:rsidRPr="004F07A4">
        <w:rPr>
          <w:noProof/>
        </w:rPr>
        <w:t>article 107, paragraphe 1, du TFUE, la Commission</w:t>
      </w:r>
      <w:r w:rsidR="007102DA">
        <w:rPr>
          <w:noProof/>
        </w:rPr>
        <w:t xml:space="preserve"> devrait être habilitée</w:t>
      </w:r>
      <w:r w:rsidR="007102DA" w:rsidRPr="00727E44">
        <w:rPr>
          <w:noProof/>
        </w:rPr>
        <w:t xml:space="preserve"> </w:t>
      </w:r>
      <w:r w:rsidR="007102DA">
        <w:rPr>
          <w:noProof/>
        </w:rPr>
        <w:t>à déclarer que, sous réserve de certaines conditions, cette aide est</w:t>
      </w:r>
      <w:r w:rsidR="007102DA" w:rsidRPr="004F07A4">
        <w:rPr>
          <w:noProof/>
        </w:rPr>
        <w:t xml:space="preserve"> compatible avec le marché intérieur et n</w:t>
      </w:r>
      <w:r w:rsidR="007102DA">
        <w:rPr>
          <w:noProof/>
        </w:rPr>
        <w:t xml:space="preserve">'est </w:t>
      </w:r>
      <w:r w:rsidR="007102DA" w:rsidRPr="004F07A4">
        <w:rPr>
          <w:noProof/>
        </w:rPr>
        <w:t>pas soumise à l</w:t>
      </w:r>
      <w:r w:rsidR="007102DA">
        <w:rPr>
          <w:noProof/>
        </w:rPr>
        <w:t>'</w:t>
      </w:r>
      <w:r w:rsidR="007102DA" w:rsidRPr="004F07A4">
        <w:rPr>
          <w:noProof/>
        </w:rPr>
        <w:t>obligation de notification. En ce qui concerne les infrastructures, des aides d</w:t>
      </w:r>
      <w:r w:rsidR="007102DA">
        <w:rPr>
          <w:noProof/>
        </w:rPr>
        <w:t>'</w:t>
      </w:r>
      <w:r w:rsidR="007102DA" w:rsidRPr="004F07A4">
        <w:rPr>
          <w:noProof/>
        </w:rPr>
        <w:t>un petit montant destinées à des projets d</w:t>
      </w:r>
      <w:r w:rsidR="007102DA">
        <w:rPr>
          <w:noProof/>
        </w:rPr>
        <w:t>'</w:t>
      </w:r>
      <w:r w:rsidR="007102DA" w:rsidRPr="004F07A4">
        <w:rPr>
          <w:noProof/>
        </w:rPr>
        <w:t>infrastructure peuvent être un moyen efficace de soutenir les objectifs de l</w:t>
      </w:r>
      <w:r w:rsidR="007102DA">
        <w:rPr>
          <w:noProof/>
        </w:rPr>
        <w:t>'</w:t>
      </w:r>
      <w:r w:rsidR="007102DA" w:rsidRPr="004F07A4">
        <w:rPr>
          <w:noProof/>
        </w:rPr>
        <w:t xml:space="preserve">Union dans la mesure où </w:t>
      </w:r>
      <w:r w:rsidR="007102DA" w:rsidRPr="00CF3297">
        <w:rPr>
          <w:noProof/>
        </w:rPr>
        <w:t>ces</w:t>
      </w:r>
      <w:r w:rsidR="007102DA">
        <w:rPr>
          <w:noProof/>
        </w:rPr>
        <w:t xml:space="preserve"> </w:t>
      </w:r>
      <w:r w:rsidR="007102DA" w:rsidRPr="004F07A4">
        <w:rPr>
          <w:noProof/>
        </w:rPr>
        <w:t>aide</w:t>
      </w:r>
      <w:r w:rsidR="007102DA" w:rsidRPr="00CF3297">
        <w:rPr>
          <w:noProof/>
        </w:rPr>
        <w:t>s</w:t>
      </w:r>
      <w:r w:rsidR="007102DA" w:rsidRPr="004F07A4">
        <w:rPr>
          <w:noProof/>
        </w:rPr>
        <w:t xml:space="preserve"> rédui</w:t>
      </w:r>
      <w:r w:rsidR="007102DA" w:rsidRPr="00CF3297">
        <w:rPr>
          <w:noProof/>
        </w:rPr>
        <w:t>sen</w:t>
      </w:r>
      <w:r w:rsidR="007102DA" w:rsidRPr="004F07A4">
        <w:rPr>
          <w:noProof/>
        </w:rPr>
        <w:t>t les coûts et où l</w:t>
      </w:r>
      <w:r w:rsidR="007102DA">
        <w:rPr>
          <w:noProof/>
        </w:rPr>
        <w:t>'</w:t>
      </w:r>
      <w:r w:rsidR="007102DA" w:rsidRPr="004F07A4">
        <w:rPr>
          <w:noProof/>
        </w:rPr>
        <w:t>éventuelle distorsion de concurrence est limitée. La Commission devrait donc pouvoir exempter les aides d</w:t>
      </w:r>
      <w:r w:rsidR="007102DA">
        <w:rPr>
          <w:noProof/>
        </w:rPr>
        <w:t>'</w:t>
      </w:r>
      <w:r w:rsidR="007102DA" w:rsidRPr="004F07A4">
        <w:rPr>
          <w:noProof/>
        </w:rPr>
        <w:t>État en faveur de projets d</w:t>
      </w:r>
      <w:r w:rsidR="007102DA">
        <w:rPr>
          <w:noProof/>
        </w:rPr>
        <w:t>'</w:t>
      </w:r>
      <w:r w:rsidR="007102DA" w:rsidRPr="004F07A4">
        <w:rPr>
          <w:noProof/>
        </w:rPr>
        <w:t>infrastructure qui contribuent aux objectifs visés dans le présent règlement, et qui contribuent à d</w:t>
      </w:r>
      <w:r w:rsidR="007102DA">
        <w:rPr>
          <w:noProof/>
        </w:rPr>
        <w:t>'</w:t>
      </w:r>
      <w:r w:rsidR="007102DA" w:rsidRPr="004F07A4">
        <w:rPr>
          <w:noProof/>
        </w:rPr>
        <w:t>autres objectifs présentant un intérêt commun, notamment ceux de la stratégie Europe</w:t>
      </w:r>
      <w:r w:rsidR="007102DA">
        <w:rPr>
          <w:noProof/>
        </w:rPr>
        <w:t> </w:t>
      </w:r>
      <w:r w:rsidR="007102DA" w:rsidRPr="004F07A4">
        <w:rPr>
          <w:noProof/>
        </w:rPr>
        <w:t>2020</w:t>
      </w:r>
      <w:r w:rsidR="007102DA" w:rsidRPr="00B06C46">
        <w:rPr>
          <w:rStyle w:val="FootnoteReference"/>
          <w:noProof/>
        </w:rPr>
        <w:footnoteReference w:id="7"/>
      </w:r>
      <w:r w:rsidR="007102DA" w:rsidRPr="004F07A4">
        <w:rPr>
          <w:noProof/>
        </w:rPr>
        <w:t>. Il pourrait s</w:t>
      </w:r>
      <w:r w:rsidR="007102DA">
        <w:rPr>
          <w:noProof/>
        </w:rPr>
        <w:t>'</w:t>
      </w:r>
      <w:r w:rsidR="007102DA" w:rsidRPr="004F07A4">
        <w:rPr>
          <w:noProof/>
        </w:rPr>
        <w:t>agir d</w:t>
      </w:r>
      <w:r w:rsidR="007102DA">
        <w:rPr>
          <w:noProof/>
        </w:rPr>
        <w:t>'</w:t>
      </w:r>
      <w:r w:rsidR="007102DA" w:rsidRPr="004F07A4">
        <w:rPr>
          <w:noProof/>
        </w:rPr>
        <w:t>un soutien en faveur de projets incluant des réseaux ou des installations multisectoriels pour lesquels des aides de montants relativement limités sont nécessaires. Toutefois, les exemptions par catégorie ne peuvent être accordées qu</w:t>
      </w:r>
      <w:r w:rsidR="007102DA">
        <w:rPr>
          <w:noProof/>
        </w:rPr>
        <w:t>'</w:t>
      </w:r>
      <w:r w:rsidR="007102DA" w:rsidRPr="004F07A4">
        <w:rPr>
          <w:noProof/>
        </w:rPr>
        <w:t>aux projets d</w:t>
      </w:r>
      <w:r w:rsidR="007102DA">
        <w:rPr>
          <w:noProof/>
        </w:rPr>
        <w:t>'</w:t>
      </w:r>
      <w:r w:rsidR="007102DA" w:rsidRPr="004F07A4">
        <w:rPr>
          <w:noProof/>
        </w:rPr>
        <w:t>infrastructure pour lesquels la Commission possède une expérience suffisante pour définir des critères de compatibilité clairs et stricts garantissant que le risque d</w:t>
      </w:r>
      <w:r w:rsidR="007102DA">
        <w:rPr>
          <w:noProof/>
        </w:rPr>
        <w:t>'</w:t>
      </w:r>
      <w:r w:rsidR="007102DA" w:rsidRPr="004F07A4">
        <w:rPr>
          <w:noProof/>
        </w:rPr>
        <w:t>une éventuelle distorsion de concurrence est limité et que les aides d</w:t>
      </w:r>
      <w:r w:rsidR="007102DA">
        <w:rPr>
          <w:noProof/>
        </w:rPr>
        <w:t>'</w:t>
      </w:r>
      <w:r w:rsidR="007102DA" w:rsidRPr="004F07A4">
        <w:rPr>
          <w:noProof/>
        </w:rPr>
        <w:t>un grand montant continuent de faire l</w:t>
      </w:r>
      <w:r w:rsidR="007102DA">
        <w:rPr>
          <w:noProof/>
        </w:rPr>
        <w:t>'</w:t>
      </w:r>
      <w:r w:rsidR="007102DA" w:rsidRPr="004F07A4">
        <w:rPr>
          <w:noProof/>
        </w:rPr>
        <w:t>objet d</w:t>
      </w:r>
      <w:r w:rsidR="007102DA">
        <w:rPr>
          <w:noProof/>
        </w:rPr>
        <w:t>'</w:t>
      </w:r>
      <w:r w:rsidR="007102DA" w:rsidRPr="004F07A4">
        <w:rPr>
          <w:noProof/>
        </w:rPr>
        <w:t>une notification conformément à l</w:t>
      </w:r>
      <w:r w:rsidR="007102DA">
        <w:rPr>
          <w:noProof/>
        </w:rPr>
        <w:t>'</w:t>
      </w:r>
      <w:r w:rsidR="007102DA" w:rsidRPr="004F07A4">
        <w:rPr>
          <w:noProof/>
        </w:rPr>
        <w:t>article 108, paragraphe 3, du TFUE.</w:t>
      </w:r>
    </w:p>
    <w:p w:rsidR="007102DA" w:rsidRDefault="00B1179A" w:rsidP="00066BB3">
      <w:pPr>
        <w:pStyle w:val="ManualConsidrant"/>
        <w:rPr>
          <w:noProof/>
        </w:rPr>
      </w:pPr>
      <w:r>
        <w:rPr>
          <w:noProof/>
        </w:rPr>
        <w:br w:type="page"/>
      </w:r>
      <w:r w:rsidR="007102DA" w:rsidRPr="00D5504D">
        <w:rPr>
          <w:noProof/>
        </w:rPr>
        <w:lastRenderedPageBreak/>
        <w:t>(18)</w:t>
      </w:r>
      <w:r w:rsidR="007102DA" w:rsidRPr="00D5504D">
        <w:rPr>
          <w:noProof/>
        </w:rPr>
        <w:tab/>
      </w:r>
      <w:r w:rsidR="007102DA">
        <w:rPr>
          <w:noProof/>
        </w:rPr>
        <w:t>Il</w:t>
      </w:r>
      <w:r w:rsidR="007102DA" w:rsidRPr="0008237B">
        <w:rPr>
          <w:noProof/>
        </w:rPr>
        <w:t xml:space="preserve"> </w:t>
      </w:r>
      <w:r w:rsidR="007102DA" w:rsidRPr="00727E44">
        <w:rPr>
          <w:noProof/>
        </w:rPr>
        <w:t xml:space="preserve">convient que la Commission, lorsqu'elle </w:t>
      </w:r>
      <w:r w:rsidR="00EC6506">
        <w:rPr>
          <w:noProof/>
        </w:rPr>
        <w:t>adopt</w:t>
      </w:r>
      <w:r w:rsidR="007102DA" w:rsidRPr="00727E44">
        <w:rPr>
          <w:noProof/>
        </w:rPr>
        <w:t xml:space="preserve">e des règlements exemptant certaines catégories d'aides de l'obligation de </w:t>
      </w:r>
      <w:r w:rsidR="007102DA">
        <w:rPr>
          <w:noProof/>
        </w:rPr>
        <w:t>notification prévue à l'article 108</w:t>
      </w:r>
      <w:r w:rsidR="007102DA" w:rsidRPr="00727E44">
        <w:rPr>
          <w:noProof/>
        </w:rPr>
        <w:t xml:space="preserve">, paragraphe 3, du </w:t>
      </w:r>
      <w:r w:rsidR="007102DA">
        <w:rPr>
          <w:noProof/>
        </w:rPr>
        <w:t>TFUE</w:t>
      </w:r>
      <w:r w:rsidR="007102DA" w:rsidRPr="00727E44">
        <w:rPr>
          <w:noProof/>
        </w:rPr>
        <w:t xml:space="preserve">, précise l'objectif de ces aides, les catégories de bénéficiaires ainsi que </w:t>
      </w:r>
      <w:r w:rsidR="007102DA" w:rsidRPr="008A3ED0">
        <w:rPr>
          <w:noProof/>
        </w:rPr>
        <w:t>des seuils destinés à empêcher que les aides exemptées ne dépassent des intensités calculées par rapport à l'ensemble des coûts admissibles ou des montants maximaux</w:t>
      </w:r>
      <w:r w:rsidR="007102DA" w:rsidRPr="00727E44">
        <w:rPr>
          <w:noProof/>
        </w:rPr>
        <w:t xml:space="preserve">, les conditions relatives au cumul des aides ainsi que les conditions de contrôle, afin de garantir la compatibilité des aides couvertes par le présent règlement avec le marché </w:t>
      </w:r>
      <w:r w:rsidR="007102DA">
        <w:rPr>
          <w:noProof/>
        </w:rPr>
        <w:t>intérieur</w:t>
      </w:r>
      <w:r w:rsidR="007102DA" w:rsidRPr="00CF3297">
        <w:rPr>
          <w:noProof/>
        </w:rPr>
        <w:t> </w:t>
      </w:r>
      <w:r w:rsidR="007102DA">
        <w:rPr>
          <w:noProof/>
        </w:rPr>
        <w:t>.</w:t>
      </w:r>
    </w:p>
    <w:p w:rsidR="007102DA" w:rsidRPr="004F07A4" w:rsidRDefault="007102DA" w:rsidP="007102DA">
      <w:pPr>
        <w:pStyle w:val="ManualConsidrant"/>
        <w:rPr>
          <w:noProof/>
        </w:rPr>
      </w:pPr>
      <w:r w:rsidRPr="00D5504D">
        <w:rPr>
          <w:noProof/>
        </w:rPr>
        <w:t>(19)</w:t>
      </w:r>
      <w:r w:rsidRPr="00D5504D">
        <w:rPr>
          <w:noProof/>
        </w:rPr>
        <w:tab/>
      </w:r>
      <w:r>
        <w:rPr>
          <w:noProof/>
        </w:rPr>
        <w:t>P</w:t>
      </w:r>
      <w:r w:rsidRPr="004F07A4">
        <w:rPr>
          <w:noProof/>
        </w:rPr>
        <w:t>our chaque catégorie d</w:t>
      </w:r>
      <w:r>
        <w:rPr>
          <w:noProof/>
        </w:rPr>
        <w:t>'</w:t>
      </w:r>
      <w:r w:rsidRPr="004F07A4">
        <w:rPr>
          <w:noProof/>
        </w:rPr>
        <w:t xml:space="preserve">aides pour laquelle la Commission adopte un </w:t>
      </w:r>
      <w:r w:rsidRPr="00CF3297">
        <w:rPr>
          <w:noProof/>
        </w:rPr>
        <w:t>règlement d'</w:t>
      </w:r>
      <w:r w:rsidRPr="004F07A4">
        <w:rPr>
          <w:noProof/>
        </w:rPr>
        <w:t>exemption par catégorie, les seuils</w:t>
      </w:r>
      <w:r>
        <w:rPr>
          <w:noProof/>
        </w:rPr>
        <w:t xml:space="preserve"> peuvent être</w:t>
      </w:r>
      <w:r w:rsidRPr="00CF3297">
        <w:rPr>
          <w:noProof/>
        </w:rPr>
        <w:t> </w:t>
      </w:r>
      <w:r w:rsidRPr="004F07A4">
        <w:rPr>
          <w:noProof/>
        </w:rPr>
        <w:t>exprimés</w:t>
      </w:r>
      <w:r>
        <w:rPr>
          <w:noProof/>
        </w:rPr>
        <w:t xml:space="preserve"> </w:t>
      </w:r>
      <w:r w:rsidRPr="004F07A4">
        <w:rPr>
          <w:noProof/>
        </w:rPr>
        <w:t>en termes d</w:t>
      </w:r>
      <w:r>
        <w:rPr>
          <w:noProof/>
        </w:rPr>
        <w:t>'</w:t>
      </w:r>
      <w:r w:rsidRPr="004F07A4">
        <w:rPr>
          <w:noProof/>
        </w:rPr>
        <w:t>intensité par rapport à l</w:t>
      </w:r>
      <w:r>
        <w:rPr>
          <w:noProof/>
        </w:rPr>
        <w:t>'</w:t>
      </w:r>
      <w:r w:rsidRPr="004F07A4">
        <w:rPr>
          <w:noProof/>
        </w:rPr>
        <w:t>ensemble des coûts admissibles,</w:t>
      </w:r>
      <w:r>
        <w:rPr>
          <w:noProof/>
        </w:rPr>
        <w:t xml:space="preserve"> ou</w:t>
      </w:r>
      <w:r w:rsidRPr="00CF3297">
        <w:rPr>
          <w:noProof/>
        </w:rPr>
        <w:t> </w:t>
      </w:r>
      <w:r w:rsidRPr="004F07A4">
        <w:rPr>
          <w:noProof/>
        </w:rPr>
        <w:t xml:space="preserve">en termes de montants maximaux. </w:t>
      </w:r>
      <w:r w:rsidRPr="00CF3297">
        <w:rPr>
          <w:noProof/>
        </w:rPr>
        <w:t xml:space="preserve">La Commission devrait par ailleurs être </w:t>
      </w:r>
      <w:r>
        <w:rPr>
          <w:noProof/>
        </w:rPr>
        <w:t>habilitée</w:t>
      </w:r>
      <w:r w:rsidRPr="00A55E25">
        <w:rPr>
          <w:noProof/>
        </w:rPr>
        <w:t> </w:t>
      </w:r>
      <w:r w:rsidRPr="00CF3297">
        <w:rPr>
          <w:noProof/>
        </w:rPr>
        <w:t>à exempter par catégorie</w:t>
      </w:r>
      <w:r>
        <w:rPr>
          <w:noProof/>
        </w:rPr>
        <w:t xml:space="preserve"> </w:t>
      </w:r>
      <w:r w:rsidRPr="004F07A4">
        <w:rPr>
          <w:noProof/>
        </w:rPr>
        <w:t>certains types de mesures comportant une aide d</w:t>
      </w:r>
      <w:r>
        <w:rPr>
          <w:noProof/>
        </w:rPr>
        <w:t>'</w:t>
      </w:r>
      <w:r w:rsidRPr="004F07A4">
        <w:rPr>
          <w:noProof/>
        </w:rPr>
        <w:t>État qui, en raison de leur nature particulière, ne peuvent être exprimées précisément en termes d</w:t>
      </w:r>
      <w:r>
        <w:rPr>
          <w:noProof/>
        </w:rPr>
        <w:t>'</w:t>
      </w:r>
      <w:r w:rsidRPr="004F07A4">
        <w:rPr>
          <w:noProof/>
        </w:rPr>
        <w:t>intensité ou de montants maximaux de l</w:t>
      </w:r>
      <w:r>
        <w:rPr>
          <w:noProof/>
        </w:rPr>
        <w:t>'</w:t>
      </w:r>
      <w:r w:rsidRPr="004F07A4">
        <w:rPr>
          <w:noProof/>
        </w:rPr>
        <w:t>aide, comme c</w:t>
      </w:r>
      <w:r>
        <w:rPr>
          <w:noProof/>
        </w:rPr>
        <w:t>'</w:t>
      </w:r>
      <w:r w:rsidRPr="004F07A4">
        <w:rPr>
          <w:noProof/>
        </w:rPr>
        <w:t>est le cas pour les instruments d</w:t>
      </w:r>
      <w:r>
        <w:rPr>
          <w:noProof/>
        </w:rPr>
        <w:t>'</w:t>
      </w:r>
      <w:r w:rsidRPr="004F07A4">
        <w:rPr>
          <w:noProof/>
        </w:rPr>
        <w:t>ingénierie financière ou certaines formes de mesures destinées à promouvoir les investissements en capital-risque</w:t>
      </w:r>
      <w:r>
        <w:rPr>
          <w:noProof/>
        </w:rPr>
        <w:t>.</w:t>
      </w:r>
      <w:r w:rsidRPr="004F07A4">
        <w:rPr>
          <w:noProof/>
        </w:rPr>
        <w:t xml:space="preserve"> </w:t>
      </w:r>
      <w:r>
        <w:rPr>
          <w:noProof/>
        </w:rPr>
        <w:t>Des</w:t>
      </w:r>
      <w:r w:rsidR="00DE6E25">
        <w:rPr>
          <w:noProof/>
        </w:rPr>
        <w:t xml:space="preserve"> </w:t>
      </w:r>
      <w:r w:rsidRPr="004F07A4">
        <w:rPr>
          <w:noProof/>
        </w:rPr>
        <w:t>mesures aussi complexes peuvent inclure des éléments d</w:t>
      </w:r>
      <w:r>
        <w:rPr>
          <w:noProof/>
        </w:rPr>
        <w:t>'</w:t>
      </w:r>
      <w:r w:rsidRPr="004F07A4">
        <w:rPr>
          <w:noProof/>
        </w:rPr>
        <w:t>aide à différents niveaux: bénéficiaires directs, intermédiaires et indirects. Compte tenu de l</w:t>
      </w:r>
      <w:r>
        <w:rPr>
          <w:noProof/>
        </w:rPr>
        <w:t>'</w:t>
      </w:r>
      <w:r w:rsidRPr="004F07A4">
        <w:rPr>
          <w:noProof/>
        </w:rPr>
        <w:t>importance croissante de ces mesures et de leur contribution aux objectifs de l</w:t>
      </w:r>
      <w:r>
        <w:rPr>
          <w:noProof/>
        </w:rPr>
        <w:t>'</w:t>
      </w:r>
      <w:r w:rsidRPr="004F07A4">
        <w:rPr>
          <w:noProof/>
        </w:rPr>
        <w:t>Union, il conviendrait</w:t>
      </w:r>
      <w:r>
        <w:rPr>
          <w:noProof/>
        </w:rPr>
        <w:t xml:space="preserve"> que </w:t>
      </w:r>
      <w:r w:rsidRPr="004F07A4">
        <w:rPr>
          <w:noProof/>
        </w:rPr>
        <w:t>leur exemption</w:t>
      </w:r>
      <w:r>
        <w:rPr>
          <w:noProof/>
        </w:rPr>
        <w:t xml:space="preserve"> </w:t>
      </w:r>
      <w:r w:rsidRPr="00CF3297">
        <w:rPr>
          <w:noProof/>
        </w:rPr>
        <w:t>soit possible</w:t>
      </w:r>
      <w:r w:rsidRPr="004F07A4">
        <w:rPr>
          <w:noProof/>
        </w:rPr>
        <w:t>. Il devrait donc être possible, dans le cas de telles mesures, de définir les seuils pour l</w:t>
      </w:r>
      <w:r>
        <w:rPr>
          <w:noProof/>
        </w:rPr>
        <w:t>'</w:t>
      </w:r>
      <w:r w:rsidRPr="004F07A4">
        <w:rPr>
          <w:noProof/>
        </w:rPr>
        <w:t>attribution particulière d</w:t>
      </w:r>
      <w:r>
        <w:rPr>
          <w:noProof/>
        </w:rPr>
        <w:t>'</w:t>
      </w:r>
      <w:r w:rsidRPr="004F07A4">
        <w:rPr>
          <w:noProof/>
        </w:rPr>
        <w:t>une aide en termes de niveau maximal de soutien de l</w:t>
      </w:r>
      <w:r>
        <w:rPr>
          <w:noProof/>
        </w:rPr>
        <w:t>'</w:t>
      </w:r>
      <w:r w:rsidRPr="004F07A4">
        <w:rPr>
          <w:noProof/>
        </w:rPr>
        <w:t>État à cette mesure ou en rapport avec elle. Le niveau maximal du soutien de l</w:t>
      </w:r>
      <w:r>
        <w:rPr>
          <w:noProof/>
        </w:rPr>
        <w:t>'</w:t>
      </w:r>
      <w:r w:rsidRPr="004F07A4">
        <w:rPr>
          <w:noProof/>
        </w:rPr>
        <w:t>État peut comporter un élément de soutien, qui peut ne pas être une aide d</w:t>
      </w:r>
      <w:r>
        <w:rPr>
          <w:noProof/>
        </w:rPr>
        <w:t>'</w:t>
      </w:r>
      <w:r w:rsidRPr="004F07A4">
        <w:rPr>
          <w:noProof/>
        </w:rPr>
        <w:t>État, pour autant que la mesure prévoie au moins certains éléments qui comportent une aide d</w:t>
      </w:r>
      <w:r>
        <w:rPr>
          <w:noProof/>
        </w:rPr>
        <w:t>'</w:t>
      </w:r>
      <w:r w:rsidRPr="004F07A4">
        <w:rPr>
          <w:noProof/>
        </w:rPr>
        <w:t>État au sens de l</w:t>
      </w:r>
      <w:r>
        <w:rPr>
          <w:noProof/>
        </w:rPr>
        <w:t>'</w:t>
      </w:r>
      <w:r w:rsidRPr="004F07A4">
        <w:rPr>
          <w:noProof/>
        </w:rPr>
        <w:t>article 107, paragraphe 1, du traité et qui ne sont pas des éléments marginaux.</w:t>
      </w:r>
    </w:p>
    <w:p w:rsidR="007102DA" w:rsidRPr="00727E44" w:rsidRDefault="00DE6E25" w:rsidP="00066BB3">
      <w:pPr>
        <w:pStyle w:val="ManualConsidrant"/>
        <w:rPr>
          <w:noProof/>
        </w:rPr>
      </w:pPr>
      <w:r>
        <w:rPr>
          <w:noProof/>
        </w:rPr>
        <w:br w:type="page"/>
      </w:r>
      <w:r w:rsidR="007102DA" w:rsidRPr="00D5504D">
        <w:rPr>
          <w:noProof/>
        </w:rPr>
        <w:lastRenderedPageBreak/>
        <w:t>(20)</w:t>
      </w:r>
      <w:r w:rsidR="007102DA" w:rsidRPr="00D5504D">
        <w:rPr>
          <w:noProof/>
        </w:rPr>
        <w:tab/>
      </w:r>
      <w:r w:rsidR="007102DA">
        <w:rPr>
          <w:noProof/>
        </w:rPr>
        <w:t>Il</w:t>
      </w:r>
      <w:r w:rsidR="007102DA" w:rsidRPr="00E056C2">
        <w:rPr>
          <w:noProof/>
        </w:rPr>
        <w:t xml:space="preserve"> </w:t>
      </w:r>
      <w:r w:rsidR="007102DA" w:rsidRPr="00727E44">
        <w:rPr>
          <w:noProof/>
        </w:rPr>
        <w:t xml:space="preserve">peut être utile de fixer des seuils ou d'autres conditions appropriées pour la notification des cas d'octroi d'aides afin de permettre à la Commission d'examiner individuellement l'effet de certaines aides sur la concurrence et les échanges entre États membres et leur compatibilité avec le marché </w:t>
      </w:r>
      <w:r w:rsidR="007102DA">
        <w:rPr>
          <w:noProof/>
        </w:rPr>
        <w:t>intérieur.</w:t>
      </w:r>
    </w:p>
    <w:p w:rsidR="007102DA" w:rsidRDefault="007102DA" w:rsidP="00066BB3">
      <w:pPr>
        <w:pStyle w:val="ManualConsidrant"/>
        <w:rPr>
          <w:noProof/>
        </w:rPr>
      </w:pPr>
      <w:r w:rsidRPr="00D5504D">
        <w:rPr>
          <w:noProof/>
        </w:rPr>
        <w:t>(21)</w:t>
      </w:r>
      <w:r w:rsidRPr="00D5504D">
        <w:rPr>
          <w:noProof/>
        </w:rPr>
        <w:tab/>
      </w:r>
      <w:r>
        <w:rPr>
          <w:noProof/>
        </w:rPr>
        <w:t>I</w:t>
      </w:r>
      <w:r w:rsidRPr="00727E44">
        <w:rPr>
          <w:noProof/>
        </w:rPr>
        <w:t xml:space="preserve">l convient d'autoriser la Commission, lorsqu'elle </w:t>
      </w:r>
      <w:r w:rsidR="00EC6506">
        <w:rPr>
          <w:noProof/>
        </w:rPr>
        <w:t>adopt</w:t>
      </w:r>
      <w:r w:rsidRPr="00727E44">
        <w:rPr>
          <w:noProof/>
        </w:rPr>
        <w:t xml:space="preserve">e des règlements exemptant certaines catégories d'aides de l'obligation de </w:t>
      </w:r>
      <w:r>
        <w:rPr>
          <w:noProof/>
        </w:rPr>
        <w:t>notification prévue à l'article 108</w:t>
      </w:r>
      <w:r w:rsidRPr="00727E44">
        <w:rPr>
          <w:noProof/>
        </w:rPr>
        <w:t xml:space="preserve">, paragraphe 3, du </w:t>
      </w:r>
      <w:r>
        <w:rPr>
          <w:noProof/>
        </w:rPr>
        <w:t>TFUE</w:t>
      </w:r>
      <w:r w:rsidRPr="00727E44">
        <w:rPr>
          <w:noProof/>
        </w:rPr>
        <w:t xml:space="preserve">, à les assortir d'autres conditions précises afin de garantir la compatibilité des aides couvertes par le présent règlement avec le marché </w:t>
      </w:r>
      <w:r>
        <w:rPr>
          <w:noProof/>
        </w:rPr>
        <w:t>intérieur.</w:t>
      </w:r>
    </w:p>
    <w:p w:rsidR="007102DA" w:rsidRDefault="007102DA" w:rsidP="00DE6E25">
      <w:pPr>
        <w:pStyle w:val="ManualConsidrant"/>
        <w:rPr>
          <w:noProof/>
        </w:rPr>
      </w:pPr>
      <w:r w:rsidRPr="00D5504D">
        <w:rPr>
          <w:noProof/>
        </w:rPr>
        <w:t>(22)</w:t>
      </w:r>
      <w:r w:rsidRPr="00D5504D">
        <w:rPr>
          <w:noProof/>
        </w:rPr>
        <w:tab/>
      </w:r>
      <w:r>
        <w:rPr>
          <w:noProof/>
        </w:rPr>
        <w:t>L</w:t>
      </w:r>
      <w:r w:rsidRPr="00727E44">
        <w:rPr>
          <w:noProof/>
        </w:rPr>
        <w:t xml:space="preserve">a Commission, eu égard au développement et au fonctionnement du marché </w:t>
      </w:r>
      <w:r>
        <w:rPr>
          <w:noProof/>
        </w:rPr>
        <w:t>intérieur</w:t>
      </w:r>
      <w:r w:rsidRPr="00727E44">
        <w:rPr>
          <w:noProof/>
        </w:rPr>
        <w:t>, devrait être habilitée à déclarer par voie</w:t>
      </w:r>
      <w:r>
        <w:rPr>
          <w:noProof/>
        </w:rPr>
        <w:t xml:space="preserve"> </w:t>
      </w:r>
      <w:r w:rsidRPr="00CF3297">
        <w:rPr>
          <w:noProof/>
        </w:rPr>
        <w:t>de</w:t>
      </w:r>
      <w:r w:rsidRPr="00727E44">
        <w:rPr>
          <w:noProof/>
        </w:rPr>
        <w:t xml:space="preserve"> règlement que certaines aides ne </w:t>
      </w:r>
      <w:r w:rsidRPr="00CF3297">
        <w:rPr>
          <w:noProof/>
        </w:rPr>
        <w:t>remplissent</w:t>
      </w:r>
      <w:r w:rsidRPr="00727E44">
        <w:rPr>
          <w:noProof/>
        </w:rPr>
        <w:t xml:space="preserve"> pas tous les critères de l'article </w:t>
      </w:r>
      <w:r>
        <w:rPr>
          <w:noProof/>
        </w:rPr>
        <w:t>107</w:t>
      </w:r>
      <w:r w:rsidRPr="00727E44">
        <w:rPr>
          <w:noProof/>
        </w:rPr>
        <w:t xml:space="preserve">, paragraphe 1, du </w:t>
      </w:r>
      <w:r>
        <w:rPr>
          <w:noProof/>
        </w:rPr>
        <w:t xml:space="preserve">TFUE </w:t>
      </w:r>
      <w:r w:rsidRPr="00727E44">
        <w:rPr>
          <w:noProof/>
        </w:rPr>
        <w:t xml:space="preserve">et qu'elles sont donc exemptées de la procédure de notification prévue à l'article </w:t>
      </w:r>
      <w:r>
        <w:rPr>
          <w:noProof/>
        </w:rPr>
        <w:t>108</w:t>
      </w:r>
      <w:r w:rsidRPr="00727E44">
        <w:rPr>
          <w:noProof/>
        </w:rPr>
        <w:t>, paragraphe</w:t>
      </w:r>
      <w:r>
        <w:rPr>
          <w:noProof/>
        </w:rPr>
        <w:t> </w:t>
      </w:r>
      <w:r w:rsidRPr="00727E44">
        <w:rPr>
          <w:noProof/>
        </w:rPr>
        <w:t xml:space="preserve">3, du </w:t>
      </w:r>
      <w:r>
        <w:rPr>
          <w:noProof/>
        </w:rPr>
        <w:t xml:space="preserve">TFUE </w:t>
      </w:r>
      <w:r w:rsidRPr="00727E44">
        <w:rPr>
          <w:noProof/>
        </w:rPr>
        <w:t>pour autant que les aides accordées à une même entreprise sur une période donnée ne dépassent pas un montant fixe déterminé</w:t>
      </w:r>
      <w:r>
        <w:rPr>
          <w:noProof/>
        </w:rPr>
        <w:t>.</w:t>
      </w:r>
    </w:p>
    <w:p w:rsidR="007102DA" w:rsidRPr="00743546" w:rsidRDefault="007102DA" w:rsidP="00DE6E25">
      <w:pPr>
        <w:pStyle w:val="ManualConsidrant"/>
        <w:rPr>
          <w:noProof/>
        </w:rPr>
      </w:pPr>
      <w:r w:rsidRPr="00D5504D">
        <w:rPr>
          <w:noProof/>
        </w:rPr>
        <w:t>(23)</w:t>
      </w:r>
      <w:r w:rsidRPr="00D5504D">
        <w:rPr>
          <w:noProof/>
        </w:rPr>
        <w:tab/>
      </w:r>
      <w:r>
        <w:rPr>
          <w:noProof/>
        </w:rPr>
        <w:t>L</w:t>
      </w:r>
      <w:r w:rsidRPr="00727E44">
        <w:rPr>
          <w:noProof/>
        </w:rPr>
        <w:t xml:space="preserve">'article </w:t>
      </w:r>
      <w:r>
        <w:rPr>
          <w:noProof/>
        </w:rPr>
        <w:t>108</w:t>
      </w:r>
      <w:r w:rsidRPr="00727E44">
        <w:rPr>
          <w:noProof/>
        </w:rPr>
        <w:t xml:space="preserve">, paragraphe 1, du </w:t>
      </w:r>
      <w:r>
        <w:rPr>
          <w:noProof/>
        </w:rPr>
        <w:t>TFUE</w:t>
      </w:r>
      <w:r w:rsidR="00DE6E25">
        <w:rPr>
          <w:noProof/>
        </w:rPr>
        <w:t xml:space="preserve"> </w:t>
      </w:r>
      <w:r w:rsidRPr="00727E44">
        <w:rPr>
          <w:noProof/>
        </w:rPr>
        <w:t>fait obligation à la Commission de procéder avec les États membres à l'examen permanent de tous les régimes d'aides existants</w:t>
      </w:r>
      <w:r>
        <w:rPr>
          <w:noProof/>
        </w:rPr>
        <w:t xml:space="preserve">. Il </w:t>
      </w:r>
      <w:r w:rsidRPr="00727E44">
        <w:rPr>
          <w:noProof/>
        </w:rPr>
        <w:t xml:space="preserve">est souhaitable à cet effet, et </w:t>
      </w:r>
      <w:r w:rsidRPr="00CF3297">
        <w:rPr>
          <w:noProof/>
        </w:rPr>
        <w:t>afin</w:t>
      </w:r>
      <w:r>
        <w:rPr>
          <w:noProof/>
        </w:rPr>
        <w:t xml:space="preserve"> </w:t>
      </w:r>
      <w:r w:rsidRPr="00727E44">
        <w:rPr>
          <w:noProof/>
        </w:rPr>
        <w:t xml:space="preserve">d'assurer le niveau de transparence le plus élevé possible ainsi qu'un contrôle approprié, que la Commission veille à l'instauration d'un système fiable d'enregistrement et de compilation des informations relatives à l'application des règlements qu'elle </w:t>
      </w:r>
      <w:r w:rsidR="00EC6506">
        <w:rPr>
          <w:noProof/>
        </w:rPr>
        <w:t>adopt</w:t>
      </w:r>
      <w:r w:rsidRPr="00727E44">
        <w:rPr>
          <w:noProof/>
        </w:rPr>
        <w:t>e, auxquelles tous les États membres aient accès, et reçoive toutes les informations nécessaires des États membres sur la mise en œuvre des aides exemptées de l'obligation de notification, susceptibles de faire l'objet d'un examen et d'une évaluation avec les États membres au sein</w:t>
      </w:r>
      <w:r>
        <w:rPr>
          <w:noProof/>
        </w:rPr>
        <w:t xml:space="preserve"> du</w:t>
      </w:r>
      <w:r w:rsidRPr="00727E44">
        <w:rPr>
          <w:noProof/>
        </w:rPr>
        <w:t>comité consultatif</w:t>
      </w:r>
      <w:r>
        <w:rPr>
          <w:noProof/>
        </w:rPr>
        <w:t xml:space="preserve"> en matière d'aides d'État. Il </w:t>
      </w:r>
      <w:r w:rsidRPr="00727E44">
        <w:rPr>
          <w:noProof/>
        </w:rPr>
        <w:t>est également souhaitable, à cet effet, que la Commission puisse exiger la fourniture de ces informations dans la mesure nécessaire pour garantir l'efficacité de cet examen</w:t>
      </w:r>
      <w:r>
        <w:rPr>
          <w:noProof/>
        </w:rPr>
        <w:t>.</w:t>
      </w:r>
    </w:p>
    <w:p w:rsidR="007102DA" w:rsidRPr="00B06BB9" w:rsidRDefault="00DE6E25" w:rsidP="00A0728F">
      <w:pPr>
        <w:pStyle w:val="ManualConsidrant"/>
        <w:rPr>
          <w:noProof/>
        </w:rPr>
      </w:pPr>
      <w:r>
        <w:rPr>
          <w:noProof/>
        </w:rPr>
        <w:br w:type="page"/>
      </w:r>
      <w:r w:rsidR="007102DA" w:rsidRPr="00D5504D">
        <w:rPr>
          <w:noProof/>
        </w:rPr>
        <w:lastRenderedPageBreak/>
        <w:t>(24)</w:t>
      </w:r>
      <w:r w:rsidR="007102DA" w:rsidRPr="00D5504D">
        <w:rPr>
          <w:noProof/>
        </w:rPr>
        <w:tab/>
      </w:r>
      <w:r w:rsidR="007102DA" w:rsidRPr="00B06BB9">
        <w:rPr>
          <w:noProof/>
        </w:rPr>
        <w:t>Il convient que les États membres transmettent des résumés des informations relatives aux aides qu</w:t>
      </w:r>
      <w:r w:rsidR="007102DA">
        <w:rPr>
          <w:noProof/>
        </w:rPr>
        <w:t>'</w:t>
      </w:r>
      <w:r w:rsidR="007102DA" w:rsidRPr="00B06BB9">
        <w:rPr>
          <w:noProof/>
        </w:rPr>
        <w:t>ils ont mises en œuvre et qui sont couvertes par un règlement d</w:t>
      </w:r>
      <w:r w:rsidR="007102DA">
        <w:rPr>
          <w:noProof/>
        </w:rPr>
        <w:t>'</w:t>
      </w:r>
      <w:r w:rsidR="007102DA" w:rsidRPr="00B06BB9">
        <w:rPr>
          <w:noProof/>
        </w:rPr>
        <w:t>exemption. La publication de ces résumés est nécessaire pour garantir la transparence des mesures adoptées par les États membres. Compte tenu du développement des moyens de communication électronique, la publication de ces résumés sur le site internet de la Commission est une méthode rapide et efficace qui assure</w:t>
      </w:r>
      <w:r w:rsidR="00A0728F">
        <w:rPr>
          <w:noProof/>
        </w:rPr>
        <w:t xml:space="preserve"> </w:t>
      </w:r>
      <w:r w:rsidR="007102DA" w:rsidRPr="00B06BB9">
        <w:rPr>
          <w:noProof/>
        </w:rPr>
        <w:t>la transparence au bénéfice des tiers intéressés. Il convient dès lors de publier lesdits résumés sur le site internet de la Commission.</w:t>
      </w:r>
    </w:p>
    <w:p w:rsidR="007102DA" w:rsidRDefault="007102DA" w:rsidP="00066BB3">
      <w:pPr>
        <w:pStyle w:val="ManualConsidrant"/>
        <w:rPr>
          <w:noProof/>
        </w:rPr>
      </w:pPr>
      <w:r w:rsidRPr="00D5504D">
        <w:rPr>
          <w:noProof/>
        </w:rPr>
        <w:t>(25)</w:t>
      </w:r>
      <w:r w:rsidR="00644FE4">
        <w:rPr>
          <w:noProof/>
        </w:rPr>
        <w:tab/>
      </w:r>
      <w:r>
        <w:rPr>
          <w:noProof/>
        </w:rPr>
        <w:t>Le</w:t>
      </w:r>
      <w:r w:rsidR="00A0728F">
        <w:rPr>
          <w:noProof/>
        </w:rPr>
        <w:t xml:space="preserve"> </w:t>
      </w:r>
      <w:r w:rsidRPr="00727E44">
        <w:rPr>
          <w:noProof/>
        </w:rPr>
        <w:t>contrôle de l'octroi des aides fait intervenir toute une série de considérations factuelles, juridiques et économiques très complexes dans un environnement en évolution constante</w:t>
      </w:r>
      <w:r>
        <w:rPr>
          <w:noProof/>
        </w:rPr>
        <w:t xml:space="preserve">. Il </w:t>
      </w:r>
      <w:r w:rsidRPr="00727E44">
        <w:rPr>
          <w:noProof/>
        </w:rPr>
        <w:t>convient, par conséquent, que la Commission revoie régulièrement les catégories d'aides qui doivent être exemptées de l'obligation de notification</w:t>
      </w:r>
      <w:r>
        <w:rPr>
          <w:noProof/>
        </w:rPr>
        <w:t>.</w:t>
      </w:r>
      <w:r w:rsidRPr="00727E44">
        <w:rPr>
          <w:noProof/>
        </w:rPr>
        <w:t xml:space="preserve"> </w:t>
      </w:r>
      <w:r>
        <w:rPr>
          <w:noProof/>
        </w:rPr>
        <w:t xml:space="preserve">La </w:t>
      </w:r>
      <w:r w:rsidRPr="00727E44">
        <w:rPr>
          <w:noProof/>
        </w:rPr>
        <w:t xml:space="preserve">Commission devrait pouvoir abroger ou modifier les règlements qu'elle a </w:t>
      </w:r>
      <w:r>
        <w:rPr>
          <w:noProof/>
        </w:rPr>
        <w:t>adoptés</w:t>
      </w:r>
      <w:r w:rsidRPr="00727E44">
        <w:rPr>
          <w:noProof/>
        </w:rPr>
        <w:t xml:space="preserve"> en vertu du présent règlement lorsque tout élément important ayant motivé leur adoption se trouve modifié ou lorsque le développement progressif ou le fonctionnement du marché </w:t>
      </w:r>
      <w:r>
        <w:rPr>
          <w:noProof/>
        </w:rPr>
        <w:t xml:space="preserve">intérieur </w:t>
      </w:r>
      <w:r w:rsidRPr="00727E44">
        <w:rPr>
          <w:noProof/>
        </w:rPr>
        <w:t>l'exige</w:t>
      </w:r>
      <w:r>
        <w:rPr>
          <w:noProof/>
        </w:rPr>
        <w:t>.</w:t>
      </w:r>
    </w:p>
    <w:p w:rsidR="007102DA" w:rsidRDefault="007102DA" w:rsidP="007102DA">
      <w:pPr>
        <w:pStyle w:val="ManualConsidrant"/>
        <w:rPr>
          <w:noProof/>
        </w:rPr>
      </w:pPr>
      <w:r w:rsidRPr="00D5504D">
        <w:rPr>
          <w:noProof/>
        </w:rPr>
        <w:t>(26)</w:t>
      </w:r>
      <w:r w:rsidRPr="00D5504D">
        <w:rPr>
          <w:noProof/>
        </w:rPr>
        <w:tab/>
      </w:r>
      <w:r>
        <w:rPr>
          <w:noProof/>
        </w:rPr>
        <w:t xml:space="preserve">Il convient que la </w:t>
      </w:r>
      <w:r w:rsidRPr="00727E44">
        <w:rPr>
          <w:noProof/>
        </w:rPr>
        <w:t>Commission, en li</w:t>
      </w:r>
      <w:r>
        <w:rPr>
          <w:noProof/>
        </w:rPr>
        <w:t>en</w:t>
      </w:r>
      <w:r w:rsidRPr="00727E44">
        <w:rPr>
          <w:noProof/>
        </w:rPr>
        <w:t xml:space="preserve"> étroit et constant avec les États membres, puisse définir </w:t>
      </w:r>
      <w:r w:rsidRPr="001D67A6">
        <w:rPr>
          <w:noProof/>
        </w:rPr>
        <w:t>avec</w:t>
      </w:r>
      <w:r w:rsidRPr="00727E44">
        <w:rPr>
          <w:noProof/>
        </w:rPr>
        <w:t xml:space="preserve"> précision la portée de ces règlements et les conditions dont ils sont assortis </w:t>
      </w:r>
      <w:r>
        <w:rPr>
          <w:noProof/>
        </w:rPr>
        <w:t>A</w:t>
      </w:r>
      <w:r w:rsidRPr="00727E44">
        <w:rPr>
          <w:noProof/>
        </w:rPr>
        <w:t xml:space="preserve">fin de permettre cette coopération entre la Commission et les autorités compétentes des États membres, il convient </w:t>
      </w:r>
      <w:r>
        <w:rPr>
          <w:noProof/>
        </w:rPr>
        <w:t xml:space="preserve">que le </w:t>
      </w:r>
      <w:r w:rsidRPr="00727E44">
        <w:rPr>
          <w:noProof/>
        </w:rPr>
        <w:t xml:space="preserve">comité consultatif en matière d'aides d'État </w:t>
      </w:r>
      <w:r>
        <w:rPr>
          <w:noProof/>
        </w:rPr>
        <w:t xml:space="preserve">soit consulté </w:t>
      </w:r>
      <w:r w:rsidRPr="00727E44">
        <w:rPr>
          <w:noProof/>
        </w:rPr>
        <w:t>avant l'adoption, par la Commission, de règlements sur la base du présent règlement</w:t>
      </w:r>
      <w:r>
        <w:rPr>
          <w:noProof/>
        </w:rPr>
        <w:t>.</w:t>
      </w:r>
    </w:p>
    <w:p w:rsidR="007102DA" w:rsidRDefault="00A0728F" w:rsidP="00A0728F">
      <w:pPr>
        <w:pStyle w:val="ManualConsidrant"/>
        <w:rPr>
          <w:noProof/>
        </w:rPr>
      </w:pPr>
      <w:r>
        <w:rPr>
          <w:noProof/>
        </w:rPr>
        <w:br w:type="page"/>
      </w:r>
      <w:r w:rsidR="007102DA" w:rsidRPr="00D5504D">
        <w:rPr>
          <w:noProof/>
        </w:rPr>
        <w:lastRenderedPageBreak/>
        <w:t>(27)</w:t>
      </w:r>
      <w:r w:rsidR="007102DA" w:rsidRPr="00D5504D">
        <w:rPr>
          <w:noProof/>
        </w:rPr>
        <w:tab/>
      </w:r>
      <w:r w:rsidR="007102DA">
        <w:rPr>
          <w:noProof/>
        </w:rPr>
        <w:t>L</w:t>
      </w:r>
      <w:r w:rsidR="007102DA" w:rsidRPr="004F07A4">
        <w:rPr>
          <w:noProof/>
        </w:rPr>
        <w:t>es projets de règlement et autres documents que doit examiner le comité consultatif en matière d</w:t>
      </w:r>
      <w:r w:rsidR="007102DA">
        <w:rPr>
          <w:noProof/>
        </w:rPr>
        <w:t>'</w:t>
      </w:r>
      <w:r w:rsidR="007102DA" w:rsidRPr="004F07A4">
        <w:rPr>
          <w:noProof/>
        </w:rPr>
        <w:t>aides d</w:t>
      </w:r>
      <w:r w:rsidR="007102DA">
        <w:rPr>
          <w:noProof/>
        </w:rPr>
        <w:t>'</w:t>
      </w:r>
      <w:r w:rsidR="007102DA" w:rsidRPr="004F07A4">
        <w:rPr>
          <w:noProof/>
        </w:rPr>
        <w:t xml:space="preserve">État conformément au </w:t>
      </w:r>
      <w:r w:rsidR="007102DA">
        <w:rPr>
          <w:noProof/>
        </w:rPr>
        <w:t>présent</w:t>
      </w:r>
      <w:r w:rsidR="007102DA" w:rsidRPr="009521A7">
        <w:rPr>
          <w:noProof/>
        </w:rPr>
        <w:t xml:space="preserve"> </w:t>
      </w:r>
      <w:r w:rsidR="007102DA" w:rsidRPr="004F07A4">
        <w:rPr>
          <w:noProof/>
        </w:rPr>
        <w:t xml:space="preserve">règlement devraient être publiés sur le site internet de la Commission afin de garantir </w:t>
      </w:r>
      <w:r w:rsidR="007102DA">
        <w:rPr>
          <w:noProof/>
        </w:rPr>
        <w:t>la</w:t>
      </w:r>
      <w:r>
        <w:rPr>
          <w:noProof/>
        </w:rPr>
        <w:t xml:space="preserve"> </w:t>
      </w:r>
      <w:r w:rsidR="007102DA" w:rsidRPr="004F07A4">
        <w:rPr>
          <w:noProof/>
        </w:rPr>
        <w:t>transparence.</w:t>
      </w:r>
    </w:p>
    <w:p w:rsidR="007102DA" w:rsidRPr="004F07A4" w:rsidRDefault="007102DA" w:rsidP="00066BB3">
      <w:pPr>
        <w:pStyle w:val="ManualConsidrant"/>
        <w:rPr>
          <w:noProof/>
        </w:rPr>
      </w:pPr>
      <w:r w:rsidRPr="00D5504D">
        <w:rPr>
          <w:noProof/>
        </w:rPr>
        <w:t>(28)</w:t>
      </w:r>
      <w:r w:rsidRPr="00D5504D">
        <w:rPr>
          <w:noProof/>
        </w:rPr>
        <w:tab/>
      </w:r>
      <w:r>
        <w:rPr>
          <w:noProof/>
        </w:rPr>
        <w:t>Il convient que l</w:t>
      </w:r>
      <w:r w:rsidRPr="004F07A4">
        <w:rPr>
          <w:noProof/>
        </w:rPr>
        <w:t>e comité consultatif en matière d</w:t>
      </w:r>
      <w:r>
        <w:rPr>
          <w:noProof/>
        </w:rPr>
        <w:t>'</w:t>
      </w:r>
      <w:r w:rsidRPr="004F07A4">
        <w:rPr>
          <w:noProof/>
        </w:rPr>
        <w:t>aides d</w:t>
      </w:r>
      <w:r>
        <w:rPr>
          <w:noProof/>
        </w:rPr>
        <w:t>'</w:t>
      </w:r>
      <w:r w:rsidRPr="004F07A4">
        <w:rPr>
          <w:noProof/>
        </w:rPr>
        <w:t xml:space="preserve">État </w:t>
      </w:r>
      <w:r>
        <w:rPr>
          <w:noProof/>
        </w:rPr>
        <w:t xml:space="preserve">soit </w:t>
      </w:r>
      <w:r w:rsidRPr="004F07A4">
        <w:rPr>
          <w:noProof/>
        </w:rPr>
        <w:t>consulté avant la publication d</w:t>
      </w:r>
      <w:r>
        <w:rPr>
          <w:noProof/>
        </w:rPr>
        <w:t>'</w:t>
      </w:r>
      <w:r w:rsidRPr="004F07A4">
        <w:rPr>
          <w:noProof/>
        </w:rPr>
        <w:t>un projet de règlement.</w:t>
      </w:r>
      <w:r>
        <w:rPr>
          <w:noProof/>
        </w:rPr>
        <w:t xml:space="preserve"> </w:t>
      </w:r>
      <w:r w:rsidR="0031505A">
        <w:rPr>
          <w:noProof/>
        </w:rPr>
        <w:t>Toutefois, d</w:t>
      </w:r>
      <w:r w:rsidR="0031505A" w:rsidRPr="004F07A4">
        <w:rPr>
          <w:noProof/>
        </w:rPr>
        <w:t xml:space="preserve">ans </w:t>
      </w:r>
      <w:r w:rsidRPr="004F07A4">
        <w:rPr>
          <w:noProof/>
        </w:rPr>
        <w:t>un souci de transparence, le projet de règlement devrait être publié sur le site internet de l</w:t>
      </w:r>
      <w:r>
        <w:rPr>
          <w:noProof/>
        </w:rPr>
        <w:t>a Commission au moment où celle</w:t>
      </w:r>
      <w:r>
        <w:rPr>
          <w:noProof/>
        </w:rPr>
        <w:noBreakHyphen/>
      </w:r>
      <w:r w:rsidRPr="004F07A4">
        <w:rPr>
          <w:noProof/>
        </w:rPr>
        <w:t>ci consulte le comité consultatif pour la première fois</w:t>
      </w:r>
      <w:r>
        <w:rPr>
          <w:noProof/>
        </w:rPr>
        <w:t>,</w:t>
      </w:r>
    </w:p>
    <w:p w:rsidR="007102DA" w:rsidRPr="00727E44" w:rsidRDefault="007102DA" w:rsidP="0031505A">
      <w:pPr>
        <w:pStyle w:val="Formuledadoption"/>
        <w:rPr>
          <w:noProof/>
        </w:rPr>
      </w:pPr>
      <w:r w:rsidRPr="00727E44">
        <w:rPr>
          <w:noProof/>
        </w:rPr>
        <w:t xml:space="preserve">A </w:t>
      </w:r>
      <w:r w:rsidR="0031505A" w:rsidRPr="00727E44">
        <w:rPr>
          <w:noProof/>
        </w:rPr>
        <w:t>A</w:t>
      </w:r>
      <w:r w:rsidR="0031505A">
        <w:rPr>
          <w:noProof/>
        </w:rPr>
        <w:t>DOP</w:t>
      </w:r>
      <w:r w:rsidR="0031505A" w:rsidRPr="00727E44">
        <w:rPr>
          <w:noProof/>
        </w:rPr>
        <w:t xml:space="preserve">TÉ </w:t>
      </w:r>
      <w:r w:rsidRPr="00727E44">
        <w:rPr>
          <w:noProof/>
        </w:rPr>
        <w:t>LE PRÉSENT RÈGLEMENT:</w:t>
      </w:r>
    </w:p>
    <w:p w:rsidR="007102DA" w:rsidRPr="00066BB3" w:rsidRDefault="00066BB3" w:rsidP="00066BB3">
      <w:pPr>
        <w:pStyle w:val="Titrearticle"/>
      </w:pPr>
      <w:r>
        <w:rPr>
          <w:noProof/>
        </w:rPr>
        <w:br w:type="page"/>
      </w:r>
      <w:r w:rsidR="007102DA" w:rsidRPr="00066BB3">
        <w:lastRenderedPageBreak/>
        <w:t>Article premier</w:t>
      </w:r>
      <w:r>
        <w:br/>
      </w:r>
      <w:r w:rsidR="007102DA" w:rsidRPr="00066BB3">
        <w:t>Exemptions par catégorie</w:t>
      </w:r>
    </w:p>
    <w:p w:rsidR="007102DA" w:rsidRPr="00727E44" w:rsidRDefault="007102DA" w:rsidP="00A0728F">
      <w:pPr>
        <w:pStyle w:val="ManualNumPar1"/>
        <w:rPr>
          <w:noProof/>
        </w:rPr>
      </w:pPr>
      <w:r w:rsidRPr="00727E44">
        <w:rPr>
          <w:noProof/>
        </w:rPr>
        <w:t>1.</w:t>
      </w:r>
      <w:r w:rsidR="00066BB3">
        <w:rPr>
          <w:noProof/>
        </w:rPr>
        <w:tab/>
      </w:r>
      <w:r w:rsidRPr="00727E44">
        <w:rPr>
          <w:noProof/>
        </w:rPr>
        <w:t xml:space="preserve">La Commission peut, par voie de règlements </w:t>
      </w:r>
      <w:r w:rsidR="0031505A" w:rsidRPr="00727E44">
        <w:rPr>
          <w:noProof/>
        </w:rPr>
        <w:t>a</w:t>
      </w:r>
      <w:r w:rsidR="0031505A">
        <w:rPr>
          <w:noProof/>
        </w:rPr>
        <w:t>dop</w:t>
      </w:r>
      <w:r w:rsidR="0031505A" w:rsidRPr="00727E44">
        <w:rPr>
          <w:noProof/>
        </w:rPr>
        <w:t xml:space="preserve">tés </w:t>
      </w:r>
      <w:r w:rsidRPr="00727E44">
        <w:rPr>
          <w:noProof/>
        </w:rPr>
        <w:t xml:space="preserve">en conformité avec la procédure définie à l'article 8 du présent règlement et avec l'article </w:t>
      </w:r>
      <w:r>
        <w:rPr>
          <w:noProof/>
        </w:rPr>
        <w:t xml:space="preserve">107 </w:t>
      </w:r>
      <w:r w:rsidRPr="00727E44">
        <w:rPr>
          <w:noProof/>
        </w:rPr>
        <w:t xml:space="preserve">du </w:t>
      </w:r>
      <w:r>
        <w:rPr>
          <w:noProof/>
        </w:rPr>
        <w:t>TFUE</w:t>
      </w:r>
      <w:r w:rsidRPr="00727E44">
        <w:rPr>
          <w:noProof/>
        </w:rPr>
        <w:t xml:space="preserve">, déclarer que les catégories d'aides suivantes sont compatibles avec le marché </w:t>
      </w:r>
      <w:r w:rsidR="00A0728F">
        <w:rPr>
          <w:noProof/>
        </w:rPr>
        <w:t xml:space="preserve">intérieur </w:t>
      </w:r>
      <w:r w:rsidRPr="00727E44">
        <w:rPr>
          <w:noProof/>
        </w:rPr>
        <w:t xml:space="preserve">et ne sont pas soumises à l'obligation de notification prévue à l'article </w:t>
      </w:r>
      <w:r>
        <w:rPr>
          <w:noProof/>
        </w:rPr>
        <w:t>108</w:t>
      </w:r>
      <w:r w:rsidRPr="00727E44">
        <w:rPr>
          <w:noProof/>
        </w:rPr>
        <w:t>, paragraphe</w:t>
      </w:r>
      <w:r w:rsidR="00A0728F">
        <w:rPr>
          <w:noProof/>
        </w:rPr>
        <w:t xml:space="preserve"> </w:t>
      </w:r>
      <w:r w:rsidRPr="00727E44">
        <w:rPr>
          <w:noProof/>
        </w:rPr>
        <w:t xml:space="preserve">3, du </w:t>
      </w:r>
      <w:r>
        <w:rPr>
          <w:noProof/>
        </w:rPr>
        <w:t>TFUE</w:t>
      </w:r>
      <w:r w:rsidRPr="00727E44">
        <w:rPr>
          <w:noProof/>
        </w:rPr>
        <w:t>:</w:t>
      </w:r>
    </w:p>
    <w:p w:rsidR="007102DA" w:rsidRPr="00727E44" w:rsidRDefault="007102DA" w:rsidP="00066BB3">
      <w:pPr>
        <w:pStyle w:val="Point1"/>
        <w:rPr>
          <w:noProof/>
        </w:rPr>
      </w:pPr>
      <w:r w:rsidRPr="00727E44">
        <w:rPr>
          <w:noProof/>
        </w:rPr>
        <w:t>a)</w:t>
      </w:r>
      <w:r>
        <w:rPr>
          <w:noProof/>
        </w:rPr>
        <w:tab/>
      </w:r>
      <w:r w:rsidRPr="00727E44">
        <w:rPr>
          <w:noProof/>
        </w:rPr>
        <w:t>les aides en faveur:</w:t>
      </w:r>
    </w:p>
    <w:p w:rsidR="007102DA" w:rsidRPr="00727E44" w:rsidRDefault="007102DA" w:rsidP="00066BB3">
      <w:pPr>
        <w:pStyle w:val="Point2"/>
        <w:rPr>
          <w:noProof/>
        </w:rPr>
      </w:pPr>
      <w:r>
        <w:rPr>
          <w:noProof/>
        </w:rPr>
        <w:t>i)</w:t>
      </w:r>
      <w:r>
        <w:rPr>
          <w:noProof/>
        </w:rPr>
        <w:tab/>
      </w:r>
      <w:r w:rsidRPr="00727E44">
        <w:rPr>
          <w:noProof/>
        </w:rPr>
        <w:t>des petites et moyennes entreprises;</w:t>
      </w:r>
    </w:p>
    <w:p w:rsidR="007102DA" w:rsidRPr="00727E44" w:rsidRDefault="007102DA" w:rsidP="00066BB3">
      <w:pPr>
        <w:pStyle w:val="Point2"/>
        <w:rPr>
          <w:noProof/>
        </w:rPr>
      </w:pPr>
      <w:r>
        <w:rPr>
          <w:noProof/>
        </w:rPr>
        <w:t>ii)</w:t>
      </w:r>
      <w:r>
        <w:rPr>
          <w:noProof/>
        </w:rPr>
        <w:tab/>
      </w:r>
      <w:r w:rsidRPr="00727E44">
        <w:rPr>
          <w:noProof/>
        </w:rPr>
        <w:t>de la recherche, du développement et de l</w:t>
      </w:r>
      <w:r>
        <w:rPr>
          <w:noProof/>
        </w:rPr>
        <w:t>'</w:t>
      </w:r>
      <w:r w:rsidRPr="00727E44">
        <w:rPr>
          <w:noProof/>
        </w:rPr>
        <w:t>innovation;</w:t>
      </w:r>
    </w:p>
    <w:p w:rsidR="007102DA" w:rsidRPr="00727E44" w:rsidRDefault="007102DA" w:rsidP="00066BB3">
      <w:pPr>
        <w:pStyle w:val="Point2"/>
        <w:rPr>
          <w:noProof/>
        </w:rPr>
      </w:pPr>
      <w:r>
        <w:rPr>
          <w:noProof/>
        </w:rPr>
        <w:t>iii)</w:t>
      </w:r>
      <w:r>
        <w:rPr>
          <w:noProof/>
        </w:rPr>
        <w:tab/>
      </w:r>
      <w:r w:rsidRPr="00727E44">
        <w:rPr>
          <w:noProof/>
        </w:rPr>
        <w:t>de la protection de l</w:t>
      </w:r>
      <w:r>
        <w:rPr>
          <w:noProof/>
        </w:rPr>
        <w:t>'</w:t>
      </w:r>
      <w:r w:rsidRPr="00727E44">
        <w:rPr>
          <w:noProof/>
        </w:rPr>
        <w:t>environnement;</w:t>
      </w:r>
    </w:p>
    <w:p w:rsidR="007102DA" w:rsidRDefault="007102DA" w:rsidP="00066BB3">
      <w:pPr>
        <w:pStyle w:val="Point2"/>
        <w:rPr>
          <w:noProof/>
        </w:rPr>
      </w:pPr>
      <w:r>
        <w:rPr>
          <w:noProof/>
        </w:rPr>
        <w:t>iv)</w:t>
      </w:r>
      <w:r>
        <w:rPr>
          <w:noProof/>
        </w:rPr>
        <w:tab/>
      </w:r>
      <w:r w:rsidRPr="00727E44">
        <w:rPr>
          <w:noProof/>
        </w:rPr>
        <w:t>de l</w:t>
      </w:r>
      <w:r>
        <w:rPr>
          <w:noProof/>
        </w:rPr>
        <w:t>'</w:t>
      </w:r>
      <w:r w:rsidRPr="00727E44">
        <w:rPr>
          <w:noProof/>
        </w:rPr>
        <w:t>emploi et de la formation;</w:t>
      </w:r>
    </w:p>
    <w:p w:rsidR="007102DA" w:rsidRPr="00727E44" w:rsidRDefault="007102DA" w:rsidP="00066BB3">
      <w:pPr>
        <w:pStyle w:val="Point2"/>
        <w:rPr>
          <w:noProof/>
        </w:rPr>
      </w:pPr>
      <w:r>
        <w:rPr>
          <w:noProof/>
        </w:rPr>
        <w:t>v)</w:t>
      </w:r>
      <w:r>
        <w:rPr>
          <w:noProof/>
        </w:rPr>
        <w:tab/>
      </w:r>
      <w:r w:rsidRPr="00727E44">
        <w:rPr>
          <w:noProof/>
        </w:rPr>
        <w:t>de la culture et de la conservation du patrimoine;</w:t>
      </w:r>
    </w:p>
    <w:p w:rsidR="007102DA" w:rsidRPr="00727E44" w:rsidRDefault="007102DA" w:rsidP="00066BB3">
      <w:pPr>
        <w:pStyle w:val="Point2"/>
        <w:rPr>
          <w:noProof/>
        </w:rPr>
      </w:pPr>
      <w:r>
        <w:rPr>
          <w:noProof/>
        </w:rPr>
        <w:t>vi)</w:t>
      </w:r>
      <w:r>
        <w:rPr>
          <w:noProof/>
        </w:rPr>
        <w:tab/>
      </w:r>
      <w:r w:rsidRPr="00727E44">
        <w:rPr>
          <w:noProof/>
        </w:rPr>
        <w:t>de la réparation des dommages causés par des catastrophes naturelles;</w:t>
      </w:r>
    </w:p>
    <w:p w:rsidR="007102DA" w:rsidRPr="00727E44" w:rsidRDefault="007102DA" w:rsidP="00066BB3">
      <w:pPr>
        <w:pStyle w:val="Point2"/>
        <w:rPr>
          <w:noProof/>
        </w:rPr>
      </w:pPr>
      <w:r>
        <w:rPr>
          <w:noProof/>
        </w:rPr>
        <w:t>vii)</w:t>
      </w:r>
      <w:r>
        <w:rPr>
          <w:noProof/>
        </w:rPr>
        <w:tab/>
      </w:r>
      <w:r w:rsidRPr="00727E44">
        <w:rPr>
          <w:noProof/>
        </w:rPr>
        <w:t>de la réparation des dommages causés par certaines conditions climatiques défavorables dans le secteur de la pêche;</w:t>
      </w:r>
    </w:p>
    <w:p w:rsidR="007102DA" w:rsidRPr="00727E44" w:rsidRDefault="007102DA" w:rsidP="00066BB3">
      <w:pPr>
        <w:pStyle w:val="Point2"/>
        <w:rPr>
          <w:noProof/>
        </w:rPr>
      </w:pPr>
      <w:r>
        <w:rPr>
          <w:noProof/>
        </w:rPr>
        <w:t>viii)</w:t>
      </w:r>
      <w:r>
        <w:rPr>
          <w:noProof/>
        </w:rPr>
        <w:tab/>
      </w:r>
      <w:r w:rsidRPr="00727E44">
        <w:rPr>
          <w:noProof/>
        </w:rPr>
        <w:t>du secteur forestier;</w:t>
      </w:r>
    </w:p>
    <w:p w:rsidR="007102DA" w:rsidRPr="00727E44" w:rsidRDefault="007102DA" w:rsidP="00066BB3">
      <w:pPr>
        <w:pStyle w:val="Point2"/>
        <w:rPr>
          <w:noProof/>
        </w:rPr>
      </w:pPr>
      <w:r>
        <w:rPr>
          <w:noProof/>
        </w:rPr>
        <w:t>ix)</w:t>
      </w:r>
      <w:r>
        <w:rPr>
          <w:noProof/>
        </w:rPr>
        <w:tab/>
      </w:r>
      <w:r w:rsidRPr="00727E44">
        <w:rPr>
          <w:noProof/>
        </w:rPr>
        <w:t>de la promotion des produits du secteur alimentaire non énumérés à l</w:t>
      </w:r>
      <w:r>
        <w:rPr>
          <w:noProof/>
        </w:rPr>
        <w:t>'</w:t>
      </w:r>
      <w:r w:rsidRPr="00727E44">
        <w:rPr>
          <w:noProof/>
        </w:rPr>
        <w:t>annexe I du TFUE;</w:t>
      </w:r>
    </w:p>
    <w:p w:rsidR="007102DA" w:rsidRPr="00727E44" w:rsidRDefault="00980638" w:rsidP="00066BB3">
      <w:pPr>
        <w:pStyle w:val="Point2"/>
        <w:rPr>
          <w:noProof/>
        </w:rPr>
      </w:pPr>
      <w:r>
        <w:rPr>
          <w:noProof/>
        </w:rPr>
        <w:br w:type="page"/>
      </w:r>
      <w:r w:rsidR="007102DA">
        <w:rPr>
          <w:noProof/>
        </w:rPr>
        <w:lastRenderedPageBreak/>
        <w:t>x)</w:t>
      </w:r>
      <w:r w:rsidR="007102DA">
        <w:rPr>
          <w:noProof/>
        </w:rPr>
        <w:tab/>
      </w:r>
      <w:r w:rsidR="007102DA" w:rsidRPr="00727E44">
        <w:rPr>
          <w:noProof/>
        </w:rPr>
        <w:t>de la conservation des ressources biologiques marines et d</w:t>
      </w:r>
      <w:r w:rsidR="007102DA">
        <w:rPr>
          <w:noProof/>
        </w:rPr>
        <w:t>'</w:t>
      </w:r>
      <w:r w:rsidR="007102DA" w:rsidRPr="00727E44">
        <w:rPr>
          <w:noProof/>
        </w:rPr>
        <w:t>eau douce;</w:t>
      </w:r>
    </w:p>
    <w:p w:rsidR="007102DA" w:rsidRDefault="007102DA" w:rsidP="00066BB3">
      <w:pPr>
        <w:pStyle w:val="Point2"/>
        <w:rPr>
          <w:noProof/>
        </w:rPr>
      </w:pPr>
      <w:r>
        <w:rPr>
          <w:noProof/>
        </w:rPr>
        <w:t>xi)</w:t>
      </w:r>
      <w:r>
        <w:rPr>
          <w:noProof/>
        </w:rPr>
        <w:tab/>
      </w:r>
      <w:r w:rsidRPr="00727E44">
        <w:rPr>
          <w:noProof/>
        </w:rPr>
        <w:t>du sport;</w:t>
      </w:r>
    </w:p>
    <w:p w:rsidR="007102DA" w:rsidRPr="00727E44" w:rsidRDefault="007102DA" w:rsidP="00066BB3">
      <w:pPr>
        <w:pStyle w:val="Point2"/>
        <w:rPr>
          <w:noProof/>
        </w:rPr>
      </w:pPr>
      <w:r>
        <w:rPr>
          <w:noProof/>
        </w:rPr>
        <w:t>xii)</w:t>
      </w:r>
      <w:r>
        <w:rPr>
          <w:noProof/>
        </w:rPr>
        <w:tab/>
      </w:r>
      <w:r w:rsidRPr="00727E44">
        <w:rPr>
          <w:noProof/>
        </w:rPr>
        <w:t>des habitants de régions périphériques, pour le transport, si cette aide est à finalité sociale et est octroyée sans discrimination liée à l</w:t>
      </w:r>
      <w:r>
        <w:rPr>
          <w:noProof/>
        </w:rPr>
        <w:t>'</w:t>
      </w:r>
      <w:r w:rsidRPr="00727E44">
        <w:rPr>
          <w:noProof/>
        </w:rPr>
        <w:t>identité du transporteur;</w:t>
      </w:r>
    </w:p>
    <w:p w:rsidR="007102DA" w:rsidRPr="00727E44" w:rsidRDefault="007102DA" w:rsidP="00066BB3">
      <w:pPr>
        <w:pStyle w:val="Point2"/>
        <w:rPr>
          <w:noProof/>
        </w:rPr>
      </w:pPr>
      <w:r>
        <w:rPr>
          <w:noProof/>
        </w:rPr>
        <w:t>xiii)</w:t>
      </w:r>
      <w:r>
        <w:rPr>
          <w:noProof/>
        </w:rPr>
        <w:tab/>
      </w:r>
      <w:r w:rsidRPr="00727E44">
        <w:rPr>
          <w:noProof/>
        </w:rPr>
        <w:t>des infrastructures à haut débit de base, des petites infrastructures particulières couvrant les réseaux d</w:t>
      </w:r>
      <w:r>
        <w:rPr>
          <w:noProof/>
        </w:rPr>
        <w:t>'</w:t>
      </w:r>
      <w:r w:rsidRPr="00727E44">
        <w:rPr>
          <w:noProof/>
        </w:rPr>
        <w:t>accès de nouvelle génération, des travaux de génie civil liés au haut débit et des infrastructures passives à haut débit, dans les zones ne disposant pas d</w:t>
      </w:r>
      <w:r>
        <w:rPr>
          <w:noProof/>
        </w:rPr>
        <w:t>'</w:t>
      </w:r>
      <w:r w:rsidRPr="00727E44">
        <w:rPr>
          <w:noProof/>
        </w:rPr>
        <w:t>une telle infrastructure ou dans lesquelles il est peu probable qu</w:t>
      </w:r>
      <w:r>
        <w:rPr>
          <w:noProof/>
        </w:rPr>
        <w:t>'</w:t>
      </w:r>
      <w:r w:rsidRPr="00727E44">
        <w:rPr>
          <w:noProof/>
        </w:rPr>
        <w:t>une telle infrastructure soit déployée dans un futur proche;</w:t>
      </w:r>
    </w:p>
    <w:p w:rsidR="007102DA" w:rsidRPr="00727E44" w:rsidRDefault="007102DA" w:rsidP="00066BB3">
      <w:pPr>
        <w:pStyle w:val="Point2"/>
        <w:rPr>
          <w:noProof/>
        </w:rPr>
      </w:pPr>
      <w:r>
        <w:rPr>
          <w:noProof/>
        </w:rPr>
        <w:t>xiv)</w:t>
      </w:r>
      <w:r>
        <w:rPr>
          <w:noProof/>
        </w:rPr>
        <w:tab/>
      </w:r>
      <w:r w:rsidRPr="00727E44">
        <w:rPr>
          <w:noProof/>
        </w:rPr>
        <w:t>des infrastructures qui contribuent aux objectifs énumérés au</w:t>
      </w:r>
      <w:r w:rsidRPr="00CF3297">
        <w:rPr>
          <w:noProof/>
        </w:rPr>
        <w:t>x</w:t>
      </w:r>
      <w:r w:rsidRPr="00727E44">
        <w:rPr>
          <w:noProof/>
        </w:rPr>
        <w:t xml:space="preserve"> point</w:t>
      </w:r>
      <w:r>
        <w:rPr>
          <w:noProof/>
        </w:rPr>
        <w:t>s</w:t>
      </w:r>
      <w:r w:rsidRPr="00727E44">
        <w:rPr>
          <w:noProof/>
        </w:rPr>
        <w:t xml:space="preserve"> i) à xiii) </w:t>
      </w:r>
      <w:r>
        <w:rPr>
          <w:noProof/>
        </w:rPr>
        <w:t>ainsi qu'</w:t>
      </w:r>
      <w:r w:rsidRPr="00733FBF">
        <w:rPr>
          <w:noProof/>
        </w:rPr>
        <w:t>au</w:t>
      </w:r>
      <w:r w:rsidRPr="00727E44">
        <w:rPr>
          <w:noProof/>
        </w:rPr>
        <w:t xml:space="preserve"> point b) du </w:t>
      </w:r>
      <w:r w:rsidRPr="008A3ED0">
        <w:rPr>
          <w:noProof/>
        </w:rPr>
        <w:t>présent paragraphe</w:t>
      </w:r>
      <w:r w:rsidRPr="00727E44">
        <w:rPr>
          <w:noProof/>
        </w:rPr>
        <w:t xml:space="preserve"> et qui contribuent à d</w:t>
      </w:r>
      <w:r>
        <w:rPr>
          <w:noProof/>
        </w:rPr>
        <w:t>'</w:t>
      </w:r>
      <w:r w:rsidRPr="00727E44">
        <w:rPr>
          <w:noProof/>
        </w:rPr>
        <w:t>autres objectifs présentant un intérêt commun, notamm</w:t>
      </w:r>
      <w:r w:rsidR="00980638">
        <w:rPr>
          <w:noProof/>
        </w:rPr>
        <w:t xml:space="preserve">ent ceux de la stratégie Europe </w:t>
      </w:r>
      <w:r w:rsidRPr="00727E44">
        <w:rPr>
          <w:noProof/>
        </w:rPr>
        <w:t>2020;</w:t>
      </w:r>
    </w:p>
    <w:p w:rsidR="007102DA" w:rsidRPr="00727E44" w:rsidRDefault="007102DA" w:rsidP="00066BB3">
      <w:pPr>
        <w:pStyle w:val="Point1"/>
        <w:rPr>
          <w:noProof/>
        </w:rPr>
      </w:pPr>
      <w:r>
        <w:rPr>
          <w:noProof/>
        </w:rPr>
        <w:t>b)</w:t>
      </w:r>
      <w:r>
        <w:rPr>
          <w:noProof/>
        </w:rPr>
        <w:tab/>
      </w:r>
      <w:r w:rsidRPr="00727E44">
        <w:rPr>
          <w:noProof/>
        </w:rPr>
        <w:t>les aides respectant la carte approuvée par la Commission pour chaque État membre pour l'octroi des aides à finalité régionale.</w:t>
      </w:r>
    </w:p>
    <w:p w:rsidR="007102DA" w:rsidRPr="00727E44" w:rsidRDefault="00980638" w:rsidP="00066BB3">
      <w:pPr>
        <w:pStyle w:val="ManualNumPar1"/>
        <w:rPr>
          <w:noProof/>
        </w:rPr>
      </w:pPr>
      <w:r>
        <w:rPr>
          <w:noProof/>
        </w:rPr>
        <w:br w:type="page"/>
      </w:r>
      <w:r w:rsidR="007102DA" w:rsidRPr="00727E44">
        <w:rPr>
          <w:noProof/>
        </w:rPr>
        <w:lastRenderedPageBreak/>
        <w:t>2.</w:t>
      </w:r>
      <w:r w:rsidR="00066BB3">
        <w:rPr>
          <w:noProof/>
        </w:rPr>
        <w:tab/>
      </w:r>
      <w:r w:rsidR="007102DA" w:rsidRPr="00727E44">
        <w:rPr>
          <w:noProof/>
        </w:rPr>
        <w:t>Les règlements visés au paragraphe 1 doivent préciser pour chaque catégorie d'aides:</w:t>
      </w:r>
    </w:p>
    <w:p w:rsidR="007102DA" w:rsidRPr="00727E44" w:rsidRDefault="007102DA" w:rsidP="00066BB3">
      <w:pPr>
        <w:pStyle w:val="Point1"/>
        <w:rPr>
          <w:noProof/>
        </w:rPr>
      </w:pPr>
      <w:r>
        <w:rPr>
          <w:noProof/>
        </w:rPr>
        <w:t>a)</w:t>
      </w:r>
      <w:r>
        <w:rPr>
          <w:noProof/>
        </w:rPr>
        <w:tab/>
      </w:r>
      <w:r w:rsidRPr="00727E44">
        <w:rPr>
          <w:noProof/>
        </w:rPr>
        <w:t xml:space="preserve">l'objectif </w:t>
      </w:r>
      <w:r w:rsidRPr="00733FBF">
        <w:rPr>
          <w:noProof/>
        </w:rPr>
        <w:t>des</w:t>
      </w:r>
      <w:r w:rsidRPr="00727E44">
        <w:rPr>
          <w:noProof/>
        </w:rPr>
        <w:t xml:space="preserve"> aides;</w:t>
      </w:r>
    </w:p>
    <w:p w:rsidR="007102DA" w:rsidRPr="00727E44" w:rsidRDefault="007102DA" w:rsidP="00066BB3">
      <w:pPr>
        <w:pStyle w:val="Point1"/>
        <w:rPr>
          <w:noProof/>
        </w:rPr>
      </w:pPr>
      <w:r>
        <w:rPr>
          <w:noProof/>
        </w:rPr>
        <w:t>b)</w:t>
      </w:r>
      <w:r>
        <w:rPr>
          <w:noProof/>
        </w:rPr>
        <w:tab/>
      </w:r>
      <w:r w:rsidRPr="00727E44">
        <w:rPr>
          <w:noProof/>
        </w:rPr>
        <w:t xml:space="preserve">les </w:t>
      </w:r>
      <w:r w:rsidRPr="00733FBF">
        <w:rPr>
          <w:noProof/>
        </w:rPr>
        <w:t>catégories</w:t>
      </w:r>
      <w:r w:rsidRPr="00727E44">
        <w:rPr>
          <w:noProof/>
        </w:rPr>
        <w:t xml:space="preserve"> de bénéficiaires;</w:t>
      </w:r>
    </w:p>
    <w:p w:rsidR="007102DA" w:rsidRPr="00727E44" w:rsidRDefault="007102DA" w:rsidP="00066BB3">
      <w:pPr>
        <w:pStyle w:val="Point1"/>
        <w:rPr>
          <w:noProof/>
        </w:rPr>
      </w:pPr>
      <w:r>
        <w:rPr>
          <w:noProof/>
        </w:rPr>
        <w:t>c)</w:t>
      </w:r>
      <w:r>
        <w:rPr>
          <w:noProof/>
        </w:rPr>
        <w:tab/>
      </w:r>
      <w:r w:rsidRPr="00727E44">
        <w:rPr>
          <w:noProof/>
        </w:rPr>
        <w:t xml:space="preserve">les seuils </w:t>
      </w:r>
      <w:r w:rsidRPr="00733FBF">
        <w:rPr>
          <w:noProof/>
        </w:rPr>
        <w:t>exprimés</w:t>
      </w:r>
      <w:r w:rsidRPr="00727E44">
        <w:rPr>
          <w:noProof/>
        </w:rPr>
        <w:t xml:space="preserve"> soit en termes d</w:t>
      </w:r>
      <w:r>
        <w:rPr>
          <w:noProof/>
        </w:rPr>
        <w:t>'</w:t>
      </w:r>
      <w:r w:rsidRPr="00727E44">
        <w:rPr>
          <w:noProof/>
        </w:rPr>
        <w:t>intensité de l</w:t>
      </w:r>
      <w:r>
        <w:rPr>
          <w:noProof/>
        </w:rPr>
        <w:t>'</w:t>
      </w:r>
      <w:r w:rsidRPr="00727E44">
        <w:rPr>
          <w:noProof/>
        </w:rPr>
        <w:t>aide par rapport à l</w:t>
      </w:r>
      <w:r>
        <w:rPr>
          <w:noProof/>
        </w:rPr>
        <w:t>'</w:t>
      </w:r>
      <w:r w:rsidRPr="00727E44">
        <w:rPr>
          <w:noProof/>
        </w:rPr>
        <w:t>ensemble des coûts admissibles, soit en termes de montants maximaux ou, pour certains types d</w:t>
      </w:r>
      <w:r>
        <w:rPr>
          <w:noProof/>
        </w:rPr>
        <w:t>'</w:t>
      </w:r>
      <w:r w:rsidRPr="00727E44">
        <w:rPr>
          <w:noProof/>
        </w:rPr>
        <w:t>aide pour lesquels il peut s</w:t>
      </w:r>
      <w:r>
        <w:rPr>
          <w:noProof/>
        </w:rPr>
        <w:t>'</w:t>
      </w:r>
      <w:r w:rsidRPr="00727E44">
        <w:rPr>
          <w:noProof/>
        </w:rPr>
        <w:t>avérer difficile de déterminer avec précision l</w:t>
      </w:r>
      <w:r>
        <w:rPr>
          <w:noProof/>
        </w:rPr>
        <w:t>'</w:t>
      </w:r>
      <w:r w:rsidRPr="00727E44">
        <w:rPr>
          <w:noProof/>
        </w:rPr>
        <w:t>intensité ou le montant de l</w:t>
      </w:r>
      <w:r>
        <w:rPr>
          <w:noProof/>
        </w:rPr>
        <w:t>'</w:t>
      </w:r>
      <w:r w:rsidRPr="00727E44">
        <w:rPr>
          <w:noProof/>
        </w:rPr>
        <w:t>aide, dans le cas notamment des instruments d</w:t>
      </w:r>
      <w:r>
        <w:rPr>
          <w:noProof/>
        </w:rPr>
        <w:t>'</w:t>
      </w:r>
      <w:r w:rsidRPr="00727E44">
        <w:rPr>
          <w:noProof/>
        </w:rPr>
        <w:t>ingénierie financière ou des investissements en capital-risque ou ceux de nature similaire, en termes de niveau maximal de soutien de l</w:t>
      </w:r>
      <w:r>
        <w:rPr>
          <w:noProof/>
        </w:rPr>
        <w:t>'</w:t>
      </w:r>
      <w:r w:rsidRPr="00727E44">
        <w:rPr>
          <w:noProof/>
        </w:rPr>
        <w:t>État à cette mesure ou en rapport avec elle, sans préjudice de la qualification des mesures concernées</w:t>
      </w:r>
      <w:r>
        <w:rPr>
          <w:noProof/>
        </w:rPr>
        <w:t xml:space="preserve"> au vu de l'article </w:t>
      </w:r>
      <w:r w:rsidRPr="00727E44">
        <w:rPr>
          <w:noProof/>
        </w:rPr>
        <w:t>107, paragraphe 1, du TFUE;</w:t>
      </w:r>
    </w:p>
    <w:p w:rsidR="007102DA" w:rsidRPr="00727E44" w:rsidRDefault="007102DA" w:rsidP="00066BB3">
      <w:pPr>
        <w:pStyle w:val="Point1"/>
        <w:rPr>
          <w:noProof/>
        </w:rPr>
      </w:pPr>
      <w:r>
        <w:rPr>
          <w:noProof/>
        </w:rPr>
        <w:t>d)</w:t>
      </w:r>
      <w:r>
        <w:rPr>
          <w:noProof/>
        </w:rPr>
        <w:tab/>
      </w:r>
      <w:r w:rsidRPr="00727E44">
        <w:rPr>
          <w:noProof/>
        </w:rPr>
        <w:t xml:space="preserve">les </w:t>
      </w:r>
      <w:r w:rsidRPr="00733FBF">
        <w:rPr>
          <w:noProof/>
        </w:rPr>
        <w:t>conditions</w:t>
      </w:r>
      <w:r w:rsidRPr="00727E44">
        <w:rPr>
          <w:noProof/>
        </w:rPr>
        <w:t xml:space="preserve"> relatives au cumul des aides;</w:t>
      </w:r>
    </w:p>
    <w:p w:rsidR="007102DA" w:rsidRPr="00727E44" w:rsidRDefault="007102DA" w:rsidP="00066BB3">
      <w:pPr>
        <w:pStyle w:val="Point1"/>
        <w:rPr>
          <w:noProof/>
        </w:rPr>
      </w:pPr>
      <w:r>
        <w:rPr>
          <w:noProof/>
        </w:rPr>
        <w:t>e)</w:t>
      </w:r>
      <w:r>
        <w:rPr>
          <w:noProof/>
        </w:rPr>
        <w:tab/>
      </w:r>
      <w:r w:rsidRPr="00727E44">
        <w:rPr>
          <w:noProof/>
        </w:rPr>
        <w:t xml:space="preserve">les </w:t>
      </w:r>
      <w:r w:rsidRPr="00733FBF">
        <w:rPr>
          <w:noProof/>
        </w:rPr>
        <w:t>conditions</w:t>
      </w:r>
      <w:r w:rsidRPr="00727E44">
        <w:rPr>
          <w:noProof/>
        </w:rPr>
        <w:t xml:space="preserve"> de contrôle, telles que précisées à l'article 3.</w:t>
      </w:r>
    </w:p>
    <w:p w:rsidR="007102DA" w:rsidRPr="00727E44" w:rsidRDefault="007102DA" w:rsidP="00066BB3">
      <w:pPr>
        <w:pStyle w:val="ManualNumPar1"/>
        <w:rPr>
          <w:noProof/>
        </w:rPr>
      </w:pPr>
      <w:r w:rsidRPr="00727E44">
        <w:rPr>
          <w:noProof/>
        </w:rPr>
        <w:t>3.</w:t>
      </w:r>
      <w:r w:rsidR="00066BB3">
        <w:rPr>
          <w:noProof/>
        </w:rPr>
        <w:tab/>
      </w:r>
      <w:r w:rsidRPr="00727E44">
        <w:rPr>
          <w:noProof/>
        </w:rPr>
        <w:t>En outre, les règlements visés au paragraphe 1 peuvent notamment:</w:t>
      </w:r>
    </w:p>
    <w:p w:rsidR="007102DA" w:rsidRPr="00727E44" w:rsidRDefault="007102DA" w:rsidP="00066BB3">
      <w:pPr>
        <w:pStyle w:val="Point1"/>
        <w:rPr>
          <w:noProof/>
        </w:rPr>
      </w:pPr>
      <w:r>
        <w:rPr>
          <w:noProof/>
        </w:rPr>
        <w:t>a)</w:t>
      </w:r>
      <w:r>
        <w:rPr>
          <w:noProof/>
        </w:rPr>
        <w:tab/>
      </w:r>
      <w:r w:rsidRPr="00727E44">
        <w:rPr>
          <w:noProof/>
        </w:rPr>
        <w:t xml:space="preserve">fixer des </w:t>
      </w:r>
      <w:r w:rsidRPr="00733FBF">
        <w:rPr>
          <w:noProof/>
        </w:rPr>
        <w:t>seuils</w:t>
      </w:r>
      <w:r w:rsidRPr="00727E44">
        <w:rPr>
          <w:noProof/>
        </w:rPr>
        <w:t xml:space="preserve"> ou d'autres conditions pour la notification des cas d'octroi d'aides individuelles;</w:t>
      </w:r>
    </w:p>
    <w:p w:rsidR="007102DA" w:rsidRPr="00727E44" w:rsidRDefault="007102DA" w:rsidP="00066BB3">
      <w:pPr>
        <w:pStyle w:val="Point1"/>
        <w:rPr>
          <w:noProof/>
        </w:rPr>
      </w:pPr>
      <w:r>
        <w:rPr>
          <w:noProof/>
        </w:rPr>
        <w:t>b)</w:t>
      </w:r>
      <w:r>
        <w:rPr>
          <w:noProof/>
        </w:rPr>
        <w:tab/>
      </w:r>
      <w:r w:rsidRPr="00727E44">
        <w:rPr>
          <w:noProof/>
        </w:rPr>
        <w:t xml:space="preserve">exclure </w:t>
      </w:r>
      <w:r w:rsidRPr="00733FBF">
        <w:rPr>
          <w:noProof/>
        </w:rPr>
        <w:t>certains</w:t>
      </w:r>
      <w:r w:rsidRPr="00727E44">
        <w:rPr>
          <w:noProof/>
        </w:rPr>
        <w:t xml:space="preserve"> secteurs de leur champ d'application;</w:t>
      </w:r>
    </w:p>
    <w:p w:rsidR="007102DA" w:rsidRPr="008A3ED0" w:rsidRDefault="007102DA" w:rsidP="00066BB3">
      <w:pPr>
        <w:pStyle w:val="Point1"/>
        <w:rPr>
          <w:noProof/>
        </w:rPr>
      </w:pPr>
      <w:r>
        <w:rPr>
          <w:noProof/>
        </w:rPr>
        <w:t>c)</w:t>
      </w:r>
      <w:r>
        <w:rPr>
          <w:noProof/>
        </w:rPr>
        <w:tab/>
      </w:r>
      <w:r w:rsidRPr="00727E44">
        <w:rPr>
          <w:noProof/>
        </w:rPr>
        <w:t xml:space="preserve">prévoir </w:t>
      </w:r>
      <w:r w:rsidRPr="00733FBF">
        <w:rPr>
          <w:noProof/>
        </w:rPr>
        <w:t>des</w:t>
      </w:r>
      <w:r w:rsidRPr="00727E44">
        <w:rPr>
          <w:noProof/>
        </w:rPr>
        <w:t xml:space="preserve"> conditions supplémentaires concernant la compatibilité des aides exemptées en conformité avec lesdits </w:t>
      </w:r>
      <w:r w:rsidRPr="008A3ED0">
        <w:rPr>
          <w:noProof/>
        </w:rPr>
        <w:t>règlements.</w:t>
      </w:r>
    </w:p>
    <w:p w:rsidR="007102DA" w:rsidRPr="00066BB3" w:rsidRDefault="00980638" w:rsidP="00066BB3">
      <w:pPr>
        <w:pStyle w:val="Titrearticle"/>
      </w:pPr>
      <w:r>
        <w:br w:type="page"/>
      </w:r>
      <w:r w:rsidR="007102DA" w:rsidRPr="008A3ED0">
        <w:lastRenderedPageBreak/>
        <w:t>Article 2</w:t>
      </w:r>
      <w:r w:rsidR="00066BB3">
        <w:br/>
      </w:r>
      <w:r w:rsidR="007102DA" w:rsidRPr="00066BB3">
        <w:t xml:space="preserve">De </w:t>
      </w:r>
      <w:proofErr w:type="spellStart"/>
      <w:r w:rsidR="007102DA" w:rsidRPr="00066BB3">
        <w:t>minimis</w:t>
      </w:r>
      <w:proofErr w:type="spellEnd"/>
    </w:p>
    <w:p w:rsidR="007102DA" w:rsidRPr="00727E44" w:rsidRDefault="007102DA" w:rsidP="00980638">
      <w:pPr>
        <w:pStyle w:val="ManualNumPar1"/>
        <w:rPr>
          <w:noProof/>
        </w:rPr>
      </w:pPr>
      <w:r w:rsidRPr="00727E44">
        <w:rPr>
          <w:noProof/>
        </w:rPr>
        <w:t>1.</w:t>
      </w:r>
      <w:r w:rsidR="00066BB3">
        <w:rPr>
          <w:noProof/>
        </w:rPr>
        <w:tab/>
      </w:r>
      <w:r w:rsidRPr="00727E44">
        <w:rPr>
          <w:noProof/>
        </w:rPr>
        <w:t xml:space="preserve">La Commission peut, par voie de règlements </w:t>
      </w:r>
      <w:r w:rsidR="00EC6506" w:rsidRPr="00727E44">
        <w:rPr>
          <w:noProof/>
        </w:rPr>
        <w:t>a</w:t>
      </w:r>
      <w:r w:rsidR="00EC6506">
        <w:rPr>
          <w:noProof/>
        </w:rPr>
        <w:t>dop</w:t>
      </w:r>
      <w:r w:rsidR="00EC6506" w:rsidRPr="00727E44">
        <w:rPr>
          <w:noProof/>
        </w:rPr>
        <w:t xml:space="preserve">tés </w:t>
      </w:r>
      <w:r w:rsidRPr="00727E44">
        <w:rPr>
          <w:noProof/>
        </w:rPr>
        <w:t xml:space="preserve">en conformité avec la procédure définie à l'article 8 du présent règlement, décider qu'eu égard au développement et au fonctionnement du marché </w:t>
      </w:r>
      <w:r>
        <w:rPr>
          <w:noProof/>
        </w:rPr>
        <w:t>intérieur</w:t>
      </w:r>
      <w:r w:rsidRPr="00727E44">
        <w:rPr>
          <w:noProof/>
        </w:rPr>
        <w:t xml:space="preserve">, certaines aides ne </w:t>
      </w:r>
      <w:r w:rsidRPr="00CF3297">
        <w:rPr>
          <w:noProof/>
        </w:rPr>
        <w:t>remplissent pas</w:t>
      </w:r>
      <w:r w:rsidRPr="00727E44">
        <w:rPr>
          <w:noProof/>
        </w:rPr>
        <w:t xml:space="preserve"> tous les critères de l'article </w:t>
      </w:r>
      <w:r>
        <w:rPr>
          <w:noProof/>
        </w:rPr>
        <w:t>107</w:t>
      </w:r>
      <w:r w:rsidRPr="00727E44">
        <w:rPr>
          <w:noProof/>
        </w:rPr>
        <w:t xml:space="preserve">, paragraphe 1, du </w:t>
      </w:r>
      <w:r>
        <w:rPr>
          <w:noProof/>
        </w:rPr>
        <w:t>TFUE</w:t>
      </w:r>
      <w:r w:rsidR="00980638">
        <w:rPr>
          <w:noProof/>
        </w:rPr>
        <w:t xml:space="preserve"> </w:t>
      </w:r>
      <w:r w:rsidRPr="00727E44">
        <w:rPr>
          <w:noProof/>
        </w:rPr>
        <w:t xml:space="preserve">et qu'elles sont donc exemptées de la procédure de notification prévue à l'article </w:t>
      </w:r>
      <w:r>
        <w:rPr>
          <w:noProof/>
        </w:rPr>
        <w:t>108</w:t>
      </w:r>
      <w:r w:rsidRPr="00727E44">
        <w:rPr>
          <w:noProof/>
        </w:rPr>
        <w:t xml:space="preserve">, paragraphe 3, du </w:t>
      </w:r>
      <w:r>
        <w:rPr>
          <w:noProof/>
        </w:rPr>
        <w:t>TFUE</w:t>
      </w:r>
      <w:r w:rsidR="00980638">
        <w:rPr>
          <w:noProof/>
        </w:rPr>
        <w:t xml:space="preserve"> </w:t>
      </w:r>
      <w:r w:rsidRPr="00727E44">
        <w:rPr>
          <w:noProof/>
        </w:rPr>
        <w:t>pour autant que les aides accordées à une même entreprise sur une période donnée ne dépassent pas un montant fixe déterminé.</w:t>
      </w:r>
    </w:p>
    <w:p w:rsidR="007102DA" w:rsidRPr="00727E44" w:rsidRDefault="007102DA" w:rsidP="00066BB3">
      <w:pPr>
        <w:pStyle w:val="ManualNumPar1"/>
        <w:rPr>
          <w:noProof/>
        </w:rPr>
      </w:pPr>
      <w:r w:rsidRPr="00727E44">
        <w:rPr>
          <w:noProof/>
        </w:rPr>
        <w:t>2.</w:t>
      </w:r>
      <w:r w:rsidR="00066BB3">
        <w:rPr>
          <w:noProof/>
        </w:rPr>
        <w:tab/>
      </w:r>
      <w:r w:rsidRPr="00727E44">
        <w:rPr>
          <w:noProof/>
        </w:rPr>
        <w:t>À la demande de la Commission, les États membres lui communiquent à tout moment toute information supplémentaire relative aux aides exemptées en vertu du paragraphe 1.</w:t>
      </w:r>
    </w:p>
    <w:p w:rsidR="007102DA" w:rsidRPr="00066BB3" w:rsidRDefault="007102DA" w:rsidP="00066BB3">
      <w:pPr>
        <w:pStyle w:val="Titrearticle"/>
      </w:pPr>
      <w:r w:rsidRPr="008C47BC">
        <w:t>Article 3</w:t>
      </w:r>
      <w:r w:rsidR="00066BB3">
        <w:br/>
      </w:r>
      <w:r w:rsidRPr="00066BB3">
        <w:t>Transparence et contrôle</w:t>
      </w:r>
    </w:p>
    <w:p w:rsidR="007102DA" w:rsidRPr="00727E44" w:rsidRDefault="007102DA" w:rsidP="00066BB3">
      <w:pPr>
        <w:pStyle w:val="ManualNumPar1"/>
        <w:rPr>
          <w:noProof/>
        </w:rPr>
      </w:pPr>
      <w:r w:rsidRPr="00727E44">
        <w:rPr>
          <w:noProof/>
        </w:rPr>
        <w:t>1.</w:t>
      </w:r>
      <w:r w:rsidR="00066BB3">
        <w:rPr>
          <w:noProof/>
        </w:rPr>
        <w:tab/>
      </w:r>
      <w:r w:rsidRPr="00727E44">
        <w:rPr>
          <w:noProof/>
        </w:rPr>
        <w:t xml:space="preserve">Lorsqu'elle </w:t>
      </w:r>
      <w:r w:rsidR="00EC6506">
        <w:rPr>
          <w:noProof/>
        </w:rPr>
        <w:t>adopte</w:t>
      </w:r>
      <w:r w:rsidR="00EC6506" w:rsidRPr="00727E44">
        <w:rPr>
          <w:noProof/>
        </w:rPr>
        <w:t xml:space="preserve"> </w:t>
      </w:r>
      <w:r w:rsidRPr="00727E44">
        <w:rPr>
          <w:noProof/>
        </w:rPr>
        <w:t>des règlements en application de l'article 1</w:t>
      </w:r>
      <w:r w:rsidRPr="00727E44">
        <w:rPr>
          <w:noProof/>
          <w:vertAlign w:val="superscript"/>
        </w:rPr>
        <w:t>er</w:t>
      </w:r>
      <w:r w:rsidRPr="00727E44">
        <w:rPr>
          <w:noProof/>
        </w:rPr>
        <w:t>, la Commission impose des règles précises aux États membres pour assurer la transparence et le contrôle des aides exemptées de l'obligation de notification en conformité avec lesdits règlements. Ces règles consistent en particulier dans les obligations définies aux paragraphes 2, 3 et 4.</w:t>
      </w:r>
    </w:p>
    <w:p w:rsidR="007102DA" w:rsidRPr="00727E44" w:rsidRDefault="007102DA" w:rsidP="00066BB3">
      <w:pPr>
        <w:pStyle w:val="ManualNumPar1"/>
        <w:rPr>
          <w:noProof/>
        </w:rPr>
      </w:pPr>
      <w:r w:rsidRPr="00727E44">
        <w:rPr>
          <w:noProof/>
        </w:rPr>
        <w:t>2.</w:t>
      </w:r>
      <w:r w:rsidR="00066BB3">
        <w:rPr>
          <w:noProof/>
        </w:rPr>
        <w:tab/>
      </w:r>
      <w:r w:rsidRPr="00727E44">
        <w:rPr>
          <w:noProof/>
        </w:rPr>
        <w:t>Dès la mise en œuvre de régimes d</w:t>
      </w:r>
      <w:r>
        <w:rPr>
          <w:noProof/>
        </w:rPr>
        <w:t>'</w:t>
      </w:r>
      <w:r w:rsidRPr="00727E44">
        <w:rPr>
          <w:noProof/>
        </w:rPr>
        <w:t>aides ou d</w:t>
      </w:r>
      <w:r>
        <w:rPr>
          <w:noProof/>
        </w:rPr>
        <w:t>'</w:t>
      </w:r>
      <w:r w:rsidRPr="00727E44">
        <w:rPr>
          <w:noProof/>
        </w:rPr>
        <w:t>aides individuelles accordées en dehors d</w:t>
      </w:r>
      <w:r>
        <w:rPr>
          <w:noProof/>
        </w:rPr>
        <w:t>'</w:t>
      </w:r>
      <w:r w:rsidRPr="00727E44">
        <w:rPr>
          <w:noProof/>
        </w:rPr>
        <w:t>un régime, exemptés en application des règlements visés à l</w:t>
      </w:r>
      <w:r>
        <w:rPr>
          <w:noProof/>
        </w:rPr>
        <w:t>'</w:t>
      </w:r>
      <w:r w:rsidRPr="00727E44">
        <w:rPr>
          <w:noProof/>
        </w:rPr>
        <w:t>article 1, paragraphe 1, les États membres transmettent à la Commission en vue de leur publication sur le site internet de la Commission, des résumés des informations relatives à ces régimes d</w:t>
      </w:r>
      <w:r>
        <w:rPr>
          <w:noProof/>
        </w:rPr>
        <w:t>'</w:t>
      </w:r>
      <w:r w:rsidRPr="00727E44">
        <w:rPr>
          <w:noProof/>
        </w:rPr>
        <w:t>aides ou cas d</w:t>
      </w:r>
      <w:r>
        <w:rPr>
          <w:noProof/>
        </w:rPr>
        <w:t>'</w:t>
      </w:r>
      <w:r w:rsidRPr="00727E44">
        <w:rPr>
          <w:noProof/>
        </w:rPr>
        <w:t>aides individuelles ne relevant pas d</w:t>
      </w:r>
      <w:r>
        <w:rPr>
          <w:noProof/>
        </w:rPr>
        <w:t>'</w:t>
      </w:r>
      <w:r w:rsidRPr="00727E44">
        <w:rPr>
          <w:noProof/>
        </w:rPr>
        <w:t>un régime d</w:t>
      </w:r>
      <w:r>
        <w:rPr>
          <w:noProof/>
        </w:rPr>
        <w:t>'</w:t>
      </w:r>
      <w:r w:rsidRPr="00727E44">
        <w:rPr>
          <w:noProof/>
        </w:rPr>
        <w:t>aide exempté.</w:t>
      </w:r>
    </w:p>
    <w:p w:rsidR="007102DA" w:rsidRPr="00727E44" w:rsidRDefault="00980638" w:rsidP="00066BB3">
      <w:pPr>
        <w:pStyle w:val="ManualNumPar1"/>
        <w:rPr>
          <w:noProof/>
        </w:rPr>
      </w:pPr>
      <w:r>
        <w:rPr>
          <w:noProof/>
        </w:rPr>
        <w:br w:type="page"/>
      </w:r>
      <w:r w:rsidR="007102DA" w:rsidRPr="00727E44">
        <w:rPr>
          <w:noProof/>
        </w:rPr>
        <w:lastRenderedPageBreak/>
        <w:t>3.</w:t>
      </w:r>
      <w:r w:rsidR="00066BB3">
        <w:rPr>
          <w:noProof/>
        </w:rPr>
        <w:tab/>
      </w:r>
      <w:r w:rsidR="007102DA" w:rsidRPr="00727E44">
        <w:rPr>
          <w:noProof/>
        </w:rPr>
        <w:t>Les États membres enregistrent et compilent toutes les informations concernant l'application des exemptions par catégorie. Si la Commission dispose d'éléments qui soulèvent des doutes sur la bonne application d'un règlement d'exemption, les États membres lui communiquent toute information qu'elle estime nécessaire pour apprécier la conformité d'une aide avec ledit règlement.</w:t>
      </w:r>
    </w:p>
    <w:p w:rsidR="007102DA" w:rsidRPr="00727E44" w:rsidRDefault="007102DA" w:rsidP="00066BB3">
      <w:pPr>
        <w:pStyle w:val="ManualNumPar1"/>
        <w:rPr>
          <w:noProof/>
        </w:rPr>
      </w:pPr>
      <w:r w:rsidRPr="00727E44">
        <w:rPr>
          <w:noProof/>
        </w:rPr>
        <w:t>4.</w:t>
      </w:r>
      <w:r w:rsidR="00066BB3">
        <w:rPr>
          <w:noProof/>
        </w:rPr>
        <w:tab/>
      </w:r>
      <w:r w:rsidRPr="00727E44">
        <w:rPr>
          <w:noProof/>
        </w:rPr>
        <w:t>Les États membres communiquent au moins une fois par an à la Commission un rapport sur l'application des exemptions par catégorie, conformément aux exigences spécifiques de la Commission, de préférence sous forme électronique. La Commission rend ces rapports accessibles à tous les États membres. Une fois par an, ces rapports font l'objet d'un examen et d'une évaluation par le comité</w:t>
      </w:r>
      <w:r>
        <w:rPr>
          <w:noProof/>
        </w:rPr>
        <w:t xml:space="preserve"> </w:t>
      </w:r>
      <w:r w:rsidRPr="00727E44">
        <w:rPr>
          <w:noProof/>
        </w:rPr>
        <w:t>visé à l'article 7.</w:t>
      </w:r>
    </w:p>
    <w:p w:rsidR="007102DA" w:rsidRPr="00066BB3" w:rsidRDefault="007102DA" w:rsidP="00066BB3">
      <w:pPr>
        <w:pStyle w:val="Titrearticle"/>
      </w:pPr>
      <w:r w:rsidRPr="008C47BC">
        <w:t>Article 4</w:t>
      </w:r>
      <w:r w:rsidR="00066BB3">
        <w:br/>
      </w:r>
      <w:r w:rsidRPr="00066BB3">
        <w:t>Durée de validité et modification des règlements</w:t>
      </w:r>
    </w:p>
    <w:p w:rsidR="007102DA" w:rsidRDefault="007102DA" w:rsidP="00980638">
      <w:pPr>
        <w:pStyle w:val="ManualNumPar1"/>
        <w:rPr>
          <w:noProof/>
        </w:rPr>
      </w:pPr>
      <w:r w:rsidRPr="00727E44">
        <w:rPr>
          <w:noProof/>
        </w:rPr>
        <w:t>1.</w:t>
      </w:r>
      <w:r w:rsidR="00066BB3">
        <w:rPr>
          <w:noProof/>
        </w:rPr>
        <w:tab/>
      </w:r>
      <w:r w:rsidRPr="00727E44">
        <w:rPr>
          <w:noProof/>
        </w:rPr>
        <w:t xml:space="preserve">Les règlements </w:t>
      </w:r>
      <w:r w:rsidR="00EC6506">
        <w:rPr>
          <w:noProof/>
        </w:rPr>
        <w:t>adopt</w:t>
      </w:r>
      <w:r w:rsidR="00EC6506" w:rsidRPr="00727E44">
        <w:rPr>
          <w:noProof/>
        </w:rPr>
        <w:t xml:space="preserve">és </w:t>
      </w:r>
      <w:r w:rsidRPr="00727E44">
        <w:rPr>
          <w:noProof/>
        </w:rPr>
        <w:t>en vertu des articles 1</w:t>
      </w:r>
      <w:r w:rsidRPr="00727E44">
        <w:rPr>
          <w:noProof/>
          <w:vertAlign w:val="superscript"/>
        </w:rPr>
        <w:t>er</w:t>
      </w:r>
      <w:r w:rsidRPr="00727E44">
        <w:rPr>
          <w:noProof/>
        </w:rPr>
        <w:t xml:space="preserve"> et 2 sont applicables pendant une durée déterminée. Les aides exemptées par un règlement </w:t>
      </w:r>
      <w:r w:rsidR="00EC6506">
        <w:rPr>
          <w:noProof/>
        </w:rPr>
        <w:t>adopt</w:t>
      </w:r>
      <w:r w:rsidR="00EC6506" w:rsidRPr="00727E44">
        <w:rPr>
          <w:noProof/>
        </w:rPr>
        <w:t xml:space="preserve">é </w:t>
      </w:r>
      <w:r w:rsidRPr="00727E44">
        <w:rPr>
          <w:noProof/>
        </w:rPr>
        <w:t>en vertu des articles 1</w:t>
      </w:r>
      <w:r w:rsidRPr="00727E44">
        <w:rPr>
          <w:noProof/>
          <w:vertAlign w:val="superscript"/>
        </w:rPr>
        <w:t>er</w:t>
      </w:r>
      <w:r w:rsidRPr="00727E44">
        <w:rPr>
          <w:noProof/>
        </w:rPr>
        <w:t xml:space="preserve"> et 2, sont exemptées pour la durée de validité dudit règlement ainsi que pour la durée de la période d'adaptation prévue par les paragraphes 2 et 3</w:t>
      </w:r>
      <w:r>
        <w:rPr>
          <w:noProof/>
        </w:rPr>
        <w:t xml:space="preserve"> du présent article</w:t>
      </w:r>
      <w:r w:rsidRPr="00727E44">
        <w:rPr>
          <w:noProof/>
        </w:rPr>
        <w:t>.</w:t>
      </w:r>
    </w:p>
    <w:p w:rsidR="007102DA" w:rsidRDefault="007102DA" w:rsidP="00980638">
      <w:pPr>
        <w:pStyle w:val="ManualNumPar1"/>
        <w:rPr>
          <w:noProof/>
        </w:rPr>
      </w:pPr>
      <w:r w:rsidRPr="00727E44">
        <w:rPr>
          <w:noProof/>
        </w:rPr>
        <w:t>2.</w:t>
      </w:r>
      <w:r w:rsidR="00066BB3">
        <w:rPr>
          <w:noProof/>
        </w:rPr>
        <w:tab/>
      </w:r>
      <w:r w:rsidRPr="00727E44">
        <w:rPr>
          <w:noProof/>
        </w:rPr>
        <w:t xml:space="preserve">Les règlements </w:t>
      </w:r>
      <w:r w:rsidR="00EC6506">
        <w:rPr>
          <w:noProof/>
        </w:rPr>
        <w:t>adopt</w:t>
      </w:r>
      <w:r w:rsidRPr="00727E44">
        <w:rPr>
          <w:noProof/>
        </w:rPr>
        <w:t>és en vertu des articles 1</w:t>
      </w:r>
      <w:r w:rsidRPr="00727E44">
        <w:rPr>
          <w:noProof/>
          <w:vertAlign w:val="superscript"/>
        </w:rPr>
        <w:t>er</w:t>
      </w:r>
      <w:r w:rsidRPr="00727E44">
        <w:rPr>
          <w:noProof/>
        </w:rPr>
        <w:t xml:space="preserve"> et 2 peuvent être abrogés ou modifiés lorsque tout élément important ayant motivé leur adoption se trouve modifié ou lorsque le développement progressif ou le fonctionnement du marché </w:t>
      </w:r>
      <w:r>
        <w:rPr>
          <w:noProof/>
        </w:rPr>
        <w:t>intérieur</w:t>
      </w:r>
      <w:r w:rsidR="00980638">
        <w:rPr>
          <w:noProof/>
        </w:rPr>
        <w:t xml:space="preserve"> </w:t>
      </w:r>
      <w:r w:rsidRPr="00727E44">
        <w:rPr>
          <w:noProof/>
        </w:rPr>
        <w:t>l'exige. Dans ce cas, le nouveau règlement fixe une période d'adaptation de six mois pour l'ajustement des aides qui relevaient du règlement précédent.</w:t>
      </w:r>
    </w:p>
    <w:p w:rsidR="007102DA" w:rsidRPr="00727E44" w:rsidRDefault="00980638" w:rsidP="00980638">
      <w:pPr>
        <w:pStyle w:val="ManualNumPar1"/>
        <w:rPr>
          <w:noProof/>
        </w:rPr>
      </w:pPr>
      <w:r>
        <w:rPr>
          <w:noProof/>
        </w:rPr>
        <w:br w:type="page"/>
      </w:r>
      <w:r w:rsidR="007102DA" w:rsidRPr="00727E44">
        <w:rPr>
          <w:noProof/>
        </w:rPr>
        <w:lastRenderedPageBreak/>
        <w:t>3.</w:t>
      </w:r>
      <w:r w:rsidR="00066BB3">
        <w:rPr>
          <w:noProof/>
        </w:rPr>
        <w:tab/>
      </w:r>
      <w:r w:rsidR="007102DA" w:rsidRPr="00727E44">
        <w:rPr>
          <w:noProof/>
        </w:rPr>
        <w:t xml:space="preserve">Les règlements </w:t>
      </w:r>
      <w:r w:rsidR="00EC6506">
        <w:rPr>
          <w:noProof/>
        </w:rPr>
        <w:t>adopt</w:t>
      </w:r>
      <w:r w:rsidR="007102DA" w:rsidRPr="00727E44">
        <w:rPr>
          <w:noProof/>
        </w:rPr>
        <w:t>és en vertu des articles 1</w:t>
      </w:r>
      <w:r w:rsidR="007102DA" w:rsidRPr="00727E44">
        <w:rPr>
          <w:noProof/>
          <w:vertAlign w:val="superscript"/>
        </w:rPr>
        <w:t>er</w:t>
      </w:r>
      <w:r w:rsidR="007102DA" w:rsidRPr="00727E44">
        <w:rPr>
          <w:noProof/>
        </w:rPr>
        <w:t xml:space="preserve"> et 2 prévoient une période telle que visée par le paragraphe 2 </w:t>
      </w:r>
      <w:r w:rsidR="007102DA">
        <w:rPr>
          <w:noProof/>
        </w:rPr>
        <w:t>du présent article</w:t>
      </w:r>
      <w:r>
        <w:rPr>
          <w:noProof/>
        </w:rPr>
        <w:t xml:space="preserve"> </w:t>
      </w:r>
      <w:r w:rsidR="007102DA" w:rsidRPr="00727E44">
        <w:rPr>
          <w:noProof/>
        </w:rPr>
        <w:t>pour le cas où, lorsqu'ils arrivent à expiration, leur application n'est pas prolongée.</w:t>
      </w:r>
    </w:p>
    <w:p w:rsidR="007102DA" w:rsidRPr="00066BB3" w:rsidRDefault="007102DA" w:rsidP="00066BB3">
      <w:pPr>
        <w:pStyle w:val="Titrearticle"/>
      </w:pPr>
      <w:r w:rsidRPr="008C47BC">
        <w:t>Article 5</w:t>
      </w:r>
      <w:r w:rsidR="00066BB3">
        <w:br/>
      </w:r>
      <w:r w:rsidRPr="00066BB3">
        <w:t>Rapport d'évaluation</w:t>
      </w:r>
    </w:p>
    <w:p w:rsidR="007102DA" w:rsidRPr="00727E44" w:rsidRDefault="007102DA" w:rsidP="007102DA">
      <w:pPr>
        <w:autoSpaceDE w:val="0"/>
        <w:autoSpaceDN w:val="0"/>
        <w:rPr>
          <w:noProof/>
        </w:rPr>
      </w:pPr>
      <w:r>
        <w:rPr>
          <w:noProof/>
        </w:rPr>
        <w:t xml:space="preserve">Tous les cinq ans, la Commission soumet au Parlement </w:t>
      </w:r>
      <w:r w:rsidRPr="00727E44">
        <w:rPr>
          <w:noProof/>
        </w:rPr>
        <w:t>européen et au Conseil un rapport sur l'application du présent règlement. Un projet de rapport est soumis pour examen au comité</w:t>
      </w:r>
      <w:r>
        <w:rPr>
          <w:noProof/>
        </w:rPr>
        <w:t xml:space="preserve"> </w:t>
      </w:r>
      <w:r w:rsidRPr="00727E44">
        <w:rPr>
          <w:noProof/>
        </w:rPr>
        <w:t>visé à l'article 7.</w:t>
      </w:r>
    </w:p>
    <w:p w:rsidR="007102DA" w:rsidRPr="00066BB3" w:rsidRDefault="007102DA" w:rsidP="00066BB3">
      <w:pPr>
        <w:pStyle w:val="Titrearticle"/>
      </w:pPr>
      <w:r w:rsidRPr="008C47BC">
        <w:t>Article 6</w:t>
      </w:r>
      <w:r w:rsidR="00066BB3">
        <w:br/>
      </w:r>
      <w:r w:rsidRPr="00066BB3">
        <w:t>Audition des parties intéressées</w:t>
      </w:r>
    </w:p>
    <w:p w:rsidR="007102DA" w:rsidRPr="00727E44" w:rsidRDefault="007102DA" w:rsidP="007102DA">
      <w:pPr>
        <w:autoSpaceDE w:val="0"/>
        <w:autoSpaceDN w:val="0"/>
        <w:rPr>
          <w:noProof/>
        </w:rPr>
      </w:pPr>
      <w:r w:rsidRPr="00727E44">
        <w:rPr>
          <w:noProof/>
        </w:rPr>
        <w:t>Lorsque la Commission se propose d'</w:t>
      </w:r>
      <w:r w:rsidR="00EC6506">
        <w:rPr>
          <w:noProof/>
        </w:rPr>
        <w:t>adopt</w:t>
      </w:r>
      <w:r w:rsidRPr="00727E44">
        <w:rPr>
          <w:noProof/>
        </w:rPr>
        <w:t>er un règlement, elle en publie un projet afin de permettre à toutes les personnes et organisations intéressées de lui faire connaître leurs observations dans un délai raisonnable qu'elle fixe et qui ne peut en aucun cas être inférieur à un mois.</w:t>
      </w:r>
    </w:p>
    <w:p w:rsidR="007102DA" w:rsidRPr="00066BB3" w:rsidRDefault="007102DA" w:rsidP="00066BB3">
      <w:pPr>
        <w:pStyle w:val="Titrearticle"/>
      </w:pPr>
      <w:r w:rsidRPr="008C47BC">
        <w:t>Article 7</w:t>
      </w:r>
      <w:r w:rsidR="00066BB3">
        <w:br/>
      </w:r>
      <w:r w:rsidRPr="00066BB3">
        <w:t>Comité consultatif en matière d'aides d'État</w:t>
      </w:r>
    </w:p>
    <w:p w:rsidR="007102DA" w:rsidRPr="00727E44" w:rsidRDefault="007102DA" w:rsidP="007102DA">
      <w:pPr>
        <w:autoSpaceDE w:val="0"/>
        <w:autoSpaceDN w:val="0"/>
        <w:rPr>
          <w:noProof/>
        </w:rPr>
      </w:pPr>
      <w:r w:rsidRPr="00727E44">
        <w:rPr>
          <w:noProof/>
        </w:rPr>
        <w:t xml:space="preserve">Il est institué un comité à caractère consultatif </w:t>
      </w:r>
      <w:r w:rsidRPr="00CF3297">
        <w:rPr>
          <w:noProof/>
        </w:rPr>
        <w:t>(</w:t>
      </w:r>
      <w:r w:rsidRPr="00727E44">
        <w:rPr>
          <w:noProof/>
        </w:rPr>
        <w:t xml:space="preserve">ci-après dénommé </w:t>
      </w:r>
      <w:r>
        <w:rPr>
          <w:noProof/>
        </w:rPr>
        <w:t xml:space="preserve">"le </w:t>
      </w:r>
      <w:r w:rsidRPr="00727E44">
        <w:rPr>
          <w:noProof/>
        </w:rPr>
        <w:t>comité</w:t>
      </w:r>
      <w:r>
        <w:rPr>
          <w:noProof/>
        </w:rPr>
        <w:t>"</w:t>
      </w:r>
      <w:r w:rsidRPr="00CF3297">
        <w:rPr>
          <w:noProof/>
        </w:rPr>
        <w:t>)</w:t>
      </w:r>
      <w:r w:rsidRPr="00727E44">
        <w:rPr>
          <w:noProof/>
        </w:rPr>
        <w:t xml:space="preserve">. Ce comité est composé de représentants des États membres et présidé par </w:t>
      </w:r>
      <w:r w:rsidRPr="00CF3297">
        <w:rPr>
          <w:noProof/>
        </w:rPr>
        <w:t>un</w:t>
      </w:r>
      <w:r w:rsidRPr="00727E44">
        <w:rPr>
          <w:noProof/>
        </w:rPr>
        <w:t xml:space="preserve"> représentant de la Commission.</w:t>
      </w:r>
    </w:p>
    <w:p w:rsidR="007102DA" w:rsidRPr="00066BB3" w:rsidRDefault="00980638" w:rsidP="00066BB3">
      <w:pPr>
        <w:pStyle w:val="Titrearticle"/>
      </w:pPr>
      <w:r>
        <w:br w:type="page"/>
      </w:r>
      <w:r w:rsidR="007102DA" w:rsidRPr="008C47BC">
        <w:lastRenderedPageBreak/>
        <w:t>Article 8</w:t>
      </w:r>
      <w:r w:rsidR="00066BB3">
        <w:br/>
      </w:r>
      <w:r w:rsidR="007102DA" w:rsidRPr="00066BB3">
        <w:t>Consultation du comité</w:t>
      </w:r>
    </w:p>
    <w:p w:rsidR="007102DA" w:rsidRPr="00727E44" w:rsidRDefault="007102DA" w:rsidP="00066BB3">
      <w:pPr>
        <w:pStyle w:val="ManualNumPar1"/>
        <w:rPr>
          <w:noProof/>
        </w:rPr>
      </w:pPr>
      <w:r w:rsidRPr="00727E44">
        <w:rPr>
          <w:noProof/>
        </w:rPr>
        <w:t>1.</w:t>
      </w:r>
      <w:r w:rsidR="00066BB3">
        <w:rPr>
          <w:noProof/>
        </w:rPr>
        <w:tab/>
      </w:r>
      <w:r w:rsidRPr="00727E44">
        <w:rPr>
          <w:noProof/>
        </w:rPr>
        <w:t>La Commission consulte le comité:</w:t>
      </w:r>
    </w:p>
    <w:p w:rsidR="007102DA" w:rsidRPr="00727E44" w:rsidRDefault="007102DA" w:rsidP="00066BB3">
      <w:pPr>
        <w:pStyle w:val="Point1"/>
        <w:rPr>
          <w:noProof/>
        </w:rPr>
      </w:pPr>
      <w:r w:rsidRPr="00727E44">
        <w:rPr>
          <w:noProof/>
        </w:rPr>
        <w:t>a)</w:t>
      </w:r>
      <w:r>
        <w:rPr>
          <w:noProof/>
        </w:rPr>
        <w:tab/>
      </w:r>
      <w:r w:rsidRPr="00727E44">
        <w:rPr>
          <w:noProof/>
        </w:rPr>
        <w:t xml:space="preserve">au </w:t>
      </w:r>
      <w:r w:rsidRPr="00733FBF">
        <w:rPr>
          <w:noProof/>
        </w:rPr>
        <w:t>moment</w:t>
      </w:r>
      <w:r w:rsidRPr="00727E44">
        <w:rPr>
          <w:noProof/>
        </w:rPr>
        <w:t xml:space="preserve"> où elle publie un projet de règlement conformément à l</w:t>
      </w:r>
      <w:r>
        <w:rPr>
          <w:noProof/>
        </w:rPr>
        <w:t>'</w:t>
      </w:r>
      <w:r w:rsidRPr="00727E44">
        <w:rPr>
          <w:noProof/>
        </w:rPr>
        <w:t>article 6;</w:t>
      </w:r>
    </w:p>
    <w:p w:rsidR="007102DA" w:rsidRPr="00727E44" w:rsidRDefault="007102DA" w:rsidP="00066BB3">
      <w:pPr>
        <w:pStyle w:val="Point1"/>
        <w:rPr>
          <w:noProof/>
        </w:rPr>
      </w:pPr>
      <w:r w:rsidRPr="00727E44">
        <w:rPr>
          <w:noProof/>
        </w:rPr>
        <w:t>b)</w:t>
      </w:r>
      <w:r>
        <w:rPr>
          <w:noProof/>
        </w:rPr>
        <w:tab/>
      </w:r>
      <w:r w:rsidRPr="00727E44">
        <w:rPr>
          <w:noProof/>
        </w:rPr>
        <w:t xml:space="preserve">avant </w:t>
      </w:r>
      <w:r w:rsidRPr="00CF3297">
        <w:rPr>
          <w:noProof/>
        </w:rPr>
        <w:t>d'adopter</w:t>
      </w:r>
      <w:r w:rsidRPr="00727E44">
        <w:rPr>
          <w:noProof/>
        </w:rPr>
        <w:t xml:space="preserve"> un règlement.</w:t>
      </w:r>
    </w:p>
    <w:p w:rsidR="007102DA" w:rsidRPr="00727E44" w:rsidRDefault="007102DA" w:rsidP="00066BB3">
      <w:pPr>
        <w:pStyle w:val="ManualNumPar1"/>
        <w:rPr>
          <w:noProof/>
        </w:rPr>
      </w:pPr>
      <w:r w:rsidRPr="00727E44">
        <w:rPr>
          <w:noProof/>
        </w:rPr>
        <w:t>2.</w:t>
      </w:r>
      <w:r w:rsidR="00066BB3">
        <w:rPr>
          <w:noProof/>
        </w:rPr>
        <w:tab/>
      </w:r>
      <w:r w:rsidRPr="00727E44">
        <w:rPr>
          <w:noProof/>
        </w:rPr>
        <w:t xml:space="preserve">La consultation du comité a lieu au cours d'une réunion </w:t>
      </w:r>
      <w:r w:rsidR="00860C3D">
        <w:rPr>
          <w:noProof/>
        </w:rPr>
        <w:t>sur invitation de</w:t>
      </w:r>
      <w:r w:rsidRPr="00727E44">
        <w:rPr>
          <w:noProof/>
        </w:rPr>
        <w:t xml:space="preserve"> la Commission. </w:t>
      </w:r>
      <w:r w:rsidR="00EC6506" w:rsidRPr="00EC6506">
        <w:rPr>
          <w:noProof/>
        </w:rPr>
        <w:t xml:space="preserve">À cette </w:t>
      </w:r>
      <w:r w:rsidR="00860C3D">
        <w:rPr>
          <w:noProof/>
        </w:rPr>
        <w:t>invit</w:t>
      </w:r>
      <w:r w:rsidR="00EC6506" w:rsidRPr="00EC6506">
        <w:rPr>
          <w:noProof/>
        </w:rPr>
        <w:t>ation sont annexés les projets et documents à examiner, qui peuvent être publiés sur le site internet de la Commission.</w:t>
      </w:r>
      <w:r w:rsidR="00066BB3">
        <w:rPr>
          <w:noProof/>
        </w:rPr>
        <w:t xml:space="preserve"> </w:t>
      </w:r>
      <w:r w:rsidRPr="00727E44">
        <w:rPr>
          <w:noProof/>
        </w:rPr>
        <w:t>La réunion a lieu au plus tôt deux mois après l'envoi de la convocation.</w:t>
      </w:r>
    </w:p>
    <w:p w:rsidR="007102DA" w:rsidRPr="00727E44" w:rsidRDefault="007102DA" w:rsidP="00066BB3">
      <w:pPr>
        <w:pStyle w:val="Text1"/>
        <w:rPr>
          <w:noProof/>
        </w:rPr>
      </w:pPr>
      <w:r w:rsidRPr="00727E44">
        <w:rPr>
          <w:noProof/>
        </w:rPr>
        <w:t>Ce délai peut être réduit dans le cas des consultations visées au paragraphe 1, point b), ainsi qu'en cas d'urgence et de simple prorogation d'un règlement.</w:t>
      </w:r>
    </w:p>
    <w:p w:rsidR="007102DA" w:rsidRPr="00727E44" w:rsidRDefault="007102DA" w:rsidP="00066BB3">
      <w:pPr>
        <w:pStyle w:val="ManualNumPar1"/>
        <w:rPr>
          <w:noProof/>
        </w:rPr>
      </w:pPr>
      <w:r w:rsidRPr="00727E44">
        <w:rPr>
          <w:noProof/>
        </w:rPr>
        <w:t>3.</w:t>
      </w:r>
      <w:r w:rsidR="00066BB3">
        <w:rPr>
          <w:noProof/>
        </w:rPr>
        <w:tab/>
      </w:r>
      <w:r w:rsidRPr="00727E44">
        <w:rPr>
          <w:noProof/>
        </w:rPr>
        <w:t>Le représentant de la Commission soumet au comité un projet des mesures à prendre. Le comité émet son avis sur ce projet, dans un délai que le président peut fixer en fonction de l'urgence de la question en cause, le cas échéant en procédant à un vote.</w:t>
      </w:r>
    </w:p>
    <w:p w:rsidR="007102DA" w:rsidRPr="00727E44" w:rsidRDefault="00980638" w:rsidP="00066BB3">
      <w:pPr>
        <w:pStyle w:val="ManualNumPar1"/>
        <w:rPr>
          <w:noProof/>
        </w:rPr>
      </w:pPr>
      <w:r>
        <w:rPr>
          <w:noProof/>
        </w:rPr>
        <w:br w:type="page"/>
      </w:r>
      <w:r w:rsidR="007102DA" w:rsidRPr="00727E44">
        <w:rPr>
          <w:noProof/>
        </w:rPr>
        <w:lastRenderedPageBreak/>
        <w:t>4.</w:t>
      </w:r>
      <w:r w:rsidR="00066BB3">
        <w:rPr>
          <w:noProof/>
        </w:rPr>
        <w:tab/>
      </w:r>
      <w:r w:rsidR="007102DA" w:rsidRPr="00727E44">
        <w:rPr>
          <w:noProof/>
        </w:rPr>
        <w:t>L'avis est inscrit au procès-verbal</w:t>
      </w:r>
      <w:r w:rsidR="007102DA">
        <w:rPr>
          <w:noProof/>
        </w:rPr>
        <w:t>. E</w:t>
      </w:r>
      <w:r w:rsidR="007102DA" w:rsidRPr="00727E44">
        <w:rPr>
          <w:noProof/>
        </w:rPr>
        <w:t>n outre, chaque État membre a le droit de demander que sa position figure à ce procès-verbal. Le comité</w:t>
      </w:r>
      <w:r w:rsidR="007102DA">
        <w:rPr>
          <w:noProof/>
        </w:rPr>
        <w:t xml:space="preserve"> </w:t>
      </w:r>
      <w:r w:rsidR="007102DA" w:rsidRPr="00727E44">
        <w:rPr>
          <w:noProof/>
        </w:rPr>
        <w:t xml:space="preserve">peut recommander la publication de cet avis au </w:t>
      </w:r>
      <w:r w:rsidR="007102DA" w:rsidRPr="00727E44">
        <w:rPr>
          <w:i/>
          <w:iCs/>
          <w:noProof/>
        </w:rPr>
        <w:t xml:space="preserve">Journal officiel </w:t>
      </w:r>
      <w:r w:rsidR="007102DA" w:rsidRPr="00444607">
        <w:rPr>
          <w:i/>
          <w:noProof/>
        </w:rPr>
        <w:t>de l'Union européenne</w:t>
      </w:r>
      <w:r w:rsidR="007102DA" w:rsidRPr="00444607">
        <w:rPr>
          <w:noProof/>
        </w:rPr>
        <w:t> </w:t>
      </w:r>
      <w:r w:rsidR="007102DA" w:rsidRPr="00727E44">
        <w:rPr>
          <w:noProof/>
        </w:rPr>
        <w:t>.</w:t>
      </w:r>
    </w:p>
    <w:p w:rsidR="007102DA" w:rsidRDefault="007102DA" w:rsidP="00066BB3">
      <w:pPr>
        <w:pStyle w:val="ManualNumPar1"/>
        <w:rPr>
          <w:noProof/>
        </w:rPr>
      </w:pPr>
      <w:r w:rsidRPr="00727E44">
        <w:rPr>
          <w:noProof/>
        </w:rPr>
        <w:t>5.</w:t>
      </w:r>
      <w:r w:rsidR="00066BB3">
        <w:rPr>
          <w:noProof/>
        </w:rPr>
        <w:tab/>
      </w:r>
      <w:r w:rsidRPr="00727E44">
        <w:rPr>
          <w:noProof/>
        </w:rPr>
        <w:t>La Commission tient le plus grand compte de l'avis émis par le comité. Elle informe le comité de la façon dont elle a tenu compte de cet avis.</w:t>
      </w:r>
    </w:p>
    <w:p w:rsidR="007102DA" w:rsidRPr="00066BB3" w:rsidRDefault="007102DA" w:rsidP="00066BB3">
      <w:pPr>
        <w:pStyle w:val="Titrearticle"/>
      </w:pPr>
      <w:bookmarkStart w:id="3" w:name="ControlPages"/>
      <w:bookmarkEnd w:id="3"/>
      <w:r>
        <w:t>Article 9</w:t>
      </w:r>
      <w:r w:rsidR="00066BB3">
        <w:br/>
      </w:r>
      <w:r w:rsidRPr="00066BB3">
        <w:t>Abrogation</w:t>
      </w:r>
    </w:p>
    <w:p w:rsidR="007102DA" w:rsidRPr="00444607" w:rsidRDefault="007102DA" w:rsidP="007102DA">
      <w:pPr>
        <w:rPr>
          <w:noProof/>
        </w:rPr>
      </w:pPr>
      <w:r>
        <w:rPr>
          <w:noProof/>
        </w:rPr>
        <w:t>Le règlement (CE)</w:t>
      </w:r>
      <w:r w:rsidRPr="00444607">
        <w:rPr>
          <w:noProof/>
        </w:rPr>
        <w:t xml:space="preserve"> n° </w:t>
      </w:r>
      <w:r>
        <w:rPr>
          <w:noProof/>
        </w:rPr>
        <w:t>994/98</w:t>
      </w:r>
      <w:r w:rsidRPr="00444607">
        <w:rPr>
          <w:noProof/>
        </w:rPr>
        <w:t xml:space="preserve"> est abrogé.</w:t>
      </w:r>
    </w:p>
    <w:p w:rsidR="007102DA" w:rsidRDefault="007102DA" w:rsidP="007102DA">
      <w:pPr>
        <w:rPr>
          <w:noProof/>
        </w:rPr>
      </w:pPr>
      <w:r w:rsidRPr="00444607">
        <w:rPr>
          <w:noProof/>
        </w:rPr>
        <w:t xml:space="preserve">Les références faites au règlement abrogé s'entendent comme faites au présent règlement et sont à lire selon le tableau de correspondance figurant à l'annexe </w:t>
      </w:r>
      <w:r>
        <w:rPr>
          <w:noProof/>
        </w:rPr>
        <w:t>II</w:t>
      </w:r>
      <w:r w:rsidRPr="00444607">
        <w:rPr>
          <w:noProof/>
        </w:rPr>
        <w:t>.</w:t>
      </w:r>
    </w:p>
    <w:p w:rsidR="007102DA" w:rsidRPr="00066BB3" w:rsidRDefault="00980638" w:rsidP="00066BB3">
      <w:pPr>
        <w:pStyle w:val="Titrearticle"/>
      </w:pPr>
      <w:r>
        <w:br w:type="page"/>
      </w:r>
      <w:r w:rsidR="007102DA" w:rsidRPr="008C47BC">
        <w:lastRenderedPageBreak/>
        <w:t xml:space="preserve">Article </w:t>
      </w:r>
      <w:r w:rsidR="007102DA">
        <w:t>10</w:t>
      </w:r>
      <w:r w:rsidR="00066BB3">
        <w:br/>
      </w:r>
      <w:r w:rsidR="007102DA" w:rsidRPr="00066BB3">
        <w:t>Entrée en vigueur</w:t>
      </w:r>
    </w:p>
    <w:p w:rsidR="007102DA" w:rsidRPr="00727E44" w:rsidRDefault="007102DA" w:rsidP="00066BB3">
      <w:pPr>
        <w:autoSpaceDE w:val="0"/>
        <w:autoSpaceDN w:val="0"/>
        <w:rPr>
          <w:noProof/>
        </w:rPr>
      </w:pPr>
      <w:r w:rsidRPr="00727E44">
        <w:rPr>
          <w:noProof/>
        </w:rPr>
        <w:t xml:space="preserve">Le présent règlement entre en vigueur le </w:t>
      </w:r>
      <w:r>
        <w:rPr>
          <w:noProof/>
        </w:rPr>
        <w:t>vingtième</w:t>
      </w:r>
      <w:r w:rsidRPr="00CF3297">
        <w:rPr>
          <w:noProof/>
        </w:rPr>
        <w:t> </w:t>
      </w:r>
      <w:r w:rsidRPr="00727E44">
        <w:rPr>
          <w:noProof/>
        </w:rPr>
        <w:t xml:space="preserve">jour suivant celui de sa publication au </w:t>
      </w:r>
      <w:r w:rsidRPr="00727E44">
        <w:rPr>
          <w:i/>
          <w:iCs/>
          <w:noProof/>
        </w:rPr>
        <w:t xml:space="preserve">Journal officiel </w:t>
      </w:r>
      <w:r w:rsidRPr="00E863CE">
        <w:rPr>
          <w:i/>
          <w:noProof/>
        </w:rPr>
        <w:t>de l'Union européenne</w:t>
      </w:r>
      <w:r w:rsidRPr="00727E44">
        <w:rPr>
          <w:noProof/>
        </w:rPr>
        <w:t>.</w:t>
      </w:r>
    </w:p>
    <w:p w:rsidR="007102DA" w:rsidRPr="00177F4C" w:rsidRDefault="007102DA" w:rsidP="007102DA">
      <w:pPr>
        <w:pStyle w:val="Applicationdirecte"/>
        <w:rPr>
          <w:noProof/>
        </w:rPr>
      </w:pPr>
      <w:r w:rsidRPr="00177F4C">
        <w:rPr>
          <w:noProof/>
        </w:rPr>
        <w:t>Le présent règlement est obligatoire dans tous ses éléments et directement applicable dans tout État membre.</w:t>
      </w:r>
    </w:p>
    <w:p w:rsidR="007102DA" w:rsidRDefault="007102DA" w:rsidP="007102DA">
      <w:pPr>
        <w:pStyle w:val="Fait"/>
        <w:rPr>
          <w:noProof/>
        </w:rPr>
      </w:pPr>
      <w:r w:rsidRPr="00BC520F">
        <w:rPr>
          <w:noProof/>
        </w:rPr>
        <w:t>Fait à Bruxelles, le</w:t>
      </w:r>
    </w:p>
    <w:p w:rsidR="007102DA" w:rsidRDefault="007102DA" w:rsidP="007102DA">
      <w:pPr>
        <w:pStyle w:val="Institutionquisigne"/>
        <w:rPr>
          <w:noProof/>
        </w:rPr>
      </w:pPr>
      <w:r w:rsidRPr="00B6317D">
        <w:rPr>
          <w:noProof/>
        </w:rPr>
        <w:tab/>
        <w:t>Par le Conseil</w:t>
      </w:r>
    </w:p>
    <w:p w:rsidR="007102DA" w:rsidRPr="00B6317D" w:rsidRDefault="007102DA" w:rsidP="007102DA">
      <w:pPr>
        <w:pStyle w:val="Personnequisigne"/>
        <w:rPr>
          <w:noProof/>
        </w:rPr>
      </w:pPr>
      <w:r w:rsidRPr="00B6317D">
        <w:rPr>
          <w:noProof/>
        </w:rPr>
        <w:tab/>
        <w:t>Le président</w:t>
      </w:r>
    </w:p>
    <w:p w:rsidR="00066BB3" w:rsidRDefault="00066BB3" w:rsidP="00066BB3">
      <w:pPr>
        <w:pStyle w:val="Lignefinal"/>
        <w:rPr>
          <w:noProof/>
          <w:lang w:val="fr-BE"/>
        </w:rPr>
      </w:pPr>
    </w:p>
    <w:p w:rsidR="00066BB3" w:rsidRDefault="00066BB3" w:rsidP="00132F7C">
      <w:pPr>
        <w:pStyle w:val="Annexetitre"/>
        <w:rPr>
          <w:noProof/>
          <w:lang w:val="fr-BE"/>
        </w:rPr>
        <w:sectPr w:rsidR="00066BB3" w:rsidSect="005D2214">
          <w:headerReference w:type="default" r:id="rId16"/>
          <w:footerReference w:type="first" r:id="rId17"/>
          <w:footnotePr>
            <w:numRestart w:val="eachPage"/>
          </w:footnotePr>
          <w:pgSz w:w="11907" w:h="16839" w:code="9"/>
          <w:pgMar w:top="1134" w:right="1134" w:bottom="1134" w:left="1134" w:header="567" w:footer="567" w:gutter="0"/>
          <w:cols w:space="708"/>
          <w:docGrid w:linePitch="360"/>
        </w:sectPr>
      </w:pPr>
    </w:p>
    <w:p w:rsidR="00132F7C" w:rsidRPr="00B81DE8" w:rsidRDefault="00132F7C" w:rsidP="00066BB3">
      <w:pPr>
        <w:pStyle w:val="Annexetitreacte"/>
        <w:rPr>
          <w:noProof/>
          <w:lang w:val="fr-BE"/>
        </w:rPr>
      </w:pPr>
      <w:r w:rsidRPr="00B81DE8">
        <w:rPr>
          <w:noProof/>
          <w:lang w:val="fr-BE"/>
        </w:rPr>
        <w:lastRenderedPageBreak/>
        <w:t>ANNEXE I</w:t>
      </w:r>
    </w:p>
    <w:p w:rsidR="00132F7C" w:rsidRPr="00B81DE8" w:rsidRDefault="00132F7C" w:rsidP="00066BB3">
      <w:pPr>
        <w:pStyle w:val="NormalCentered"/>
        <w:rPr>
          <w:noProof/>
          <w:lang w:val="fr-BE"/>
        </w:rPr>
      </w:pPr>
      <w:r w:rsidRPr="00B81DE8">
        <w:rPr>
          <w:noProof/>
          <w:lang w:val="fr-BE"/>
        </w:rPr>
        <w:t xml:space="preserve">Règlement abrogé </w:t>
      </w:r>
      <w:r>
        <w:rPr>
          <w:noProof/>
          <w:lang w:val="fr-BE"/>
        </w:rPr>
        <w:t>et</w:t>
      </w:r>
      <w:r w:rsidRPr="00B81DE8">
        <w:rPr>
          <w:noProof/>
          <w:lang w:val="fr-BE"/>
        </w:rPr>
        <w:t xml:space="preserve"> liste de ses modifications successives</w:t>
      </w:r>
    </w:p>
    <w:tbl>
      <w:tblPr>
        <w:tblW w:w="9348" w:type="dxa"/>
        <w:tblLayout w:type="fixed"/>
        <w:tblLook w:val="0000" w:firstRow="0" w:lastRow="0" w:firstColumn="0" w:lastColumn="0" w:noHBand="0" w:noVBand="0"/>
      </w:tblPr>
      <w:tblGrid>
        <w:gridCol w:w="348"/>
        <w:gridCol w:w="5147"/>
        <w:gridCol w:w="425"/>
        <w:gridCol w:w="2948"/>
        <w:gridCol w:w="480"/>
      </w:tblGrid>
      <w:tr w:rsidR="00132F7C" w:rsidRPr="00B81DE8" w:rsidTr="005D2214">
        <w:trPr>
          <w:gridAfter w:val="1"/>
          <w:wAfter w:w="480" w:type="dxa"/>
          <w:cantSplit/>
        </w:trPr>
        <w:tc>
          <w:tcPr>
            <w:tcW w:w="5495" w:type="dxa"/>
            <w:gridSpan w:val="2"/>
          </w:tcPr>
          <w:p w:rsidR="00132F7C" w:rsidRPr="00B81DE8" w:rsidRDefault="00132F7C" w:rsidP="009E3780">
            <w:pPr>
              <w:spacing w:line="240" w:lineRule="auto"/>
              <w:rPr>
                <w:noProof/>
                <w:lang w:val="fr-BE"/>
              </w:rPr>
            </w:pPr>
            <w:r w:rsidRPr="00B81DE8">
              <w:rPr>
                <w:noProof/>
                <w:lang w:val="fr-BE"/>
              </w:rPr>
              <w:t>Règlement (CE) n° 994/98 du Conseil</w:t>
            </w:r>
          </w:p>
        </w:tc>
        <w:tc>
          <w:tcPr>
            <w:tcW w:w="3373" w:type="dxa"/>
            <w:gridSpan w:val="2"/>
          </w:tcPr>
          <w:p w:rsidR="00132F7C" w:rsidRPr="00B81DE8" w:rsidRDefault="00132F7C" w:rsidP="009E3780">
            <w:pPr>
              <w:spacing w:line="240" w:lineRule="auto"/>
              <w:rPr>
                <w:noProof/>
              </w:rPr>
            </w:pPr>
            <w:r w:rsidRPr="00B81DE8">
              <w:rPr>
                <w:noProof/>
              </w:rPr>
              <w:t>(</w:t>
            </w:r>
            <w:r w:rsidRPr="00B81DE8">
              <w:rPr>
                <w:noProof/>
                <w:lang w:val="en-US"/>
              </w:rPr>
              <w:t>JO L 142 du 14.5.1998, p. 1</w:t>
            </w:r>
            <w:r w:rsidRPr="00B81DE8">
              <w:rPr>
                <w:noProof/>
              </w:rPr>
              <w:t>)</w:t>
            </w:r>
          </w:p>
        </w:tc>
      </w:tr>
      <w:tr w:rsidR="00132F7C" w:rsidRPr="00B81DE8" w:rsidTr="005D2214">
        <w:trPr>
          <w:gridBefore w:val="1"/>
          <w:wBefore w:w="348" w:type="dxa"/>
          <w:cantSplit/>
        </w:trPr>
        <w:tc>
          <w:tcPr>
            <w:tcW w:w="5572" w:type="dxa"/>
            <w:gridSpan w:val="2"/>
          </w:tcPr>
          <w:p w:rsidR="00132F7C" w:rsidRPr="00B81DE8" w:rsidRDefault="00132F7C" w:rsidP="009E3780">
            <w:pPr>
              <w:spacing w:line="240" w:lineRule="auto"/>
              <w:rPr>
                <w:noProof/>
                <w:lang w:val="fr-BE"/>
              </w:rPr>
            </w:pPr>
            <w:r w:rsidRPr="00B81DE8">
              <w:rPr>
                <w:noProof/>
                <w:lang w:val="fr-BE"/>
              </w:rPr>
              <w:t>Règlement (</w:t>
            </w:r>
            <w:r>
              <w:rPr>
                <w:noProof/>
                <w:lang w:val="fr-BE"/>
              </w:rPr>
              <w:t>UE</w:t>
            </w:r>
            <w:r w:rsidRPr="00B81DE8">
              <w:rPr>
                <w:noProof/>
                <w:lang w:val="fr-BE"/>
              </w:rPr>
              <w:t>) n° 733/2013 du Conseil</w:t>
            </w:r>
          </w:p>
        </w:tc>
        <w:tc>
          <w:tcPr>
            <w:tcW w:w="3428" w:type="dxa"/>
            <w:gridSpan w:val="2"/>
          </w:tcPr>
          <w:p w:rsidR="00132F7C" w:rsidRPr="00B81DE8" w:rsidRDefault="00132F7C" w:rsidP="009E3780">
            <w:pPr>
              <w:spacing w:line="240" w:lineRule="auto"/>
              <w:rPr>
                <w:noProof/>
              </w:rPr>
            </w:pPr>
            <w:r w:rsidRPr="00B81DE8">
              <w:rPr>
                <w:noProof/>
                <w:lang w:val="en-US"/>
              </w:rPr>
              <w:t>(JO L 204 du 31.7.2013, p. 11)</w:t>
            </w:r>
          </w:p>
        </w:tc>
      </w:tr>
    </w:tbl>
    <w:p w:rsidR="00132F7C" w:rsidRPr="00B81DE8" w:rsidRDefault="00132F7C" w:rsidP="00066BB3">
      <w:pPr>
        <w:pStyle w:val="Lignefinal"/>
        <w:rPr>
          <w:noProof/>
        </w:rPr>
      </w:pPr>
    </w:p>
    <w:p w:rsidR="00066BB3" w:rsidRDefault="00066BB3" w:rsidP="00132F7C">
      <w:pPr>
        <w:pStyle w:val="Annexetitre"/>
        <w:rPr>
          <w:noProof/>
        </w:rPr>
        <w:sectPr w:rsidR="00066BB3" w:rsidSect="005D2214">
          <w:headerReference w:type="default" r:id="rId18"/>
          <w:footerReference w:type="default" r:id="rId19"/>
          <w:footnotePr>
            <w:numRestart w:val="eachPage"/>
          </w:footnotePr>
          <w:pgSz w:w="11907" w:h="16839"/>
          <w:pgMar w:top="1134" w:right="1134" w:bottom="1134" w:left="1134" w:header="567" w:footer="567" w:gutter="0"/>
          <w:pgNumType w:start="1"/>
          <w:cols w:space="708"/>
          <w:docGrid w:linePitch="360"/>
        </w:sectPr>
      </w:pPr>
    </w:p>
    <w:p w:rsidR="00132F7C" w:rsidRPr="00B81DE8" w:rsidRDefault="00132F7C" w:rsidP="00066BB3">
      <w:pPr>
        <w:pStyle w:val="Annexetitreacte"/>
        <w:rPr>
          <w:noProof/>
        </w:rPr>
      </w:pPr>
      <w:r w:rsidRPr="00B81DE8">
        <w:rPr>
          <w:noProof/>
        </w:rPr>
        <w:lastRenderedPageBreak/>
        <w:t>ANNEXE II</w:t>
      </w:r>
    </w:p>
    <w:p w:rsidR="00132F7C" w:rsidRPr="00B81DE8" w:rsidRDefault="00132F7C" w:rsidP="00066BB3">
      <w:pPr>
        <w:pStyle w:val="NormalCentered"/>
        <w:rPr>
          <w:noProof/>
          <w:lang w:eastAsia="de-DE"/>
        </w:rPr>
      </w:pPr>
      <w:r w:rsidRPr="00B81DE8">
        <w:rPr>
          <w:noProof/>
          <w:lang w:eastAsia="de-DE"/>
        </w:rPr>
        <w:t>Tableau de correspondance</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4"/>
        <w:gridCol w:w="4674"/>
      </w:tblGrid>
      <w:tr w:rsidR="00132F7C" w:rsidRPr="00B81DE8" w:rsidTr="00AE0682">
        <w:tc>
          <w:tcPr>
            <w:tcW w:w="4674" w:type="dxa"/>
            <w:tcBorders>
              <w:left w:val="nil"/>
            </w:tcBorders>
          </w:tcPr>
          <w:p w:rsidR="00132F7C" w:rsidRPr="00B81DE8" w:rsidRDefault="00132F7C" w:rsidP="009E3780">
            <w:pPr>
              <w:spacing w:before="60" w:after="60" w:line="240" w:lineRule="auto"/>
              <w:jc w:val="center"/>
              <w:rPr>
                <w:noProof/>
              </w:rPr>
            </w:pPr>
            <w:r w:rsidRPr="00B81DE8">
              <w:rPr>
                <w:noProof/>
                <w:lang w:val="fr-BE"/>
              </w:rPr>
              <w:t xml:space="preserve">Règlement (CE) n° 994/98 </w:t>
            </w:r>
          </w:p>
        </w:tc>
        <w:tc>
          <w:tcPr>
            <w:tcW w:w="4674" w:type="dxa"/>
            <w:tcBorders>
              <w:right w:val="nil"/>
            </w:tcBorders>
          </w:tcPr>
          <w:p w:rsidR="00132F7C" w:rsidRPr="00B81DE8" w:rsidRDefault="00132F7C" w:rsidP="009E3780">
            <w:pPr>
              <w:spacing w:before="60" w:after="60" w:line="240" w:lineRule="auto"/>
              <w:jc w:val="center"/>
              <w:rPr>
                <w:noProof/>
              </w:rPr>
            </w:pPr>
            <w:r w:rsidRPr="00B81DE8">
              <w:rPr>
                <w:noProof/>
              </w:rPr>
              <w:t>Présent règlement</w:t>
            </w:r>
          </w:p>
        </w:tc>
      </w:tr>
      <w:tr w:rsidR="00132F7C" w:rsidRPr="00B81DE8" w:rsidTr="00AE0682">
        <w:tc>
          <w:tcPr>
            <w:tcW w:w="4674" w:type="dxa"/>
            <w:tcBorders>
              <w:top w:val="nil"/>
              <w:left w:val="nil"/>
              <w:bottom w:val="nil"/>
            </w:tcBorders>
          </w:tcPr>
          <w:p w:rsidR="00132F7C" w:rsidRPr="00B81DE8" w:rsidRDefault="00132F7C" w:rsidP="009E3780">
            <w:pPr>
              <w:spacing w:before="60" w:after="60" w:line="240" w:lineRule="auto"/>
              <w:rPr>
                <w:noProof/>
              </w:rPr>
            </w:pPr>
            <w:r w:rsidRPr="00B81DE8">
              <w:rPr>
                <w:noProof/>
              </w:rPr>
              <w:t>Articles 1</w:t>
            </w:r>
            <w:r w:rsidR="00AF47F2" w:rsidRPr="00066BB3">
              <w:rPr>
                <w:noProof/>
                <w:vertAlign w:val="superscript"/>
              </w:rPr>
              <w:t>er</w:t>
            </w:r>
            <w:r w:rsidRPr="00B81DE8">
              <w:rPr>
                <w:noProof/>
              </w:rPr>
              <w:t xml:space="preserve"> à 8</w:t>
            </w:r>
          </w:p>
        </w:tc>
        <w:tc>
          <w:tcPr>
            <w:tcW w:w="4674" w:type="dxa"/>
            <w:tcBorders>
              <w:top w:val="nil"/>
              <w:bottom w:val="nil"/>
              <w:right w:val="nil"/>
            </w:tcBorders>
          </w:tcPr>
          <w:p w:rsidR="00132F7C" w:rsidRPr="00B81DE8" w:rsidRDefault="00132F7C" w:rsidP="009E3780">
            <w:pPr>
              <w:spacing w:before="60" w:after="60" w:line="240" w:lineRule="auto"/>
              <w:rPr>
                <w:noProof/>
              </w:rPr>
            </w:pPr>
            <w:r w:rsidRPr="00B81DE8">
              <w:rPr>
                <w:noProof/>
              </w:rPr>
              <w:t>Articles 1</w:t>
            </w:r>
            <w:r w:rsidR="00AF47F2" w:rsidRPr="00066BB3">
              <w:rPr>
                <w:noProof/>
                <w:vertAlign w:val="superscript"/>
              </w:rPr>
              <w:t>er</w:t>
            </w:r>
            <w:r w:rsidRPr="00B81DE8">
              <w:rPr>
                <w:noProof/>
              </w:rPr>
              <w:t xml:space="preserve"> à 8</w:t>
            </w:r>
          </w:p>
        </w:tc>
      </w:tr>
      <w:tr w:rsidR="00132F7C" w:rsidRPr="00B81DE8" w:rsidTr="00AE0682">
        <w:tc>
          <w:tcPr>
            <w:tcW w:w="4674" w:type="dxa"/>
            <w:tcBorders>
              <w:top w:val="nil"/>
              <w:left w:val="nil"/>
              <w:bottom w:val="nil"/>
            </w:tcBorders>
          </w:tcPr>
          <w:p w:rsidR="00132F7C" w:rsidRPr="00B81DE8" w:rsidRDefault="009E3780" w:rsidP="009E3780">
            <w:pPr>
              <w:spacing w:before="60" w:after="60" w:line="240" w:lineRule="auto"/>
              <w:rPr>
                <w:noProof/>
              </w:rPr>
            </w:pPr>
            <w:r>
              <w:rPr>
                <w:noProof/>
              </w:rPr>
              <w:t>–</w:t>
            </w:r>
          </w:p>
        </w:tc>
        <w:tc>
          <w:tcPr>
            <w:tcW w:w="4674" w:type="dxa"/>
            <w:tcBorders>
              <w:top w:val="nil"/>
              <w:bottom w:val="nil"/>
              <w:right w:val="nil"/>
            </w:tcBorders>
          </w:tcPr>
          <w:p w:rsidR="00132F7C" w:rsidRPr="00B81DE8" w:rsidRDefault="00132F7C" w:rsidP="009E3780">
            <w:pPr>
              <w:spacing w:before="60" w:after="60" w:line="240" w:lineRule="auto"/>
              <w:rPr>
                <w:noProof/>
              </w:rPr>
            </w:pPr>
            <w:r w:rsidRPr="00B81DE8">
              <w:rPr>
                <w:noProof/>
              </w:rPr>
              <w:t>Article 9</w:t>
            </w:r>
          </w:p>
        </w:tc>
      </w:tr>
      <w:tr w:rsidR="00132F7C" w:rsidRPr="00B81DE8" w:rsidTr="00AE0682">
        <w:tc>
          <w:tcPr>
            <w:tcW w:w="4674" w:type="dxa"/>
            <w:tcBorders>
              <w:top w:val="nil"/>
              <w:left w:val="nil"/>
              <w:bottom w:val="nil"/>
            </w:tcBorders>
          </w:tcPr>
          <w:p w:rsidR="00132F7C" w:rsidRPr="00B81DE8" w:rsidRDefault="00132F7C" w:rsidP="009E3780">
            <w:pPr>
              <w:spacing w:before="60" w:after="60" w:line="240" w:lineRule="auto"/>
              <w:rPr>
                <w:noProof/>
              </w:rPr>
            </w:pPr>
            <w:r w:rsidRPr="00B81DE8">
              <w:rPr>
                <w:noProof/>
              </w:rPr>
              <w:t>Article 9</w:t>
            </w:r>
          </w:p>
        </w:tc>
        <w:tc>
          <w:tcPr>
            <w:tcW w:w="4674" w:type="dxa"/>
            <w:tcBorders>
              <w:top w:val="nil"/>
              <w:bottom w:val="nil"/>
              <w:right w:val="nil"/>
            </w:tcBorders>
          </w:tcPr>
          <w:p w:rsidR="00132F7C" w:rsidRPr="00B81DE8" w:rsidRDefault="00132F7C" w:rsidP="009E3780">
            <w:pPr>
              <w:spacing w:before="60" w:after="60" w:line="240" w:lineRule="auto"/>
              <w:rPr>
                <w:noProof/>
              </w:rPr>
            </w:pPr>
            <w:r w:rsidRPr="00B81DE8">
              <w:rPr>
                <w:noProof/>
              </w:rPr>
              <w:t>Article 10</w:t>
            </w:r>
          </w:p>
        </w:tc>
      </w:tr>
      <w:tr w:rsidR="00132F7C" w:rsidRPr="00B81DE8" w:rsidTr="009E3780">
        <w:tc>
          <w:tcPr>
            <w:tcW w:w="4674" w:type="dxa"/>
            <w:tcBorders>
              <w:top w:val="nil"/>
              <w:left w:val="nil"/>
              <w:bottom w:val="nil"/>
            </w:tcBorders>
          </w:tcPr>
          <w:p w:rsidR="00132F7C" w:rsidRPr="00B81DE8" w:rsidRDefault="009E3780" w:rsidP="009E3780">
            <w:pPr>
              <w:spacing w:before="60" w:after="60" w:line="240" w:lineRule="auto"/>
              <w:rPr>
                <w:noProof/>
              </w:rPr>
            </w:pPr>
            <w:r>
              <w:rPr>
                <w:noProof/>
              </w:rPr>
              <w:t>–</w:t>
            </w:r>
          </w:p>
        </w:tc>
        <w:tc>
          <w:tcPr>
            <w:tcW w:w="4674" w:type="dxa"/>
            <w:tcBorders>
              <w:top w:val="nil"/>
              <w:bottom w:val="nil"/>
              <w:right w:val="nil"/>
            </w:tcBorders>
          </w:tcPr>
          <w:p w:rsidR="00132F7C" w:rsidRPr="00B81DE8" w:rsidRDefault="00132F7C" w:rsidP="009E3780">
            <w:pPr>
              <w:spacing w:before="60" w:after="60" w:line="240" w:lineRule="auto"/>
              <w:rPr>
                <w:noProof/>
              </w:rPr>
            </w:pPr>
            <w:r w:rsidRPr="00B81DE8">
              <w:rPr>
                <w:noProof/>
              </w:rPr>
              <w:t>Annex I</w:t>
            </w:r>
          </w:p>
        </w:tc>
      </w:tr>
      <w:tr w:rsidR="00132F7C" w:rsidRPr="00B81DE8" w:rsidTr="009E3780">
        <w:tc>
          <w:tcPr>
            <w:tcW w:w="4674" w:type="dxa"/>
            <w:tcBorders>
              <w:top w:val="nil"/>
              <w:left w:val="nil"/>
              <w:bottom w:val="single" w:sz="4" w:space="0" w:color="auto"/>
            </w:tcBorders>
          </w:tcPr>
          <w:p w:rsidR="00132F7C" w:rsidRPr="00B81DE8" w:rsidRDefault="009E3780" w:rsidP="009E3780">
            <w:pPr>
              <w:spacing w:before="60" w:after="60" w:line="240" w:lineRule="auto"/>
              <w:rPr>
                <w:noProof/>
              </w:rPr>
            </w:pPr>
            <w:r>
              <w:rPr>
                <w:noProof/>
              </w:rPr>
              <w:t>–</w:t>
            </w:r>
          </w:p>
        </w:tc>
        <w:tc>
          <w:tcPr>
            <w:tcW w:w="4674" w:type="dxa"/>
            <w:tcBorders>
              <w:top w:val="nil"/>
              <w:bottom w:val="single" w:sz="4" w:space="0" w:color="auto"/>
              <w:right w:val="nil"/>
            </w:tcBorders>
          </w:tcPr>
          <w:p w:rsidR="00132F7C" w:rsidRPr="00B81DE8" w:rsidRDefault="00132F7C" w:rsidP="009E3780">
            <w:pPr>
              <w:spacing w:before="60" w:after="60" w:line="240" w:lineRule="auto"/>
              <w:rPr>
                <w:noProof/>
              </w:rPr>
            </w:pPr>
            <w:r w:rsidRPr="00B81DE8">
              <w:rPr>
                <w:noProof/>
              </w:rPr>
              <w:t>Annex II</w:t>
            </w:r>
          </w:p>
        </w:tc>
      </w:tr>
    </w:tbl>
    <w:p w:rsidR="006E3EB4" w:rsidRPr="005D2214" w:rsidRDefault="006E3EB4" w:rsidP="00066BB3">
      <w:pPr>
        <w:pStyle w:val="Lignefinal"/>
      </w:pPr>
    </w:p>
    <w:sectPr w:rsidR="006E3EB4" w:rsidRPr="005D2214" w:rsidSect="005D2214">
      <w:headerReference w:type="default" r:id="rId20"/>
      <w:footerReference w:type="default" r:id="rId21"/>
      <w:footnotePr>
        <w:numRestart w:val="eachPage"/>
      </w:footnotePr>
      <w:pgSz w:w="11907" w:h="1683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EB4" w:rsidRDefault="006E3EB4" w:rsidP="006E3EB4">
      <w:pPr>
        <w:spacing w:before="0" w:after="0" w:line="240" w:lineRule="auto"/>
      </w:pPr>
      <w:r>
        <w:separator/>
      </w:r>
    </w:p>
  </w:endnote>
  <w:endnote w:type="continuationSeparator" w:id="0">
    <w:p w:rsidR="006E3EB4" w:rsidRDefault="006E3EB4" w:rsidP="006E3E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D" w:rsidRPr="005D2214" w:rsidRDefault="00174BDD" w:rsidP="005D22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5D2214" w:rsidRPr="0035025C" w:rsidTr="005D2214">
      <w:trPr>
        <w:jc w:val="center"/>
      </w:trPr>
      <w:tc>
        <w:tcPr>
          <w:tcW w:w="5000" w:type="pct"/>
          <w:gridSpan w:val="7"/>
          <w:shd w:val="clear" w:color="auto" w:fill="auto"/>
          <w:tcMar>
            <w:top w:w="57" w:type="dxa"/>
          </w:tcMar>
        </w:tcPr>
        <w:p w:rsidR="005D2214" w:rsidRPr="0035025C" w:rsidRDefault="005D2214" w:rsidP="0035025C">
          <w:pPr>
            <w:pStyle w:val="FooterText"/>
            <w:pBdr>
              <w:top w:val="single" w:sz="4" w:space="1" w:color="auto"/>
            </w:pBdr>
            <w:spacing w:before="200"/>
            <w:rPr>
              <w:sz w:val="2"/>
              <w:szCs w:val="2"/>
            </w:rPr>
          </w:pPr>
          <w:bookmarkStart w:id="2" w:name="FOOTER_LEGACTS"/>
        </w:p>
      </w:tc>
    </w:tr>
    <w:tr w:rsidR="005D2214" w:rsidRPr="00B310DC" w:rsidTr="005D2214">
      <w:trPr>
        <w:jc w:val="center"/>
      </w:trPr>
      <w:tc>
        <w:tcPr>
          <w:tcW w:w="2500" w:type="pct"/>
          <w:gridSpan w:val="2"/>
          <w:shd w:val="clear" w:color="auto" w:fill="auto"/>
          <w:tcMar>
            <w:top w:w="0" w:type="dxa"/>
          </w:tcMar>
        </w:tcPr>
        <w:p w:rsidR="005D2214" w:rsidRPr="00AD7BF2" w:rsidRDefault="005D2214" w:rsidP="0035025C">
          <w:pPr>
            <w:pStyle w:val="FooterText"/>
          </w:pPr>
          <w:r>
            <w:t xml:space="preserve">8282/15  </w:t>
          </w:r>
        </w:p>
      </w:tc>
      <w:tc>
        <w:tcPr>
          <w:tcW w:w="625" w:type="pct"/>
          <w:shd w:val="clear" w:color="auto" w:fill="auto"/>
          <w:tcMar>
            <w:top w:w="0" w:type="dxa"/>
          </w:tcMar>
        </w:tcPr>
        <w:p w:rsidR="005D2214" w:rsidRPr="00AD7BF2" w:rsidRDefault="005D2214" w:rsidP="0035025C">
          <w:pPr>
            <w:pStyle w:val="FooterText"/>
            <w:jc w:val="center"/>
          </w:pPr>
        </w:p>
      </w:tc>
      <w:tc>
        <w:tcPr>
          <w:tcW w:w="1287" w:type="pct"/>
          <w:gridSpan w:val="3"/>
          <w:shd w:val="clear" w:color="auto" w:fill="auto"/>
          <w:tcMar>
            <w:top w:w="0" w:type="dxa"/>
          </w:tcMar>
        </w:tcPr>
        <w:p w:rsidR="005D2214" w:rsidRPr="002511D8" w:rsidRDefault="005D2214" w:rsidP="0035025C">
          <w:pPr>
            <w:pStyle w:val="FooterText"/>
            <w:jc w:val="center"/>
          </w:pPr>
          <w:r>
            <w:t>RZ/</w:t>
          </w:r>
          <w:proofErr w:type="spellStart"/>
          <w:r>
            <w:t>vvs</w:t>
          </w:r>
          <w:proofErr w:type="spellEnd"/>
        </w:p>
      </w:tc>
      <w:tc>
        <w:tcPr>
          <w:tcW w:w="588" w:type="pct"/>
          <w:shd w:val="clear" w:color="auto" w:fill="auto"/>
          <w:tcMar>
            <w:top w:w="0" w:type="dxa"/>
          </w:tcMar>
        </w:tcPr>
        <w:p w:rsidR="005D2214" w:rsidRPr="00B310DC" w:rsidRDefault="005D2214" w:rsidP="0035025C">
          <w:pPr>
            <w:pStyle w:val="FooterText"/>
            <w:jc w:val="right"/>
          </w:pPr>
          <w:r>
            <w:fldChar w:fldCharType="begin"/>
          </w:r>
          <w:r>
            <w:instrText xml:space="preserve"> PAGE  \* MERGEFORMAT </w:instrText>
          </w:r>
          <w:r>
            <w:fldChar w:fldCharType="separate"/>
          </w:r>
          <w:r>
            <w:rPr>
              <w:noProof/>
            </w:rPr>
            <w:t>21</w:t>
          </w:r>
          <w:r>
            <w:fldChar w:fldCharType="end"/>
          </w:r>
        </w:p>
      </w:tc>
    </w:tr>
    <w:tr w:rsidR="005D2214" w:rsidRPr="0035025C" w:rsidTr="005D2214">
      <w:trPr>
        <w:jc w:val="center"/>
      </w:trPr>
      <w:tc>
        <w:tcPr>
          <w:tcW w:w="1774" w:type="pct"/>
          <w:shd w:val="clear" w:color="auto" w:fill="auto"/>
        </w:tcPr>
        <w:p w:rsidR="005D2214" w:rsidRPr="00AD7BF2" w:rsidRDefault="005D2214" w:rsidP="0035025C">
          <w:pPr>
            <w:pStyle w:val="FooterText"/>
            <w:spacing w:before="40"/>
          </w:pPr>
        </w:p>
      </w:tc>
      <w:tc>
        <w:tcPr>
          <w:tcW w:w="1494" w:type="pct"/>
          <w:gridSpan w:val="3"/>
          <w:shd w:val="clear" w:color="auto" w:fill="auto"/>
        </w:tcPr>
        <w:p w:rsidR="005D2214" w:rsidRPr="00AD7BF2" w:rsidRDefault="005D2214" w:rsidP="0035025C">
          <w:pPr>
            <w:pStyle w:val="FooterText"/>
            <w:spacing w:before="40"/>
            <w:jc w:val="center"/>
          </w:pPr>
          <w:r>
            <w:t>SJ DIR 4</w:t>
          </w:r>
        </w:p>
      </w:tc>
      <w:tc>
        <w:tcPr>
          <w:tcW w:w="1107" w:type="pct"/>
          <w:shd w:val="clear" w:color="auto" w:fill="auto"/>
        </w:tcPr>
        <w:p w:rsidR="005D2214" w:rsidRPr="0035025C" w:rsidRDefault="005D2214" w:rsidP="0035025C">
          <w:pPr>
            <w:pStyle w:val="FooterText"/>
            <w:jc w:val="right"/>
            <w:rPr>
              <w:b/>
              <w:position w:val="-4"/>
              <w:sz w:val="36"/>
            </w:rPr>
          </w:pPr>
        </w:p>
      </w:tc>
      <w:tc>
        <w:tcPr>
          <w:tcW w:w="625" w:type="pct"/>
          <w:gridSpan w:val="2"/>
          <w:shd w:val="clear" w:color="auto" w:fill="auto"/>
        </w:tcPr>
        <w:p w:rsidR="005D2214" w:rsidRPr="0035025C" w:rsidRDefault="005D2214" w:rsidP="0035025C">
          <w:pPr>
            <w:pStyle w:val="FooterText"/>
            <w:jc w:val="right"/>
            <w:rPr>
              <w:sz w:val="16"/>
            </w:rPr>
          </w:pPr>
          <w:r>
            <w:rPr>
              <w:b/>
              <w:position w:val="-4"/>
              <w:sz w:val="36"/>
            </w:rPr>
            <w:t>FR</w:t>
          </w:r>
        </w:p>
      </w:tc>
    </w:tr>
    <w:bookmarkEnd w:id="2"/>
  </w:tbl>
  <w:p w:rsidR="006E3EB4" w:rsidRPr="005D2214" w:rsidRDefault="006E3EB4" w:rsidP="005D2214">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5D2214" w:rsidRPr="0035025C" w:rsidTr="005D2214">
      <w:trPr>
        <w:jc w:val="center"/>
      </w:trPr>
      <w:tc>
        <w:tcPr>
          <w:tcW w:w="5000" w:type="pct"/>
          <w:gridSpan w:val="7"/>
          <w:shd w:val="clear" w:color="auto" w:fill="auto"/>
          <w:tcMar>
            <w:top w:w="57" w:type="dxa"/>
          </w:tcMar>
        </w:tcPr>
        <w:p w:rsidR="005D2214" w:rsidRPr="0035025C" w:rsidRDefault="005D2214" w:rsidP="0035025C">
          <w:pPr>
            <w:pStyle w:val="FooterText"/>
            <w:pBdr>
              <w:top w:val="single" w:sz="4" w:space="1" w:color="auto"/>
            </w:pBdr>
            <w:spacing w:before="200"/>
            <w:rPr>
              <w:sz w:val="2"/>
              <w:szCs w:val="2"/>
            </w:rPr>
          </w:pPr>
        </w:p>
      </w:tc>
    </w:tr>
    <w:tr w:rsidR="005D2214" w:rsidRPr="00B310DC" w:rsidTr="005D2214">
      <w:trPr>
        <w:jc w:val="center"/>
      </w:trPr>
      <w:tc>
        <w:tcPr>
          <w:tcW w:w="2500" w:type="pct"/>
          <w:gridSpan w:val="2"/>
          <w:shd w:val="clear" w:color="auto" w:fill="auto"/>
          <w:tcMar>
            <w:top w:w="0" w:type="dxa"/>
          </w:tcMar>
        </w:tcPr>
        <w:p w:rsidR="005D2214" w:rsidRPr="00AD7BF2" w:rsidRDefault="005D2214" w:rsidP="0035025C">
          <w:pPr>
            <w:pStyle w:val="FooterText"/>
          </w:pPr>
          <w:r>
            <w:t xml:space="preserve">8282/15  </w:t>
          </w:r>
        </w:p>
      </w:tc>
      <w:tc>
        <w:tcPr>
          <w:tcW w:w="625" w:type="pct"/>
          <w:shd w:val="clear" w:color="auto" w:fill="auto"/>
          <w:tcMar>
            <w:top w:w="0" w:type="dxa"/>
          </w:tcMar>
        </w:tcPr>
        <w:p w:rsidR="005D2214" w:rsidRPr="00AD7BF2" w:rsidRDefault="005D2214" w:rsidP="0035025C">
          <w:pPr>
            <w:pStyle w:val="FooterText"/>
            <w:jc w:val="center"/>
          </w:pPr>
        </w:p>
      </w:tc>
      <w:tc>
        <w:tcPr>
          <w:tcW w:w="1287" w:type="pct"/>
          <w:gridSpan w:val="3"/>
          <w:shd w:val="clear" w:color="auto" w:fill="auto"/>
          <w:tcMar>
            <w:top w:w="0" w:type="dxa"/>
          </w:tcMar>
        </w:tcPr>
        <w:p w:rsidR="005D2214" w:rsidRPr="002511D8" w:rsidRDefault="005D2214" w:rsidP="0035025C">
          <w:pPr>
            <w:pStyle w:val="FooterText"/>
            <w:jc w:val="center"/>
          </w:pPr>
          <w:r>
            <w:t>RZ/</w:t>
          </w:r>
          <w:proofErr w:type="spellStart"/>
          <w:r>
            <w:t>vvs</w:t>
          </w:r>
          <w:proofErr w:type="spellEnd"/>
        </w:p>
      </w:tc>
      <w:tc>
        <w:tcPr>
          <w:tcW w:w="588" w:type="pct"/>
          <w:shd w:val="clear" w:color="auto" w:fill="auto"/>
          <w:tcMar>
            <w:top w:w="0" w:type="dxa"/>
          </w:tcMar>
        </w:tcPr>
        <w:p w:rsidR="005D2214" w:rsidRPr="00B310DC" w:rsidRDefault="005D2214" w:rsidP="0035025C">
          <w:pPr>
            <w:pStyle w:val="FooterText"/>
            <w:jc w:val="right"/>
          </w:pPr>
        </w:p>
      </w:tc>
    </w:tr>
    <w:tr w:rsidR="005D2214" w:rsidRPr="0035025C" w:rsidTr="005D2214">
      <w:trPr>
        <w:jc w:val="center"/>
      </w:trPr>
      <w:tc>
        <w:tcPr>
          <w:tcW w:w="1774" w:type="pct"/>
          <w:shd w:val="clear" w:color="auto" w:fill="auto"/>
        </w:tcPr>
        <w:p w:rsidR="005D2214" w:rsidRPr="00AD7BF2" w:rsidRDefault="005D2214" w:rsidP="0035025C">
          <w:pPr>
            <w:pStyle w:val="FooterText"/>
            <w:spacing w:before="40"/>
          </w:pPr>
        </w:p>
      </w:tc>
      <w:tc>
        <w:tcPr>
          <w:tcW w:w="1494" w:type="pct"/>
          <w:gridSpan w:val="3"/>
          <w:shd w:val="clear" w:color="auto" w:fill="auto"/>
        </w:tcPr>
        <w:p w:rsidR="005D2214" w:rsidRPr="00AD7BF2" w:rsidRDefault="005D2214" w:rsidP="0035025C">
          <w:pPr>
            <w:pStyle w:val="FooterText"/>
            <w:spacing w:before="40"/>
            <w:jc w:val="center"/>
          </w:pPr>
          <w:r>
            <w:t>SJ DIR 4</w:t>
          </w:r>
        </w:p>
      </w:tc>
      <w:tc>
        <w:tcPr>
          <w:tcW w:w="1107" w:type="pct"/>
          <w:shd w:val="clear" w:color="auto" w:fill="auto"/>
        </w:tcPr>
        <w:p w:rsidR="005D2214" w:rsidRPr="0035025C" w:rsidRDefault="005D2214" w:rsidP="0035025C">
          <w:pPr>
            <w:pStyle w:val="FooterText"/>
            <w:jc w:val="right"/>
            <w:rPr>
              <w:b/>
              <w:position w:val="-4"/>
              <w:sz w:val="36"/>
            </w:rPr>
          </w:pPr>
        </w:p>
      </w:tc>
      <w:tc>
        <w:tcPr>
          <w:tcW w:w="625" w:type="pct"/>
          <w:gridSpan w:val="2"/>
          <w:shd w:val="clear" w:color="auto" w:fill="auto"/>
        </w:tcPr>
        <w:p w:rsidR="005D2214" w:rsidRPr="0035025C" w:rsidRDefault="005D2214" w:rsidP="0035025C">
          <w:pPr>
            <w:pStyle w:val="FooterText"/>
            <w:jc w:val="right"/>
            <w:rPr>
              <w:sz w:val="16"/>
            </w:rPr>
          </w:pPr>
          <w:r>
            <w:rPr>
              <w:b/>
              <w:position w:val="-4"/>
              <w:sz w:val="36"/>
            </w:rPr>
            <w:t>FR</w:t>
          </w:r>
        </w:p>
      </w:tc>
    </w:tr>
  </w:tbl>
  <w:p w:rsidR="006E3EB4" w:rsidRPr="005D2214" w:rsidRDefault="006E3EB4" w:rsidP="005D2214">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F7C" w:rsidRPr="005D2214" w:rsidRDefault="00132F7C" w:rsidP="005D221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5D2214" w:rsidRPr="0035025C" w:rsidTr="005D2214">
      <w:trPr>
        <w:jc w:val="center"/>
      </w:trPr>
      <w:tc>
        <w:tcPr>
          <w:tcW w:w="5000" w:type="pct"/>
          <w:gridSpan w:val="7"/>
          <w:shd w:val="clear" w:color="auto" w:fill="auto"/>
          <w:tcMar>
            <w:top w:w="57" w:type="dxa"/>
          </w:tcMar>
        </w:tcPr>
        <w:p w:rsidR="005D2214" w:rsidRPr="0035025C" w:rsidRDefault="005D2214" w:rsidP="0035025C">
          <w:pPr>
            <w:pStyle w:val="FooterText"/>
            <w:pBdr>
              <w:top w:val="single" w:sz="4" w:space="1" w:color="auto"/>
            </w:pBdr>
            <w:spacing w:before="200"/>
            <w:rPr>
              <w:sz w:val="2"/>
              <w:szCs w:val="2"/>
            </w:rPr>
          </w:pPr>
        </w:p>
      </w:tc>
    </w:tr>
    <w:tr w:rsidR="005D2214" w:rsidRPr="00B310DC" w:rsidTr="005D2214">
      <w:trPr>
        <w:jc w:val="center"/>
      </w:trPr>
      <w:tc>
        <w:tcPr>
          <w:tcW w:w="2500" w:type="pct"/>
          <w:gridSpan w:val="2"/>
          <w:shd w:val="clear" w:color="auto" w:fill="auto"/>
          <w:tcMar>
            <w:top w:w="0" w:type="dxa"/>
          </w:tcMar>
        </w:tcPr>
        <w:p w:rsidR="005D2214" w:rsidRPr="00AD7BF2" w:rsidRDefault="005D2214" w:rsidP="0035025C">
          <w:pPr>
            <w:pStyle w:val="FooterText"/>
          </w:pPr>
          <w:r>
            <w:t xml:space="preserve">8282/15  </w:t>
          </w:r>
        </w:p>
      </w:tc>
      <w:tc>
        <w:tcPr>
          <w:tcW w:w="625" w:type="pct"/>
          <w:shd w:val="clear" w:color="auto" w:fill="auto"/>
          <w:tcMar>
            <w:top w:w="0" w:type="dxa"/>
          </w:tcMar>
        </w:tcPr>
        <w:p w:rsidR="005D2214" w:rsidRPr="00AD7BF2" w:rsidRDefault="005D2214" w:rsidP="0035025C">
          <w:pPr>
            <w:pStyle w:val="FooterText"/>
            <w:jc w:val="center"/>
          </w:pPr>
        </w:p>
      </w:tc>
      <w:tc>
        <w:tcPr>
          <w:tcW w:w="1287" w:type="pct"/>
          <w:gridSpan w:val="3"/>
          <w:shd w:val="clear" w:color="auto" w:fill="auto"/>
          <w:tcMar>
            <w:top w:w="0" w:type="dxa"/>
          </w:tcMar>
        </w:tcPr>
        <w:p w:rsidR="005D2214" w:rsidRPr="002511D8" w:rsidRDefault="005D2214" w:rsidP="0035025C">
          <w:pPr>
            <w:pStyle w:val="FooterText"/>
            <w:jc w:val="center"/>
          </w:pPr>
          <w:r>
            <w:t>RZ/</w:t>
          </w:r>
          <w:proofErr w:type="spellStart"/>
          <w:r>
            <w:t>vvs</w:t>
          </w:r>
          <w:proofErr w:type="spellEnd"/>
        </w:p>
      </w:tc>
      <w:tc>
        <w:tcPr>
          <w:tcW w:w="588" w:type="pct"/>
          <w:shd w:val="clear" w:color="auto" w:fill="auto"/>
          <w:tcMar>
            <w:top w:w="0" w:type="dxa"/>
          </w:tcMar>
        </w:tcPr>
        <w:p w:rsidR="005D2214" w:rsidRPr="00B310DC" w:rsidRDefault="005D2214"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5D2214" w:rsidRPr="0035025C" w:rsidTr="005D2214">
      <w:trPr>
        <w:jc w:val="center"/>
      </w:trPr>
      <w:tc>
        <w:tcPr>
          <w:tcW w:w="1774" w:type="pct"/>
          <w:shd w:val="clear" w:color="auto" w:fill="auto"/>
        </w:tcPr>
        <w:p w:rsidR="005D2214" w:rsidRPr="00AD7BF2" w:rsidRDefault="005D2214" w:rsidP="0035025C">
          <w:pPr>
            <w:pStyle w:val="FooterText"/>
            <w:spacing w:before="40"/>
          </w:pPr>
          <w:r>
            <w:t>ANNEXE I</w:t>
          </w:r>
        </w:p>
      </w:tc>
      <w:tc>
        <w:tcPr>
          <w:tcW w:w="1494" w:type="pct"/>
          <w:gridSpan w:val="3"/>
          <w:shd w:val="clear" w:color="auto" w:fill="auto"/>
        </w:tcPr>
        <w:p w:rsidR="005D2214" w:rsidRPr="00AD7BF2" w:rsidRDefault="005D2214" w:rsidP="0035025C">
          <w:pPr>
            <w:pStyle w:val="FooterText"/>
            <w:spacing w:before="40"/>
            <w:jc w:val="center"/>
          </w:pPr>
          <w:r>
            <w:t>SJ DIR 4</w:t>
          </w:r>
        </w:p>
      </w:tc>
      <w:tc>
        <w:tcPr>
          <w:tcW w:w="1107" w:type="pct"/>
          <w:shd w:val="clear" w:color="auto" w:fill="auto"/>
        </w:tcPr>
        <w:p w:rsidR="005D2214" w:rsidRPr="0035025C" w:rsidRDefault="005D2214" w:rsidP="0035025C">
          <w:pPr>
            <w:pStyle w:val="FooterText"/>
            <w:jc w:val="right"/>
            <w:rPr>
              <w:b/>
              <w:position w:val="-4"/>
              <w:sz w:val="36"/>
            </w:rPr>
          </w:pPr>
        </w:p>
      </w:tc>
      <w:tc>
        <w:tcPr>
          <w:tcW w:w="625" w:type="pct"/>
          <w:gridSpan w:val="2"/>
          <w:shd w:val="clear" w:color="auto" w:fill="auto"/>
        </w:tcPr>
        <w:p w:rsidR="005D2214" w:rsidRPr="0035025C" w:rsidRDefault="005D2214" w:rsidP="0035025C">
          <w:pPr>
            <w:pStyle w:val="FooterText"/>
            <w:jc w:val="right"/>
            <w:rPr>
              <w:sz w:val="16"/>
            </w:rPr>
          </w:pPr>
          <w:r>
            <w:rPr>
              <w:b/>
              <w:position w:val="-4"/>
              <w:sz w:val="36"/>
            </w:rPr>
            <w:t>FR</w:t>
          </w:r>
        </w:p>
      </w:tc>
    </w:tr>
  </w:tbl>
  <w:p w:rsidR="00B94322" w:rsidRPr="005D2214" w:rsidRDefault="00B94322" w:rsidP="005D2214">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5D2214" w:rsidRPr="0035025C" w:rsidTr="005D2214">
      <w:trPr>
        <w:jc w:val="center"/>
      </w:trPr>
      <w:tc>
        <w:tcPr>
          <w:tcW w:w="5000" w:type="pct"/>
          <w:gridSpan w:val="7"/>
          <w:shd w:val="clear" w:color="auto" w:fill="auto"/>
          <w:tcMar>
            <w:top w:w="57" w:type="dxa"/>
          </w:tcMar>
        </w:tcPr>
        <w:p w:rsidR="005D2214" w:rsidRPr="0035025C" w:rsidRDefault="005D2214" w:rsidP="0035025C">
          <w:pPr>
            <w:pStyle w:val="FooterText"/>
            <w:pBdr>
              <w:top w:val="single" w:sz="4" w:space="1" w:color="auto"/>
            </w:pBdr>
            <w:spacing w:before="200"/>
            <w:rPr>
              <w:sz w:val="2"/>
              <w:szCs w:val="2"/>
            </w:rPr>
          </w:pPr>
        </w:p>
      </w:tc>
    </w:tr>
    <w:tr w:rsidR="005D2214" w:rsidRPr="00B310DC" w:rsidTr="005D2214">
      <w:trPr>
        <w:jc w:val="center"/>
      </w:trPr>
      <w:tc>
        <w:tcPr>
          <w:tcW w:w="2500" w:type="pct"/>
          <w:gridSpan w:val="2"/>
          <w:shd w:val="clear" w:color="auto" w:fill="auto"/>
          <w:tcMar>
            <w:top w:w="0" w:type="dxa"/>
          </w:tcMar>
        </w:tcPr>
        <w:p w:rsidR="005D2214" w:rsidRPr="00AD7BF2" w:rsidRDefault="005D2214" w:rsidP="0035025C">
          <w:pPr>
            <w:pStyle w:val="FooterText"/>
          </w:pPr>
          <w:r>
            <w:t xml:space="preserve">8282/15  </w:t>
          </w:r>
        </w:p>
      </w:tc>
      <w:tc>
        <w:tcPr>
          <w:tcW w:w="625" w:type="pct"/>
          <w:shd w:val="clear" w:color="auto" w:fill="auto"/>
          <w:tcMar>
            <w:top w:w="0" w:type="dxa"/>
          </w:tcMar>
        </w:tcPr>
        <w:p w:rsidR="005D2214" w:rsidRPr="00AD7BF2" w:rsidRDefault="005D2214" w:rsidP="0035025C">
          <w:pPr>
            <w:pStyle w:val="FooterText"/>
            <w:jc w:val="center"/>
          </w:pPr>
        </w:p>
      </w:tc>
      <w:tc>
        <w:tcPr>
          <w:tcW w:w="1287" w:type="pct"/>
          <w:gridSpan w:val="3"/>
          <w:shd w:val="clear" w:color="auto" w:fill="auto"/>
          <w:tcMar>
            <w:top w:w="0" w:type="dxa"/>
          </w:tcMar>
        </w:tcPr>
        <w:p w:rsidR="005D2214" w:rsidRPr="002511D8" w:rsidRDefault="005D2214" w:rsidP="0035025C">
          <w:pPr>
            <w:pStyle w:val="FooterText"/>
            <w:jc w:val="center"/>
          </w:pPr>
          <w:r>
            <w:t>RZ/</w:t>
          </w:r>
          <w:proofErr w:type="spellStart"/>
          <w:r>
            <w:t>vvs</w:t>
          </w:r>
          <w:proofErr w:type="spellEnd"/>
        </w:p>
      </w:tc>
      <w:tc>
        <w:tcPr>
          <w:tcW w:w="588" w:type="pct"/>
          <w:shd w:val="clear" w:color="auto" w:fill="auto"/>
          <w:tcMar>
            <w:top w:w="0" w:type="dxa"/>
          </w:tcMar>
        </w:tcPr>
        <w:p w:rsidR="005D2214" w:rsidRPr="00B310DC" w:rsidRDefault="005D2214"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5D2214" w:rsidRPr="0035025C" w:rsidTr="005D2214">
      <w:trPr>
        <w:jc w:val="center"/>
      </w:trPr>
      <w:tc>
        <w:tcPr>
          <w:tcW w:w="1774" w:type="pct"/>
          <w:shd w:val="clear" w:color="auto" w:fill="auto"/>
        </w:tcPr>
        <w:p w:rsidR="005D2214" w:rsidRPr="00AD7BF2" w:rsidRDefault="005D2214" w:rsidP="0035025C">
          <w:pPr>
            <w:pStyle w:val="FooterText"/>
            <w:spacing w:before="40"/>
          </w:pPr>
          <w:r>
            <w:t>ANNEXE II</w:t>
          </w:r>
        </w:p>
      </w:tc>
      <w:tc>
        <w:tcPr>
          <w:tcW w:w="1494" w:type="pct"/>
          <w:gridSpan w:val="3"/>
          <w:shd w:val="clear" w:color="auto" w:fill="auto"/>
        </w:tcPr>
        <w:p w:rsidR="005D2214" w:rsidRPr="00AD7BF2" w:rsidRDefault="005D2214" w:rsidP="0035025C">
          <w:pPr>
            <w:pStyle w:val="FooterText"/>
            <w:spacing w:before="40"/>
            <w:jc w:val="center"/>
          </w:pPr>
          <w:r>
            <w:t>SJ DIR 4</w:t>
          </w:r>
        </w:p>
      </w:tc>
      <w:tc>
        <w:tcPr>
          <w:tcW w:w="1107" w:type="pct"/>
          <w:shd w:val="clear" w:color="auto" w:fill="auto"/>
        </w:tcPr>
        <w:p w:rsidR="005D2214" w:rsidRPr="0035025C" w:rsidRDefault="005D2214" w:rsidP="0035025C">
          <w:pPr>
            <w:pStyle w:val="FooterText"/>
            <w:jc w:val="right"/>
            <w:rPr>
              <w:b/>
              <w:position w:val="-4"/>
              <w:sz w:val="36"/>
            </w:rPr>
          </w:pPr>
        </w:p>
      </w:tc>
      <w:tc>
        <w:tcPr>
          <w:tcW w:w="625" w:type="pct"/>
          <w:gridSpan w:val="2"/>
          <w:shd w:val="clear" w:color="auto" w:fill="auto"/>
        </w:tcPr>
        <w:p w:rsidR="005D2214" w:rsidRPr="0035025C" w:rsidRDefault="005D2214" w:rsidP="0035025C">
          <w:pPr>
            <w:pStyle w:val="FooterText"/>
            <w:jc w:val="right"/>
            <w:rPr>
              <w:sz w:val="16"/>
            </w:rPr>
          </w:pPr>
          <w:r>
            <w:rPr>
              <w:b/>
              <w:position w:val="-4"/>
              <w:sz w:val="36"/>
            </w:rPr>
            <w:t>FR</w:t>
          </w:r>
        </w:p>
      </w:tc>
    </w:tr>
  </w:tbl>
  <w:p w:rsidR="008943BD" w:rsidRPr="005D2214" w:rsidRDefault="008943BD" w:rsidP="005D2214">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EB4" w:rsidRDefault="006E3EB4" w:rsidP="006E3EB4">
      <w:pPr>
        <w:spacing w:before="0" w:after="0" w:line="240" w:lineRule="auto"/>
      </w:pPr>
      <w:r>
        <w:separator/>
      </w:r>
    </w:p>
  </w:footnote>
  <w:footnote w:type="continuationSeparator" w:id="0">
    <w:p w:rsidR="006E3EB4" w:rsidRDefault="006E3EB4" w:rsidP="006E3EB4">
      <w:pPr>
        <w:spacing w:before="0" w:after="0" w:line="240" w:lineRule="auto"/>
      </w:pPr>
      <w:r>
        <w:continuationSeparator/>
      </w:r>
    </w:p>
  </w:footnote>
  <w:footnote w:id="1">
    <w:p w:rsidR="007102DA" w:rsidRPr="00066BB3" w:rsidRDefault="007102DA">
      <w:pPr>
        <w:pStyle w:val="FootnoteText"/>
        <w:rPr>
          <w:lang w:val="fr-BE"/>
        </w:rPr>
      </w:pPr>
      <w:r>
        <w:rPr>
          <w:rStyle w:val="FootnoteReference"/>
          <w:lang w:val="en-US"/>
        </w:rPr>
        <w:footnoteRef/>
      </w:r>
      <w:r w:rsidRPr="00066BB3">
        <w:rPr>
          <w:lang w:val="fr-BE"/>
        </w:rPr>
        <w:tab/>
      </w:r>
      <w:r w:rsidR="00132F7C" w:rsidRPr="00066BB3">
        <w:rPr>
          <w:lang w:val="fr-BE"/>
        </w:rPr>
        <w:t>Avis du 29 avril 2015 (non encore paru au Journal officiel)</w:t>
      </w:r>
      <w:r w:rsidRPr="00066BB3">
        <w:rPr>
          <w:lang w:val="fr-BE"/>
        </w:rPr>
        <w:t>.</w:t>
      </w:r>
    </w:p>
  </w:footnote>
  <w:footnote w:id="2">
    <w:p w:rsidR="007102DA" w:rsidRPr="00CF3297" w:rsidRDefault="007102DA" w:rsidP="007102DA">
      <w:pPr>
        <w:pStyle w:val="FootnoteText"/>
        <w:rPr>
          <w:sz w:val="18"/>
          <w:lang w:val="fr-BE"/>
        </w:rPr>
      </w:pPr>
      <w:r w:rsidRPr="00B06C46">
        <w:rPr>
          <w:rStyle w:val="FootnoteReference"/>
        </w:rPr>
        <w:footnoteRef/>
      </w:r>
      <w:r w:rsidRPr="00CF3297">
        <w:rPr>
          <w:sz w:val="18"/>
          <w:lang w:val="fr-BE"/>
        </w:rPr>
        <w:tab/>
      </w:r>
      <w:r w:rsidRPr="006E1B03">
        <w:rPr>
          <w:lang w:val="fr-BE"/>
        </w:rPr>
        <w:t>Règlement (CE) n° 994/98 du Conseil du 7 mai 1998 sur l</w:t>
      </w:r>
      <w:r>
        <w:rPr>
          <w:lang w:val="fr-BE"/>
        </w:rPr>
        <w:t>'</w:t>
      </w:r>
      <w:r w:rsidRPr="006E1B03">
        <w:rPr>
          <w:lang w:val="fr-BE"/>
        </w:rPr>
        <w:t>application des articles 107 et 108 du traité sur le fonctionnement de l</w:t>
      </w:r>
      <w:r>
        <w:rPr>
          <w:lang w:val="fr-BE"/>
        </w:rPr>
        <w:t>'</w:t>
      </w:r>
      <w:r w:rsidRPr="006E1B03">
        <w:rPr>
          <w:lang w:val="fr-BE"/>
        </w:rPr>
        <w:t>Union européenne à certaines catégories d</w:t>
      </w:r>
      <w:r>
        <w:rPr>
          <w:lang w:val="fr-BE"/>
        </w:rPr>
        <w:t>'</w:t>
      </w:r>
      <w:r w:rsidRPr="006E1B03">
        <w:rPr>
          <w:lang w:val="fr-BE"/>
        </w:rPr>
        <w:t>aides d</w:t>
      </w:r>
      <w:r>
        <w:rPr>
          <w:lang w:val="fr-BE"/>
        </w:rPr>
        <w:t>'</w:t>
      </w:r>
      <w:r w:rsidRPr="006E1B03">
        <w:rPr>
          <w:lang w:val="fr-BE"/>
        </w:rPr>
        <w:t>État horizontales (</w:t>
      </w:r>
      <w:r>
        <w:rPr>
          <w:lang w:val="fr-BE"/>
        </w:rPr>
        <w:t>JO L </w:t>
      </w:r>
      <w:r w:rsidRPr="006E1B03">
        <w:rPr>
          <w:lang w:val="fr-BE"/>
        </w:rPr>
        <w:t>142 du 14.5.1998, p. 1).</w:t>
      </w:r>
    </w:p>
  </w:footnote>
  <w:footnote w:id="3">
    <w:p w:rsidR="007102DA" w:rsidRDefault="007102DA" w:rsidP="007102DA">
      <w:pPr>
        <w:pStyle w:val="FootnoteText"/>
      </w:pPr>
      <w:r w:rsidRPr="00B06C46">
        <w:rPr>
          <w:rStyle w:val="FootnoteReference"/>
        </w:rPr>
        <w:footnoteRef/>
      </w:r>
      <w:r>
        <w:rPr>
          <w:sz w:val="18"/>
        </w:rPr>
        <w:tab/>
      </w:r>
      <w:r>
        <w:t>Voir annexe I.</w:t>
      </w:r>
    </w:p>
  </w:footnote>
  <w:footnote w:id="4">
    <w:p w:rsidR="007102DA" w:rsidRPr="00CF3297" w:rsidRDefault="007102DA" w:rsidP="007102DA">
      <w:pPr>
        <w:pStyle w:val="FootnoteText"/>
        <w:rPr>
          <w:lang w:val="fr-BE"/>
        </w:rPr>
      </w:pPr>
      <w:r>
        <w:rPr>
          <w:rStyle w:val="FootnoteReference"/>
          <w:lang w:val="en-US"/>
        </w:rPr>
        <w:footnoteRef/>
      </w:r>
      <w:r w:rsidRPr="00C9709F">
        <w:rPr>
          <w:lang w:val="fr-BE"/>
        </w:rPr>
        <w:tab/>
      </w:r>
      <w:r w:rsidRPr="00CF3297">
        <w:rPr>
          <w:lang w:val="fr-BE"/>
        </w:rPr>
        <w:t xml:space="preserve">Règlement (CE) </w:t>
      </w:r>
      <w:r>
        <w:rPr>
          <w:lang w:val="fr-BE"/>
        </w:rPr>
        <w:t>n</w:t>
      </w:r>
      <w:r w:rsidRPr="00CF3297">
        <w:rPr>
          <w:lang w:val="fr-BE"/>
        </w:rPr>
        <w:t>° 1198/2006 du Conseil du 27 juillet 2006 relatif au Fonds européen pour la pêche (JO L 223 du 15.8.2006, p. 1).</w:t>
      </w:r>
    </w:p>
  </w:footnote>
  <w:footnote w:id="5">
    <w:p w:rsidR="007102DA" w:rsidRPr="008A3ED0" w:rsidRDefault="007102DA" w:rsidP="007102DA">
      <w:pPr>
        <w:pStyle w:val="FootnoteText"/>
      </w:pPr>
      <w:r>
        <w:rPr>
          <w:rStyle w:val="FootnoteReference"/>
          <w:lang w:val="en-US"/>
        </w:rPr>
        <w:footnoteRef/>
      </w:r>
      <w:r w:rsidRPr="00C9709F">
        <w:rPr>
          <w:lang w:val="fr-BE"/>
        </w:rPr>
        <w:tab/>
      </w:r>
      <w:r>
        <w:t>Communication de la Commission — Lignes directrices de l'Union européenne pour l'application des règles relatives aux aides d'État dans le cadre du déploiement rapide des réseaux de communication à haut débit (JO C 25 du 26.1.</w:t>
      </w:r>
      <w:r w:rsidRPr="008A3ED0">
        <w:t>2013, p. 1).</w:t>
      </w:r>
    </w:p>
  </w:footnote>
  <w:footnote w:id="6">
    <w:p w:rsidR="007102DA" w:rsidRPr="008A3ED0" w:rsidRDefault="007102DA" w:rsidP="007102DA">
      <w:pPr>
        <w:pStyle w:val="FootnoteText"/>
      </w:pPr>
      <w:r w:rsidRPr="008A3ED0">
        <w:rPr>
          <w:rStyle w:val="FootnoteReference"/>
          <w:lang w:val="en-US"/>
        </w:rPr>
        <w:footnoteRef/>
      </w:r>
      <w:r w:rsidRPr="008A3ED0">
        <w:tab/>
        <w:t>Arrêt de la Cour de justice du 24 juillet 2003 dans l</w:t>
      </w:r>
      <w:r>
        <w:t>'</w:t>
      </w:r>
      <w:r w:rsidRPr="008A3ED0">
        <w:t xml:space="preserve">affaire C-280/00, </w:t>
      </w:r>
      <w:r w:rsidRPr="00DE6E25">
        <w:rPr>
          <w:i/>
          <w:iCs/>
        </w:rPr>
        <w:t xml:space="preserve">Altmark Trans </w:t>
      </w:r>
      <w:proofErr w:type="spellStart"/>
      <w:r w:rsidRPr="00DE6E25">
        <w:rPr>
          <w:i/>
          <w:iCs/>
        </w:rPr>
        <w:t>GmbH</w:t>
      </w:r>
      <w:proofErr w:type="spellEnd"/>
      <w:r w:rsidRPr="00DE6E25">
        <w:rPr>
          <w:i/>
          <w:iCs/>
        </w:rPr>
        <w:t xml:space="preserve"> et </w:t>
      </w:r>
      <w:proofErr w:type="spellStart"/>
      <w:r w:rsidRPr="00DE6E25">
        <w:rPr>
          <w:i/>
          <w:iCs/>
        </w:rPr>
        <w:t>Regierungspräsidium</w:t>
      </w:r>
      <w:proofErr w:type="spellEnd"/>
      <w:r w:rsidRPr="00DE6E25">
        <w:rPr>
          <w:i/>
          <w:iCs/>
        </w:rPr>
        <w:t xml:space="preserve"> Magdeburg/</w:t>
      </w:r>
      <w:proofErr w:type="spellStart"/>
      <w:r w:rsidRPr="00DE6E25">
        <w:rPr>
          <w:i/>
          <w:iCs/>
        </w:rPr>
        <w:t>Nahverkehrsgesellschaft</w:t>
      </w:r>
      <w:proofErr w:type="spellEnd"/>
      <w:r w:rsidRPr="00DE6E25">
        <w:rPr>
          <w:i/>
          <w:iCs/>
        </w:rPr>
        <w:t xml:space="preserve"> Altmark </w:t>
      </w:r>
      <w:proofErr w:type="spellStart"/>
      <w:r w:rsidRPr="00DE6E25">
        <w:rPr>
          <w:i/>
          <w:iCs/>
        </w:rPr>
        <w:t>GmbH</w:t>
      </w:r>
      <w:proofErr w:type="spellEnd"/>
      <w:r w:rsidRPr="008A3ED0">
        <w:t xml:space="preserve"> (Recueil 2003, p. I-7747).</w:t>
      </w:r>
    </w:p>
  </w:footnote>
  <w:footnote w:id="7">
    <w:p w:rsidR="007102DA" w:rsidRDefault="007102DA" w:rsidP="007102DA">
      <w:pPr>
        <w:pStyle w:val="FootnoteText"/>
      </w:pPr>
      <w:r w:rsidRPr="00CF3297">
        <w:rPr>
          <w:rStyle w:val="FootnoteReference"/>
          <w:lang w:val="en-US"/>
        </w:rPr>
        <w:footnoteRef/>
      </w:r>
      <w:r w:rsidRPr="00CF3297">
        <w:rPr>
          <w:lang w:val="fr-BE"/>
        </w:rPr>
        <w:tab/>
      </w:r>
      <w:r w:rsidRPr="00CF3297">
        <w:t>Voir la recommandation 2010/410/UE du Conseil du 13 juillet 2010 relative aux grandes orientations des politiques économiques des États membres et de l</w:t>
      </w:r>
      <w:r>
        <w:t>'</w:t>
      </w:r>
      <w:r w:rsidRPr="00CF3297">
        <w:t>Union (JO L 191 du 23.7.2010, p. 28) et la décision 2010/707/UE du Conseil du 21 octobre 2010 relative aux lignes directrices pour les politiques de l</w:t>
      </w:r>
      <w:r>
        <w:t>'</w:t>
      </w:r>
      <w:r w:rsidRPr="00CF3297">
        <w:t>emploi des États membres (JO L 308 du 24.11.2010, p.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D" w:rsidRPr="005D2214" w:rsidRDefault="00174BDD" w:rsidP="005D22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D" w:rsidRPr="005D2214" w:rsidRDefault="00174BDD" w:rsidP="005D2214">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BDD" w:rsidRPr="005D2214" w:rsidRDefault="00174BDD" w:rsidP="005D2214">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22" w:rsidRPr="005D2214" w:rsidRDefault="00B94322" w:rsidP="005D221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22" w:rsidRPr="005D2214" w:rsidRDefault="00B94322" w:rsidP="005D221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3BD" w:rsidRPr="005D2214" w:rsidRDefault="008943BD" w:rsidP="005D2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2E561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73CD0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D43ECA6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06C754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5876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68A3D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E1430C8"/>
    <w:lvl w:ilvl="0">
      <w:start w:val="1"/>
      <w:numFmt w:val="decimal"/>
      <w:pStyle w:val="ListNumber"/>
      <w:lvlText w:val="%1."/>
      <w:lvlJc w:val="left"/>
      <w:pPr>
        <w:tabs>
          <w:tab w:val="num" w:pos="360"/>
        </w:tabs>
        <w:ind w:left="360" w:hanging="360"/>
      </w:pPr>
    </w:lvl>
  </w:abstractNum>
  <w:abstractNum w:abstractNumId="7">
    <w:nsid w:val="FFFFFF89"/>
    <w:multiLevelType w:val="singleLevel"/>
    <w:tmpl w:val="1E9E17F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2">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15">
    <w:nsid w:val="4DAA3654"/>
    <w:multiLevelType w:val="multilevel"/>
    <w:tmpl w:val="D4A2DE5A"/>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7">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8">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21">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23">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4">
    <w:nsid w:val="7E474D4E"/>
    <w:multiLevelType w:val="singleLevel"/>
    <w:tmpl w:val="1A6608A0"/>
    <w:name w:val="List Bullet 2"/>
    <w:lvl w:ilvl="0">
      <w:start w:val="1"/>
      <w:numFmt w:val="decimal"/>
      <w:lvlRestart w:val="0"/>
      <w:lvlText w:val="(%1)"/>
      <w:lvlJc w:val="left"/>
      <w:pPr>
        <w:tabs>
          <w:tab w:val="num" w:pos="709"/>
        </w:tabs>
        <w:ind w:left="709" w:hanging="709"/>
      </w:pPr>
    </w:lvl>
  </w:abstractNum>
  <w:num w:numId="1">
    <w:abstractNumId w:val="11"/>
  </w:num>
  <w:num w:numId="2">
    <w:abstractNumId w:val="14"/>
  </w:num>
  <w:num w:numId="3">
    <w:abstractNumId w:val="17"/>
  </w:num>
  <w:num w:numId="4">
    <w:abstractNumId w:val="16"/>
  </w:num>
  <w:num w:numId="5">
    <w:abstractNumId w:val="22"/>
  </w:num>
  <w:num w:numId="6">
    <w:abstractNumId w:val="12"/>
  </w:num>
  <w:num w:numId="7">
    <w:abstractNumId w:val="8"/>
  </w:num>
  <w:num w:numId="8">
    <w:abstractNumId w:val="23"/>
  </w:num>
  <w:num w:numId="9">
    <w:abstractNumId w:val="13"/>
  </w:num>
  <w:num w:numId="10">
    <w:abstractNumId w:val="10"/>
  </w:num>
  <w:num w:numId="11">
    <w:abstractNumId w:val="9"/>
  </w:num>
  <w:num w:numId="12">
    <w:abstractNumId w:val="21"/>
  </w:num>
  <w:num w:numId="13">
    <w:abstractNumId w:val="19"/>
  </w:num>
  <w:num w:numId="14">
    <w:abstractNumId w:val="20"/>
  </w:num>
  <w:num w:numId="15">
    <w:abstractNumId w:val="24"/>
  </w:num>
  <w:num w:numId="16">
    <w:abstractNumId w:val="7"/>
  </w:num>
  <w:num w:numId="17">
    <w:abstractNumId w:val="5"/>
  </w:num>
  <w:num w:numId="18">
    <w:abstractNumId w:val="4"/>
  </w:num>
  <w:num w:numId="19">
    <w:abstractNumId w:val="3"/>
  </w:num>
  <w:num w:numId="20">
    <w:abstractNumId w:val="6"/>
  </w:num>
  <w:num w:numId="21">
    <w:abstractNumId w:val="2"/>
  </w:num>
  <w:num w:numId="22">
    <w:abstractNumId w:val="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2a048dca-819a-49e8-b8b9-78e09c7ef8e6&quot;&gt;_x000d__x000a_  &lt;metadata key=&quot;md_DocumentLanguages&quot;&gt;_x000d__x000a_    &lt;basicdatatypelist&gt;_x000d__x000a_      &lt;language key=&quot;FR&quot; text=&quot;FR&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ACTES LÉGISLATIFS ET AUTRES INSTRUMENTS&quot; /&gt;_x000d__x000a_    &lt;/basicdatatype&gt;_x000d__x000a_  &lt;/metadata&gt;_x000d__x000a_  &lt;metadata key=&quot;md_HeadingText&quot;&gt;_x000d__x000a_    &lt;headingtext text=&quot;ACTES LÉGISLATIFS ET AUTRES INSTRUMENTS&quot;&gt;_x000d__x000a_      &lt;formattedtext&gt;_x000d__x000a_        &lt;xaml text=&quot;ACTES LÉGISLATIFS ET AUTRES INSTRUMENTS&quot;&gt;&amp;lt;FlowDocument xmlns=&quot;http://schemas.microsoft.com/winfx/2006/xaml/presentation&quot;&amp;gt;&amp;lt;Paragraph&amp;gt;ACTES LÉGISLATIFS ET AUTRES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xelles&quot; /&gt;_x000d__x000a_    &lt;/basicdatatype&gt;_x000d__x000a_  &lt;/metadata&gt;_x000d__x000a_  &lt;metadata key=&quot;md_DocumentDate&quot;&gt;_x000d__x000a_    &lt;text&gt;2015-05-29&lt;/text&gt;_x000d__x000a_  &lt;/metadata&gt;_x000d__x000a_  &lt;metadata key=&quot;md_Prefix&quot;&gt;_x000d__x000a_    &lt;text&gt;&lt;/text&gt;_x000d__x000a_  &lt;/metadata&gt;_x000d__x000a_  &lt;metadata key=&quot;md_DocumentNumber&quot;&gt;_x000d__x000a_    &lt;text&gt;8282&lt;/text&gt;_x000d__x000a_  &lt;/metadata&gt;_x000d__x000a_  &lt;metadata key=&quot;md_YearDocumentNumber&quot;&gt;_x000d__x000a_    &lt;text&gt;2015&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CODIF 57&lt;/text&gt;_x000d__x000a_      &lt;text&gt;ECO 52&lt;/text&gt;_x000d__x000a_      &lt;text&gt;INST 128&lt;/text&gt;_x000d__x000a_      &lt;text&gt;MI 261&lt;/text&gt;_x000d__x000a_      &lt;text&gt;PARLNAT 3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4/0192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RÈGLEMENT DU CONSEIL sur l'application des articles 107 et 108 du traité sur le fonctionnement de l'Union européenne à certaines catégories d'aides d'État horizontales (texte codifié)&quot;&gt;&amp;lt;FlowDocument FontFamily=&quot;Arial Unicode MS&quot; FontSize=&quot;12&quot; PageWidth=&quot;329&quot; PagePadding=&quot;5,0,5,0&quot; AllowDrop=&quot;False&quot; NumberSubstitution.CultureSource=&quot;User&quot; xmlns=&quot;http://schemas.microsoft.com/winfx/2006/xaml/presentation&quot; xmlns:x=&quot;http://schemas.microsoft.com/winfx/2006/xaml&quot;&amp;gt;&amp;lt;Paragraph&amp;gt;&amp;lt;Run xml:lang=&quot;fr-be&quot; xml:space=&quot;preserve&quot;&amp;gt;RÈGLEMENT DU CONSEIL &amp;lt;/Run&amp;gt;sur l'application des articles 107 et 108 du traité sur le fonctionnement de l'Union européenne à certaines catégories d'aides d'État horizontales (texte codifié)&amp;lt;/Paragraph&amp;gt;&amp;lt;/FlowDocument&amp;gt;&lt;/xaml&gt;_x000d__x000a_  &lt;/metadata&gt;_x000d__x000a_  &lt;metadata key=&quot;md_SubjectFootnote&quot; /&gt;_x000d__x000a_  &lt;metadata key=&quot;md_DG&quot;&gt;_x000d__x000a_    &lt;text&gt;SJ DIR 4&lt;/text&gt;_x000d__x000a_  &lt;/metadata&gt;_x000d__x000a_  &lt;metadata key=&quot;md_Initials&quot;&gt;_x000d__x000a_    &lt;text&gt;RZ/vvs&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6E3EB4"/>
    <w:rsid w:val="00066BB3"/>
    <w:rsid w:val="00070329"/>
    <w:rsid w:val="000B14AC"/>
    <w:rsid w:val="00132F7C"/>
    <w:rsid w:val="00174BDD"/>
    <w:rsid w:val="00224697"/>
    <w:rsid w:val="002259F6"/>
    <w:rsid w:val="00227CEF"/>
    <w:rsid w:val="00271D34"/>
    <w:rsid w:val="002A6467"/>
    <w:rsid w:val="003041A7"/>
    <w:rsid w:val="0031505A"/>
    <w:rsid w:val="00317C02"/>
    <w:rsid w:val="0036128D"/>
    <w:rsid w:val="003A1B24"/>
    <w:rsid w:val="004A1162"/>
    <w:rsid w:val="005A04B2"/>
    <w:rsid w:val="005D2214"/>
    <w:rsid w:val="006019B7"/>
    <w:rsid w:val="00644FE4"/>
    <w:rsid w:val="00695110"/>
    <w:rsid w:val="006A6A1F"/>
    <w:rsid w:val="006E3EB4"/>
    <w:rsid w:val="007102DA"/>
    <w:rsid w:val="007237F5"/>
    <w:rsid w:val="00811704"/>
    <w:rsid w:val="00827ED1"/>
    <w:rsid w:val="00860C3D"/>
    <w:rsid w:val="008943BD"/>
    <w:rsid w:val="008D248C"/>
    <w:rsid w:val="00925F25"/>
    <w:rsid w:val="00980638"/>
    <w:rsid w:val="009B3F4C"/>
    <w:rsid w:val="009E3780"/>
    <w:rsid w:val="00A0728F"/>
    <w:rsid w:val="00A11477"/>
    <w:rsid w:val="00A306DC"/>
    <w:rsid w:val="00AF47F2"/>
    <w:rsid w:val="00B1179A"/>
    <w:rsid w:val="00B25505"/>
    <w:rsid w:val="00B94322"/>
    <w:rsid w:val="00BD5E59"/>
    <w:rsid w:val="00C41061"/>
    <w:rsid w:val="00C46671"/>
    <w:rsid w:val="00C50BF9"/>
    <w:rsid w:val="00CB08DD"/>
    <w:rsid w:val="00D47313"/>
    <w:rsid w:val="00D91432"/>
    <w:rsid w:val="00DE017F"/>
    <w:rsid w:val="00DE6E25"/>
    <w:rsid w:val="00DF16FD"/>
    <w:rsid w:val="00EC4E58"/>
    <w:rsid w:val="00EC6506"/>
    <w:rsid w:val="00ED0365"/>
    <w:rsid w:val="00F56421"/>
    <w:rsid w:val="00F65A0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697"/>
    <w:pPr>
      <w:tabs>
        <w:tab w:val="right" w:pos="9638"/>
      </w:tabs>
    </w:pPr>
  </w:style>
  <w:style w:type="paragraph" w:styleId="Footer">
    <w:name w:val="footer"/>
    <w:basedOn w:val="Normal"/>
    <w:link w:val="FooterChar"/>
    <w:uiPriority w:val="99"/>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B94322"/>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6E3EB4"/>
    <w:pPr>
      <w:spacing w:before="0" w:after="600" w:line="240" w:lineRule="auto"/>
      <w:jc w:val="center"/>
    </w:pPr>
    <w:rPr>
      <w:b/>
      <w:caps/>
      <w:lang w:eastAsia="de-DE"/>
    </w:rPr>
  </w:style>
  <w:style w:type="paragraph" w:customStyle="1" w:styleId="Rfrenceinterne">
    <w:name w:val="Référence interne"/>
    <w:basedOn w:val="Normal"/>
    <w:next w:val="Normal"/>
    <w:rsid w:val="006E3EB4"/>
    <w:pPr>
      <w:spacing w:before="0" w:after="600" w:line="240" w:lineRule="auto"/>
      <w:jc w:val="center"/>
    </w:pPr>
    <w:rPr>
      <w:b/>
      <w:lang w:eastAsia="de-DE"/>
    </w:rPr>
  </w:style>
  <w:style w:type="paragraph" w:customStyle="1" w:styleId="HeaderCouncilLarge">
    <w:name w:val="Header Council Large"/>
    <w:basedOn w:val="Normal"/>
    <w:link w:val="HeaderCouncilLargeChar"/>
    <w:rsid w:val="006E3EB4"/>
    <w:pPr>
      <w:spacing w:before="0" w:after="440"/>
    </w:pPr>
    <w:rPr>
      <w:sz w:val="2"/>
    </w:rPr>
  </w:style>
  <w:style w:type="character" w:customStyle="1" w:styleId="LignefinalChar">
    <w:name w:val="Ligne final Char"/>
    <w:basedOn w:val="DefaultParagraphFont"/>
    <w:link w:val="Lignefinal"/>
    <w:rsid w:val="006E3EB4"/>
    <w:rPr>
      <w:b/>
      <w:sz w:val="24"/>
      <w:szCs w:val="24"/>
      <w:lang w:val="fr-FR" w:eastAsia="en-US"/>
    </w:rPr>
  </w:style>
  <w:style w:type="character" w:customStyle="1" w:styleId="HeaderCouncilLargeChar">
    <w:name w:val="Header Council Large Char"/>
    <w:basedOn w:val="LignefinalChar"/>
    <w:link w:val="HeaderCouncilLarge"/>
    <w:rsid w:val="006E3EB4"/>
    <w:rPr>
      <w:b w:val="0"/>
      <w:sz w:val="2"/>
      <w:szCs w:val="24"/>
      <w:lang w:val="fr-FR" w:eastAsia="en-US"/>
    </w:rPr>
  </w:style>
  <w:style w:type="paragraph" w:customStyle="1" w:styleId="FooterText">
    <w:name w:val="Footer Text"/>
    <w:basedOn w:val="Normal"/>
    <w:rsid w:val="006E3EB4"/>
    <w:pPr>
      <w:spacing w:before="0" w:after="0" w:line="240" w:lineRule="auto"/>
    </w:pPr>
    <w:rPr>
      <w:lang w:val="en-GB"/>
    </w:rPr>
  </w:style>
  <w:style w:type="paragraph" w:customStyle="1" w:styleId="CRSeparator">
    <w:name w:val="CR Separator"/>
    <w:basedOn w:val="Normal"/>
    <w:link w:val="CRSeparatorChar"/>
    <w:rsid w:val="007102DA"/>
    <w:pPr>
      <w:keepNext/>
      <w:pBdr>
        <w:top w:val="single" w:sz="4" w:space="1" w:color="auto"/>
      </w:pBdr>
      <w:spacing w:before="240" w:line="240" w:lineRule="auto"/>
      <w:ind w:right="40"/>
      <w:jc w:val="both"/>
    </w:pPr>
    <w:rPr>
      <w:rFonts w:eastAsia="Calibri"/>
      <w:szCs w:val="20"/>
      <w:lang w:eastAsia="en-GB"/>
    </w:rPr>
  </w:style>
  <w:style w:type="character" w:customStyle="1" w:styleId="CRSeparatorChar">
    <w:name w:val="CR Separator Char"/>
    <w:link w:val="CRSeparator"/>
    <w:rsid w:val="007102DA"/>
    <w:rPr>
      <w:rFonts w:eastAsia="Calibri"/>
      <w:sz w:val="24"/>
      <w:lang w:val="fr-FR" w:eastAsia="en-GB"/>
    </w:rPr>
  </w:style>
  <w:style w:type="paragraph" w:customStyle="1" w:styleId="CRReference">
    <w:name w:val="CR Reference"/>
    <w:basedOn w:val="Normal"/>
    <w:link w:val="CRReferenceChar"/>
    <w:rsid w:val="007102DA"/>
    <w:pPr>
      <w:keepNext/>
      <w:pBdr>
        <w:top w:val="single" w:sz="4" w:space="1" w:color="auto"/>
        <w:left w:val="single" w:sz="4" w:space="2" w:color="auto"/>
        <w:bottom w:val="single" w:sz="4" w:space="1" w:color="auto"/>
        <w:right w:val="single" w:sz="4" w:space="0" w:color="auto"/>
      </w:pBdr>
      <w:spacing w:before="0" w:after="0" w:line="240" w:lineRule="auto"/>
      <w:ind w:left="5669" w:right="40"/>
      <w:jc w:val="both"/>
    </w:pPr>
    <w:rPr>
      <w:rFonts w:eastAsia="Calibri"/>
      <w:szCs w:val="20"/>
      <w:lang w:eastAsia="en-GB"/>
    </w:rPr>
  </w:style>
  <w:style w:type="character" w:customStyle="1" w:styleId="CRReferenceChar">
    <w:name w:val="CR Reference Char"/>
    <w:link w:val="CRReference"/>
    <w:rsid w:val="007102DA"/>
    <w:rPr>
      <w:rFonts w:eastAsia="Calibri"/>
      <w:sz w:val="24"/>
      <w:lang w:val="fr-FR" w:eastAsia="en-GB"/>
    </w:rPr>
  </w:style>
  <w:style w:type="character" w:customStyle="1" w:styleId="CRMarker">
    <w:name w:val="CR Marker"/>
    <w:rsid w:val="007102DA"/>
    <w:rPr>
      <w:rFonts w:ascii="Wingdings" w:hAnsi="Wingdings"/>
    </w:rPr>
  </w:style>
  <w:style w:type="character" w:customStyle="1" w:styleId="CRRefNum">
    <w:name w:val="CR RefNum"/>
    <w:rsid w:val="007102DA"/>
    <w:rPr>
      <w:vertAlign w:val="subscript"/>
      <w:lang w:eastAsia="en-US"/>
    </w:rPr>
  </w:style>
  <w:style w:type="character" w:customStyle="1" w:styleId="FootnoteTextChar">
    <w:name w:val="Footnote Text Char"/>
    <w:link w:val="FootnoteText"/>
    <w:uiPriority w:val="99"/>
    <w:rsid w:val="007102DA"/>
    <w:rPr>
      <w:sz w:val="24"/>
      <w:lang w:val="fr-FR" w:eastAsia="en-US"/>
    </w:rPr>
  </w:style>
  <w:style w:type="character" w:customStyle="1" w:styleId="FooterChar">
    <w:name w:val="Footer Char"/>
    <w:link w:val="Footer"/>
    <w:uiPriority w:val="99"/>
    <w:rsid w:val="00132F7C"/>
    <w:rPr>
      <w:sz w:val="24"/>
      <w:szCs w:val="24"/>
      <w:lang w:val="fr-FR" w:eastAsia="en-US"/>
    </w:rPr>
  </w:style>
  <w:style w:type="paragraph" w:styleId="BalloonText">
    <w:name w:val="Balloon Text"/>
    <w:basedOn w:val="Normal"/>
    <w:link w:val="BalloonTextChar"/>
    <w:uiPriority w:val="99"/>
    <w:semiHidden/>
    <w:unhideWhenUsed/>
    <w:rsid w:val="007237F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7F5"/>
    <w:rPr>
      <w:rFonts w:ascii="Tahoma" w:hAnsi="Tahoma" w:cs="Tahoma"/>
      <w:sz w:val="16"/>
      <w:szCs w:val="16"/>
      <w:lang w:val="fr-FR" w:eastAsia="en-US"/>
    </w:rPr>
  </w:style>
  <w:style w:type="paragraph" w:styleId="ListBullet">
    <w:name w:val="List Bullet"/>
    <w:basedOn w:val="Normal"/>
    <w:uiPriority w:val="99"/>
    <w:semiHidden/>
    <w:unhideWhenUsed/>
    <w:rsid w:val="00644FE4"/>
    <w:pPr>
      <w:numPr>
        <w:numId w:val="16"/>
      </w:numPr>
      <w:contextualSpacing/>
    </w:pPr>
  </w:style>
  <w:style w:type="paragraph" w:styleId="ListBullet2">
    <w:name w:val="List Bullet 2"/>
    <w:basedOn w:val="Normal"/>
    <w:uiPriority w:val="99"/>
    <w:semiHidden/>
    <w:unhideWhenUsed/>
    <w:rsid w:val="00644FE4"/>
    <w:pPr>
      <w:numPr>
        <w:numId w:val="17"/>
      </w:numPr>
      <w:contextualSpacing/>
    </w:pPr>
  </w:style>
  <w:style w:type="paragraph" w:styleId="ListBullet3">
    <w:name w:val="List Bullet 3"/>
    <w:basedOn w:val="Normal"/>
    <w:uiPriority w:val="99"/>
    <w:semiHidden/>
    <w:unhideWhenUsed/>
    <w:rsid w:val="00644FE4"/>
    <w:pPr>
      <w:numPr>
        <w:numId w:val="18"/>
      </w:numPr>
      <w:contextualSpacing/>
    </w:pPr>
  </w:style>
  <w:style w:type="paragraph" w:styleId="ListBullet4">
    <w:name w:val="List Bullet 4"/>
    <w:basedOn w:val="Normal"/>
    <w:uiPriority w:val="99"/>
    <w:semiHidden/>
    <w:unhideWhenUsed/>
    <w:rsid w:val="00644FE4"/>
    <w:pPr>
      <w:numPr>
        <w:numId w:val="19"/>
      </w:numPr>
      <w:contextualSpacing/>
    </w:pPr>
  </w:style>
  <w:style w:type="paragraph" w:styleId="ListNumber">
    <w:name w:val="List Number"/>
    <w:basedOn w:val="Normal"/>
    <w:uiPriority w:val="99"/>
    <w:semiHidden/>
    <w:unhideWhenUsed/>
    <w:rsid w:val="00644FE4"/>
    <w:pPr>
      <w:numPr>
        <w:numId w:val="20"/>
      </w:numPr>
      <w:contextualSpacing/>
    </w:pPr>
  </w:style>
  <w:style w:type="paragraph" w:styleId="ListNumber2">
    <w:name w:val="List Number 2"/>
    <w:basedOn w:val="Normal"/>
    <w:uiPriority w:val="99"/>
    <w:semiHidden/>
    <w:unhideWhenUsed/>
    <w:rsid w:val="00644FE4"/>
    <w:pPr>
      <w:numPr>
        <w:numId w:val="21"/>
      </w:numPr>
      <w:contextualSpacing/>
    </w:pPr>
  </w:style>
  <w:style w:type="paragraph" w:styleId="ListNumber3">
    <w:name w:val="List Number 3"/>
    <w:basedOn w:val="Normal"/>
    <w:uiPriority w:val="99"/>
    <w:semiHidden/>
    <w:unhideWhenUsed/>
    <w:rsid w:val="00644FE4"/>
    <w:pPr>
      <w:numPr>
        <w:numId w:val="22"/>
      </w:numPr>
      <w:contextualSpacing/>
    </w:pPr>
  </w:style>
  <w:style w:type="paragraph" w:styleId="ListNumber4">
    <w:name w:val="List Number 4"/>
    <w:basedOn w:val="Normal"/>
    <w:uiPriority w:val="99"/>
    <w:semiHidden/>
    <w:unhideWhenUsed/>
    <w:rsid w:val="00644FE4"/>
    <w:pPr>
      <w:numPr>
        <w:numId w:val="23"/>
      </w:numPr>
      <w:contextualSpacing/>
    </w:pPr>
  </w:style>
  <w:style w:type="character" w:styleId="CommentReference">
    <w:name w:val="annotation reference"/>
    <w:basedOn w:val="DefaultParagraphFont"/>
    <w:uiPriority w:val="99"/>
    <w:semiHidden/>
    <w:unhideWhenUsed/>
    <w:rsid w:val="00644FE4"/>
    <w:rPr>
      <w:sz w:val="16"/>
      <w:szCs w:val="16"/>
    </w:rPr>
  </w:style>
  <w:style w:type="paragraph" w:styleId="CommentText">
    <w:name w:val="annotation text"/>
    <w:basedOn w:val="Normal"/>
    <w:link w:val="CommentTextChar"/>
    <w:uiPriority w:val="99"/>
    <w:semiHidden/>
    <w:unhideWhenUsed/>
    <w:rsid w:val="00644FE4"/>
    <w:pPr>
      <w:spacing w:line="240" w:lineRule="auto"/>
    </w:pPr>
    <w:rPr>
      <w:sz w:val="20"/>
      <w:szCs w:val="20"/>
    </w:rPr>
  </w:style>
  <w:style w:type="character" w:customStyle="1" w:styleId="CommentTextChar">
    <w:name w:val="Comment Text Char"/>
    <w:basedOn w:val="DefaultParagraphFont"/>
    <w:link w:val="CommentText"/>
    <w:uiPriority w:val="99"/>
    <w:semiHidden/>
    <w:rsid w:val="00644FE4"/>
    <w:rPr>
      <w:lang w:val="fr-FR" w:eastAsia="en-US"/>
    </w:rPr>
  </w:style>
  <w:style w:type="paragraph" w:styleId="CommentSubject">
    <w:name w:val="annotation subject"/>
    <w:basedOn w:val="CommentText"/>
    <w:next w:val="CommentText"/>
    <w:link w:val="CommentSubjectChar"/>
    <w:uiPriority w:val="99"/>
    <w:semiHidden/>
    <w:unhideWhenUsed/>
    <w:rsid w:val="00644FE4"/>
    <w:rPr>
      <w:b/>
      <w:bCs/>
    </w:rPr>
  </w:style>
  <w:style w:type="character" w:customStyle="1" w:styleId="CommentSubjectChar">
    <w:name w:val="Comment Subject Char"/>
    <w:basedOn w:val="CommentTextChar"/>
    <w:link w:val="CommentSubject"/>
    <w:uiPriority w:val="99"/>
    <w:semiHidden/>
    <w:rsid w:val="00644FE4"/>
    <w:rPr>
      <w:b/>
      <w:bCs/>
      <w:lang w:val="fr-FR" w:eastAsia="en-US"/>
    </w:rPr>
  </w:style>
  <w:style w:type="character" w:styleId="Hyperlink">
    <w:name w:val="Hyperlink"/>
    <w:basedOn w:val="DefaultParagraphFont"/>
    <w:uiPriority w:val="99"/>
    <w:unhideWhenUsed/>
    <w:rsid w:val="00644F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360" w:lineRule="auto"/>
    </w:pPr>
    <w:rPr>
      <w:sz w:val="24"/>
      <w:szCs w:val="24"/>
      <w:lang w:val="fr-FR" w:eastAsia="en-US"/>
    </w:rPr>
  </w:style>
  <w:style w:type="paragraph" w:styleId="Heading1">
    <w:name w:val="heading 1"/>
    <w:basedOn w:val="Normal"/>
    <w:next w:val="Text1"/>
    <w:qFormat/>
    <w:rsid w:val="00224697"/>
    <w:pPr>
      <w:keepNext/>
      <w:numPr>
        <w:numId w:val="7"/>
      </w:numPr>
      <w:spacing w:before="360"/>
      <w:outlineLvl w:val="0"/>
    </w:pPr>
    <w:rPr>
      <w:b/>
      <w:bCs/>
      <w:smallCaps/>
      <w:szCs w:val="32"/>
    </w:rPr>
  </w:style>
  <w:style w:type="paragraph" w:styleId="Heading2">
    <w:name w:val="heading 2"/>
    <w:basedOn w:val="Normal"/>
    <w:next w:val="Text1"/>
    <w:qFormat/>
    <w:rsid w:val="00224697"/>
    <w:pPr>
      <w:keepNext/>
      <w:numPr>
        <w:ilvl w:val="1"/>
        <w:numId w:val="7"/>
      </w:numPr>
      <w:outlineLvl w:val="1"/>
    </w:pPr>
    <w:rPr>
      <w:b/>
      <w:bCs/>
      <w:iCs/>
      <w:szCs w:val="28"/>
    </w:rPr>
  </w:style>
  <w:style w:type="paragraph" w:styleId="Heading3">
    <w:name w:val="heading 3"/>
    <w:basedOn w:val="Normal"/>
    <w:next w:val="Text1"/>
    <w:qFormat/>
    <w:rsid w:val="00224697"/>
    <w:pPr>
      <w:keepNext/>
      <w:numPr>
        <w:ilvl w:val="2"/>
        <w:numId w:val="7"/>
      </w:numPr>
      <w:outlineLvl w:val="2"/>
    </w:pPr>
    <w:rPr>
      <w:bCs/>
      <w:i/>
      <w:szCs w:val="26"/>
    </w:rPr>
  </w:style>
  <w:style w:type="paragraph" w:styleId="Heading4">
    <w:name w:val="heading 4"/>
    <w:basedOn w:val="Normal"/>
    <w:next w:val="Text1"/>
    <w:qFormat/>
    <w:rsid w:val="00224697"/>
    <w:pPr>
      <w:keepNext/>
      <w:numPr>
        <w:ilvl w:val="3"/>
        <w:numId w:val="7"/>
      </w:numPr>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4697"/>
    <w:pPr>
      <w:tabs>
        <w:tab w:val="right" w:pos="9638"/>
      </w:tabs>
    </w:pPr>
  </w:style>
  <w:style w:type="paragraph" w:styleId="Footer">
    <w:name w:val="footer"/>
    <w:basedOn w:val="Normal"/>
    <w:link w:val="FooterChar"/>
    <w:uiPriority w:val="99"/>
    <w:rsid w:val="00224697"/>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B94322"/>
    <w:pPr>
      <w:spacing w:before="0" w:after="24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1"/>
      </w:numPr>
    </w:pPr>
  </w:style>
  <w:style w:type="paragraph" w:customStyle="1" w:styleId="Tiret1">
    <w:name w:val="Tiret 1"/>
    <w:basedOn w:val="Normal"/>
    <w:rsid w:val="00224697"/>
    <w:pPr>
      <w:numPr>
        <w:numId w:val="2"/>
      </w:numPr>
      <w:outlineLvl w:val="0"/>
    </w:pPr>
  </w:style>
  <w:style w:type="paragraph" w:customStyle="1" w:styleId="Tiret2">
    <w:name w:val="Tiret 2"/>
    <w:basedOn w:val="Normal"/>
    <w:rsid w:val="00224697"/>
    <w:pPr>
      <w:numPr>
        <w:numId w:val="3"/>
      </w:numPr>
      <w:outlineLvl w:val="1"/>
    </w:pPr>
  </w:style>
  <w:style w:type="paragraph" w:customStyle="1" w:styleId="Tiret3">
    <w:name w:val="Tiret 3"/>
    <w:basedOn w:val="Normal"/>
    <w:rsid w:val="00224697"/>
    <w:pPr>
      <w:numPr>
        <w:numId w:val="4"/>
      </w:numPr>
      <w:outlineLvl w:val="2"/>
    </w:pPr>
  </w:style>
  <w:style w:type="paragraph" w:customStyle="1" w:styleId="Tiret4">
    <w:name w:val="Tiret 4"/>
    <w:basedOn w:val="Normal"/>
    <w:rsid w:val="00224697"/>
    <w:pPr>
      <w:numPr>
        <w:numId w:val="5"/>
      </w:numPr>
      <w:outlineLvl w:val="3"/>
    </w:pPr>
  </w:style>
  <w:style w:type="paragraph" w:customStyle="1" w:styleId="NumPar1">
    <w:name w:val="NumPar 1"/>
    <w:basedOn w:val="Normal"/>
    <w:next w:val="Text1"/>
    <w:rsid w:val="00224697"/>
    <w:pPr>
      <w:numPr>
        <w:numId w:val="6"/>
      </w:numPr>
      <w:outlineLvl w:val="0"/>
    </w:pPr>
  </w:style>
  <w:style w:type="paragraph" w:customStyle="1" w:styleId="NumPar2">
    <w:name w:val="NumPar 2"/>
    <w:basedOn w:val="Normal"/>
    <w:next w:val="Text1"/>
    <w:rsid w:val="00224697"/>
    <w:pPr>
      <w:numPr>
        <w:ilvl w:val="1"/>
        <w:numId w:val="6"/>
      </w:numPr>
      <w:outlineLvl w:val="1"/>
    </w:pPr>
  </w:style>
  <w:style w:type="paragraph" w:customStyle="1" w:styleId="NumPar3">
    <w:name w:val="NumPar 3"/>
    <w:basedOn w:val="Normal"/>
    <w:next w:val="Text1"/>
    <w:rsid w:val="00224697"/>
    <w:pPr>
      <w:numPr>
        <w:ilvl w:val="2"/>
        <w:numId w:val="6"/>
      </w:numPr>
      <w:outlineLvl w:val="2"/>
    </w:pPr>
  </w:style>
  <w:style w:type="paragraph" w:customStyle="1" w:styleId="NumPar4">
    <w:name w:val="NumPar 4"/>
    <w:basedOn w:val="Normal"/>
    <w:next w:val="Text1"/>
    <w:rsid w:val="00224697"/>
    <w:pPr>
      <w:numPr>
        <w:ilvl w:val="3"/>
        <w:numId w:val="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8"/>
      </w:numPr>
    </w:pPr>
  </w:style>
  <w:style w:type="paragraph" w:customStyle="1" w:styleId="Point1number">
    <w:name w:val="Point 1 (number)"/>
    <w:basedOn w:val="Normal"/>
    <w:rsid w:val="00224697"/>
    <w:pPr>
      <w:numPr>
        <w:ilvl w:val="2"/>
        <w:numId w:val="8"/>
      </w:numPr>
      <w:outlineLvl w:val="0"/>
    </w:pPr>
  </w:style>
  <w:style w:type="paragraph" w:customStyle="1" w:styleId="Point2number">
    <w:name w:val="Point 2 (number)"/>
    <w:basedOn w:val="Normal"/>
    <w:rsid w:val="00224697"/>
    <w:pPr>
      <w:numPr>
        <w:ilvl w:val="4"/>
        <w:numId w:val="8"/>
      </w:numPr>
      <w:outlineLvl w:val="1"/>
    </w:pPr>
  </w:style>
  <w:style w:type="paragraph" w:customStyle="1" w:styleId="Point3number">
    <w:name w:val="Point 3 (number)"/>
    <w:basedOn w:val="Normal"/>
    <w:rsid w:val="00224697"/>
    <w:pPr>
      <w:numPr>
        <w:ilvl w:val="6"/>
        <w:numId w:val="8"/>
      </w:numPr>
      <w:outlineLvl w:val="2"/>
    </w:pPr>
  </w:style>
  <w:style w:type="paragraph" w:customStyle="1" w:styleId="Point0letter">
    <w:name w:val="Point 0 (letter)"/>
    <w:basedOn w:val="Normal"/>
    <w:rsid w:val="00224697"/>
    <w:pPr>
      <w:numPr>
        <w:ilvl w:val="1"/>
        <w:numId w:val="8"/>
      </w:numPr>
    </w:pPr>
  </w:style>
  <w:style w:type="paragraph" w:customStyle="1" w:styleId="Point1letter">
    <w:name w:val="Point 1 (letter)"/>
    <w:basedOn w:val="Normal"/>
    <w:rsid w:val="00224697"/>
    <w:pPr>
      <w:numPr>
        <w:ilvl w:val="3"/>
        <w:numId w:val="8"/>
      </w:numPr>
      <w:outlineLvl w:val="0"/>
    </w:pPr>
  </w:style>
  <w:style w:type="paragraph" w:customStyle="1" w:styleId="Point2letter">
    <w:name w:val="Point 2 (letter)"/>
    <w:basedOn w:val="Normal"/>
    <w:rsid w:val="00224697"/>
    <w:pPr>
      <w:numPr>
        <w:ilvl w:val="5"/>
        <w:numId w:val="8"/>
      </w:numPr>
      <w:outlineLvl w:val="1"/>
    </w:pPr>
  </w:style>
  <w:style w:type="paragraph" w:customStyle="1" w:styleId="Point3letter">
    <w:name w:val="Point 3 (letter)"/>
    <w:basedOn w:val="Normal"/>
    <w:rsid w:val="00224697"/>
    <w:pPr>
      <w:numPr>
        <w:ilvl w:val="7"/>
        <w:numId w:val="8"/>
      </w:numPr>
      <w:outlineLvl w:val="2"/>
    </w:pPr>
  </w:style>
  <w:style w:type="paragraph" w:customStyle="1" w:styleId="Point4letter">
    <w:name w:val="Point 4 (letter)"/>
    <w:basedOn w:val="Normal"/>
    <w:rsid w:val="00224697"/>
    <w:pPr>
      <w:numPr>
        <w:ilvl w:val="8"/>
        <w:numId w:val="8"/>
      </w:numPr>
      <w:outlineLvl w:val="3"/>
    </w:pPr>
  </w:style>
  <w:style w:type="paragraph" w:customStyle="1" w:styleId="Bullet0">
    <w:name w:val="Bullet 0"/>
    <w:basedOn w:val="Normal"/>
    <w:rsid w:val="00224697"/>
    <w:pPr>
      <w:numPr>
        <w:numId w:val="9"/>
      </w:numPr>
    </w:pPr>
  </w:style>
  <w:style w:type="paragraph" w:customStyle="1" w:styleId="Bullet1">
    <w:name w:val="Bullet 1"/>
    <w:basedOn w:val="Normal"/>
    <w:rsid w:val="00224697"/>
    <w:pPr>
      <w:numPr>
        <w:numId w:val="10"/>
      </w:numPr>
      <w:outlineLvl w:val="0"/>
    </w:pPr>
  </w:style>
  <w:style w:type="paragraph" w:customStyle="1" w:styleId="Bullet2">
    <w:name w:val="Bullet 2"/>
    <w:basedOn w:val="Normal"/>
    <w:rsid w:val="00224697"/>
    <w:pPr>
      <w:numPr>
        <w:numId w:val="11"/>
      </w:numPr>
      <w:outlineLvl w:val="1"/>
    </w:pPr>
  </w:style>
  <w:style w:type="paragraph" w:customStyle="1" w:styleId="Bullet3">
    <w:name w:val="Bullet 3"/>
    <w:basedOn w:val="Normal"/>
    <w:rsid w:val="00224697"/>
    <w:pPr>
      <w:numPr>
        <w:numId w:val="12"/>
      </w:numPr>
      <w:outlineLvl w:val="2"/>
    </w:pPr>
  </w:style>
  <w:style w:type="paragraph" w:customStyle="1" w:styleId="Bullet4">
    <w:name w:val="Bullet 4"/>
    <w:basedOn w:val="Normal"/>
    <w:rsid w:val="00224697"/>
    <w:pPr>
      <w:numPr>
        <w:numId w:val="1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1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link w:val="LignefinalChar"/>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 w:type="paragraph" w:customStyle="1" w:styleId="Langue">
    <w:name w:val="Langue"/>
    <w:basedOn w:val="Normal"/>
    <w:next w:val="Rfrenceinterne"/>
    <w:rsid w:val="006E3EB4"/>
    <w:pPr>
      <w:spacing w:before="0" w:after="600" w:line="240" w:lineRule="auto"/>
      <w:jc w:val="center"/>
    </w:pPr>
    <w:rPr>
      <w:b/>
      <w:caps/>
      <w:lang w:eastAsia="de-DE"/>
    </w:rPr>
  </w:style>
  <w:style w:type="paragraph" w:customStyle="1" w:styleId="Rfrenceinterne">
    <w:name w:val="Référence interne"/>
    <w:basedOn w:val="Normal"/>
    <w:next w:val="Normal"/>
    <w:rsid w:val="006E3EB4"/>
    <w:pPr>
      <w:spacing w:before="0" w:after="600" w:line="240" w:lineRule="auto"/>
      <w:jc w:val="center"/>
    </w:pPr>
    <w:rPr>
      <w:b/>
      <w:lang w:eastAsia="de-DE"/>
    </w:rPr>
  </w:style>
  <w:style w:type="paragraph" w:customStyle="1" w:styleId="HeaderCouncilLarge">
    <w:name w:val="Header Council Large"/>
    <w:basedOn w:val="Normal"/>
    <w:link w:val="HeaderCouncilLargeChar"/>
    <w:rsid w:val="006E3EB4"/>
    <w:pPr>
      <w:spacing w:before="0" w:after="440"/>
    </w:pPr>
    <w:rPr>
      <w:sz w:val="2"/>
    </w:rPr>
  </w:style>
  <w:style w:type="character" w:customStyle="1" w:styleId="LignefinalChar">
    <w:name w:val="Ligne final Char"/>
    <w:basedOn w:val="DefaultParagraphFont"/>
    <w:link w:val="Lignefinal"/>
    <w:rsid w:val="006E3EB4"/>
    <w:rPr>
      <w:b/>
      <w:sz w:val="24"/>
      <w:szCs w:val="24"/>
      <w:lang w:val="fr-FR" w:eastAsia="en-US"/>
    </w:rPr>
  </w:style>
  <w:style w:type="character" w:customStyle="1" w:styleId="HeaderCouncilLargeChar">
    <w:name w:val="Header Council Large Char"/>
    <w:basedOn w:val="LignefinalChar"/>
    <w:link w:val="HeaderCouncilLarge"/>
    <w:rsid w:val="006E3EB4"/>
    <w:rPr>
      <w:b w:val="0"/>
      <w:sz w:val="2"/>
      <w:szCs w:val="24"/>
      <w:lang w:val="fr-FR" w:eastAsia="en-US"/>
    </w:rPr>
  </w:style>
  <w:style w:type="paragraph" w:customStyle="1" w:styleId="FooterText">
    <w:name w:val="Footer Text"/>
    <w:basedOn w:val="Normal"/>
    <w:rsid w:val="006E3EB4"/>
    <w:pPr>
      <w:spacing w:before="0" w:after="0" w:line="240" w:lineRule="auto"/>
    </w:pPr>
    <w:rPr>
      <w:lang w:val="en-GB"/>
    </w:rPr>
  </w:style>
  <w:style w:type="paragraph" w:customStyle="1" w:styleId="CRSeparator">
    <w:name w:val="CR Separator"/>
    <w:basedOn w:val="Normal"/>
    <w:link w:val="CRSeparatorChar"/>
    <w:rsid w:val="007102DA"/>
    <w:pPr>
      <w:keepNext/>
      <w:pBdr>
        <w:top w:val="single" w:sz="4" w:space="1" w:color="auto"/>
      </w:pBdr>
      <w:spacing w:before="240" w:line="240" w:lineRule="auto"/>
      <w:ind w:right="40"/>
      <w:jc w:val="both"/>
    </w:pPr>
    <w:rPr>
      <w:rFonts w:eastAsia="Calibri"/>
      <w:szCs w:val="20"/>
      <w:lang w:eastAsia="en-GB"/>
    </w:rPr>
  </w:style>
  <w:style w:type="character" w:customStyle="1" w:styleId="CRSeparatorChar">
    <w:name w:val="CR Separator Char"/>
    <w:link w:val="CRSeparator"/>
    <w:rsid w:val="007102DA"/>
    <w:rPr>
      <w:rFonts w:eastAsia="Calibri"/>
      <w:sz w:val="24"/>
      <w:lang w:val="fr-FR" w:eastAsia="en-GB"/>
    </w:rPr>
  </w:style>
  <w:style w:type="paragraph" w:customStyle="1" w:styleId="CRReference">
    <w:name w:val="CR Reference"/>
    <w:basedOn w:val="Normal"/>
    <w:link w:val="CRReferenceChar"/>
    <w:rsid w:val="007102DA"/>
    <w:pPr>
      <w:keepNext/>
      <w:pBdr>
        <w:top w:val="single" w:sz="4" w:space="1" w:color="auto"/>
        <w:left w:val="single" w:sz="4" w:space="2" w:color="auto"/>
        <w:bottom w:val="single" w:sz="4" w:space="1" w:color="auto"/>
        <w:right w:val="single" w:sz="4" w:space="0" w:color="auto"/>
      </w:pBdr>
      <w:spacing w:before="0" w:after="0" w:line="240" w:lineRule="auto"/>
      <w:ind w:left="5669" w:right="40"/>
      <w:jc w:val="both"/>
    </w:pPr>
    <w:rPr>
      <w:rFonts w:eastAsia="Calibri"/>
      <w:szCs w:val="20"/>
      <w:lang w:eastAsia="en-GB"/>
    </w:rPr>
  </w:style>
  <w:style w:type="character" w:customStyle="1" w:styleId="CRReferenceChar">
    <w:name w:val="CR Reference Char"/>
    <w:link w:val="CRReference"/>
    <w:rsid w:val="007102DA"/>
    <w:rPr>
      <w:rFonts w:eastAsia="Calibri"/>
      <w:sz w:val="24"/>
      <w:lang w:val="fr-FR" w:eastAsia="en-GB"/>
    </w:rPr>
  </w:style>
  <w:style w:type="character" w:customStyle="1" w:styleId="CRMarker">
    <w:name w:val="CR Marker"/>
    <w:rsid w:val="007102DA"/>
    <w:rPr>
      <w:rFonts w:ascii="Wingdings" w:hAnsi="Wingdings"/>
    </w:rPr>
  </w:style>
  <w:style w:type="character" w:customStyle="1" w:styleId="CRRefNum">
    <w:name w:val="CR RefNum"/>
    <w:rsid w:val="007102DA"/>
    <w:rPr>
      <w:vertAlign w:val="subscript"/>
      <w:lang w:eastAsia="en-US"/>
    </w:rPr>
  </w:style>
  <w:style w:type="character" w:customStyle="1" w:styleId="FootnoteTextChar">
    <w:name w:val="Footnote Text Char"/>
    <w:link w:val="FootnoteText"/>
    <w:uiPriority w:val="99"/>
    <w:rsid w:val="007102DA"/>
    <w:rPr>
      <w:sz w:val="24"/>
      <w:lang w:val="fr-FR" w:eastAsia="en-US"/>
    </w:rPr>
  </w:style>
  <w:style w:type="character" w:customStyle="1" w:styleId="FooterChar">
    <w:name w:val="Footer Char"/>
    <w:link w:val="Footer"/>
    <w:uiPriority w:val="99"/>
    <w:rsid w:val="00132F7C"/>
    <w:rPr>
      <w:sz w:val="24"/>
      <w:szCs w:val="24"/>
      <w:lang w:val="fr-FR" w:eastAsia="en-US"/>
    </w:rPr>
  </w:style>
  <w:style w:type="paragraph" w:styleId="BalloonText">
    <w:name w:val="Balloon Text"/>
    <w:basedOn w:val="Normal"/>
    <w:link w:val="BalloonTextChar"/>
    <w:uiPriority w:val="99"/>
    <w:semiHidden/>
    <w:unhideWhenUsed/>
    <w:rsid w:val="007237F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7F5"/>
    <w:rPr>
      <w:rFonts w:ascii="Tahoma" w:hAnsi="Tahoma" w:cs="Tahoma"/>
      <w:sz w:val="16"/>
      <w:szCs w:val="16"/>
      <w:lang w:val="fr-FR" w:eastAsia="en-US"/>
    </w:rPr>
  </w:style>
  <w:style w:type="paragraph" w:styleId="ListBullet">
    <w:name w:val="List Bullet"/>
    <w:basedOn w:val="Normal"/>
    <w:uiPriority w:val="99"/>
    <w:semiHidden/>
    <w:unhideWhenUsed/>
    <w:rsid w:val="00644FE4"/>
    <w:pPr>
      <w:numPr>
        <w:numId w:val="16"/>
      </w:numPr>
      <w:contextualSpacing/>
    </w:pPr>
  </w:style>
  <w:style w:type="paragraph" w:styleId="ListBullet2">
    <w:name w:val="List Bullet 2"/>
    <w:basedOn w:val="Normal"/>
    <w:uiPriority w:val="99"/>
    <w:semiHidden/>
    <w:unhideWhenUsed/>
    <w:rsid w:val="00644FE4"/>
    <w:pPr>
      <w:numPr>
        <w:numId w:val="17"/>
      </w:numPr>
      <w:contextualSpacing/>
    </w:pPr>
  </w:style>
  <w:style w:type="paragraph" w:styleId="ListBullet3">
    <w:name w:val="List Bullet 3"/>
    <w:basedOn w:val="Normal"/>
    <w:uiPriority w:val="99"/>
    <w:semiHidden/>
    <w:unhideWhenUsed/>
    <w:rsid w:val="00644FE4"/>
    <w:pPr>
      <w:numPr>
        <w:numId w:val="18"/>
      </w:numPr>
      <w:contextualSpacing/>
    </w:pPr>
  </w:style>
  <w:style w:type="paragraph" w:styleId="ListBullet4">
    <w:name w:val="List Bullet 4"/>
    <w:basedOn w:val="Normal"/>
    <w:uiPriority w:val="99"/>
    <w:semiHidden/>
    <w:unhideWhenUsed/>
    <w:rsid w:val="00644FE4"/>
    <w:pPr>
      <w:numPr>
        <w:numId w:val="19"/>
      </w:numPr>
      <w:contextualSpacing/>
    </w:pPr>
  </w:style>
  <w:style w:type="paragraph" w:styleId="ListNumber">
    <w:name w:val="List Number"/>
    <w:basedOn w:val="Normal"/>
    <w:uiPriority w:val="99"/>
    <w:semiHidden/>
    <w:unhideWhenUsed/>
    <w:rsid w:val="00644FE4"/>
    <w:pPr>
      <w:numPr>
        <w:numId w:val="20"/>
      </w:numPr>
      <w:contextualSpacing/>
    </w:pPr>
  </w:style>
  <w:style w:type="paragraph" w:styleId="ListNumber2">
    <w:name w:val="List Number 2"/>
    <w:basedOn w:val="Normal"/>
    <w:uiPriority w:val="99"/>
    <w:semiHidden/>
    <w:unhideWhenUsed/>
    <w:rsid w:val="00644FE4"/>
    <w:pPr>
      <w:numPr>
        <w:numId w:val="21"/>
      </w:numPr>
      <w:contextualSpacing/>
    </w:pPr>
  </w:style>
  <w:style w:type="paragraph" w:styleId="ListNumber3">
    <w:name w:val="List Number 3"/>
    <w:basedOn w:val="Normal"/>
    <w:uiPriority w:val="99"/>
    <w:semiHidden/>
    <w:unhideWhenUsed/>
    <w:rsid w:val="00644FE4"/>
    <w:pPr>
      <w:numPr>
        <w:numId w:val="22"/>
      </w:numPr>
      <w:contextualSpacing/>
    </w:pPr>
  </w:style>
  <w:style w:type="paragraph" w:styleId="ListNumber4">
    <w:name w:val="List Number 4"/>
    <w:basedOn w:val="Normal"/>
    <w:uiPriority w:val="99"/>
    <w:semiHidden/>
    <w:unhideWhenUsed/>
    <w:rsid w:val="00644FE4"/>
    <w:pPr>
      <w:numPr>
        <w:numId w:val="23"/>
      </w:numPr>
      <w:contextualSpacing/>
    </w:pPr>
  </w:style>
  <w:style w:type="character" w:styleId="CommentReference">
    <w:name w:val="annotation reference"/>
    <w:basedOn w:val="DefaultParagraphFont"/>
    <w:uiPriority w:val="99"/>
    <w:semiHidden/>
    <w:unhideWhenUsed/>
    <w:rsid w:val="00644FE4"/>
    <w:rPr>
      <w:sz w:val="16"/>
      <w:szCs w:val="16"/>
    </w:rPr>
  </w:style>
  <w:style w:type="paragraph" w:styleId="CommentText">
    <w:name w:val="annotation text"/>
    <w:basedOn w:val="Normal"/>
    <w:link w:val="CommentTextChar"/>
    <w:uiPriority w:val="99"/>
    <w:semiHidden/>
    <w:unhideWhenUsed/>
    <w:rsid w:val="00644FE4"/>
    <w:pPr>
      <w:spacing w:line="240" w:lineRule="auto"/>
    </w:pPr>
    <w:rPr>
      <w:sz w:val="20"/>
      <w:szCs w:val="20"/>
    </w:rPr>
  </w:style>
  <w:style w:type="character" w:customStyle="1" w:styleId="CommentTextChar">
    <w:name w:val="Comment Text Char"/>
    <w:basedOn w:val="DefaultParagraphFont"/>
    <w:link w:val="CommentText"/>
    <w:uiPriority w:val="99"/>
    <w:semiHidden/>
    <w:rsid w:val="00644FE4"/>
    <w:rPr>
      <w:lang w:val="fr-FR" w:eastAsia="en-US"/>
    </w:rPr>
  </w:style>
  <w:style w:type="paragraph" w:styleId="CommentSubject">
    <w:name w:val="annotation subject"/>
    <w:basedOn w:val="CommentText"/>
    <w:next w:val="CommentText"/>
    <w:link w:val="CommentSubjectChar"/>
    <w:uiPriority w:val="99"/>
    <w:semiHidden/>
    <w:unhideWhenUsed/>
    <w:rsid w:val="00644FE4"/>
    <w:rPr>
      <w:b/>
      <w:bCs/>
    </w:rPr>
  </w:style>
  <w:style w:type="character" w:customStyle="1" w:styleId="CommentSubjectChar">
    <w:name w:val="Comment Subject Char"/>
    <w:basedOn w:val="CommentTextChar"/>
    <w:link w:val="CommentSubject"/>
    <w:uiPriority w:val="99"/>
    <w:semiHidden/>
    <w:rsid w:val="00644FE4"/>
    <w:rPr>
      <w:b/>
      <w:bCs/>
      <w:lang w:val="fr-FR" w:eastAsia="en-US"/>
    </w:rPr>
  </w:style>
  <w:style w:type="character" w:styleId="Hyperlink">
    <w:name w:val="Hyperlink"/>
    <w:basedOn w:val="DefaultParagraphFont"/>
    <w:uiPriority w:val="99"/>
    <w:unhideWhenUsed/>
    <w:rsid w:val="00644F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3C35F-26E8-4C32-A6DE-D4BB177E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2</TotalTime>
  <Pages>24</Pages>
  <Words>4469</Words>
  <Characters>24226</Characters>
  <Application>Microsoft Office Word</Application>
  <DocSecurity>0</DocSecurity>
  <Lines>425</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JAMET Sylvie</cp:lastModifiedBy>
  <cp:revision>3</cp:revision>
  <dcterms:created xsi:type="dcterms:W3CDTF">2015-05-29T07:22:00Z</dcterms:created>
  <dcterms:modified xsi:type="dcterms:W3CDTF">2015-06-01T08:02:00Z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3.5.1, Build 20150428</vt:lpwstr>
  </property>
  <property fmtid="{D5CDD505-2E9C-101B-9397-08002B2CF9AE}" pid="4" name="Last edited using">
    <vt:lpwstr>DocuWrite 3.5.3, Build 20150508</vt:lpwstr>
  </property>
  <property fmtid="{D5CDD505-2E9C-101B-9397-08002B2CF9AE}" pid="5" name="LWCR Document">
    <vt:lpwstr>True</vt:lpwstr>
  </property>
  <property fmtid="{D5CDD505-2E9C-101B-9397-08002B2CF9AE}" pid="6" name="LWCR Version">
    <vt:lpwstr>1.6.413</vt:lpwstr>
  </property>
</Properties>
</file>