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4F687E" w:rsidRDefault="007860C3" w:rsidP="004F687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b73662a-336c-436a-9841-cc622030bba7_0" style="width:569pt;height:489.95pt">
            <v:imagedata r:id="rId9" o:title=""/>
          </v:shape>
        </w:pict>
      </w:r>
      <w:bookmarkEnd w:id="0"/>
    </w:p>
    <w:p w:rsidR="003F3914" w:rsidRPr="004F687E" w:rsidRDefault="003F3914" w:rsidP="001E64BC">
      <w:pPr>
        <w:spacing w:before="360"/>
        <w:rPr>
          <w:b/>
          <w:bCs/>
          <w:lang w:val="fr-BE"/>
        </w:rPr>
      </w:pPr>
      <w:r w:rsidRPr="004F687E">
        <w:rPr>
          <w:b/>
          <w:bCs/>
          <w:lang w:val="fr-BE"/>
        </w:rPr>
        <w:t>A.</w:t>
      </w:r>
      <w:r w:rsidRPr="004F687E">
        <w:rPr>
          <w:b/>
          <w:bCs/>
          <w:lang w:val="fr-BE"/>
        </w:rPr>
        <w:tab/>
      </w:r>
      <w:r w:rsidR="001E64BC" w:rsidRPr="004F687E">
        <w:rPr>
          <w:b/>
          <w:bCs/>
          <w:u w:val="single"/>
          <w:lang w:val="fr-BE"/>
        </w:rPr>
        <w:t>LUNDI</w:t>
      </w:r>
      <w:r w:rsidRPr="004F687E">
        <w:rPr>
          <w:b/>
          <w:bCs/>
          <w:u w:val="single"/>
          <w:lang w:val="fr-BE"/>
        </w:rPr>
        <w:t xml:space="preserve"> 1</w:t>
      </w:r>
      <w:r w:rsidR="001A3373" w:rsidRPr="004F687E">
        <w:rPr>
          <w:b/>
          <w:bCs/>
          <w:u w:val="single"/>
          <w:lang w:val="fr-BE"/>
        </w:rPr>
        <w:t>5</w:t>
      </w:r>
      <w:r w:rsidRPr="004F687E">
        <w:rPr>
          <w:b/>
          <w:bCs/>
          <w:u w:val="single"/>
          <w:lang w:val="fr-BE"/>
        </w:rPr>
        <w:t xml:space="preserve"> </w:t>
      </w:r>
      <w:r w:rsidR="001E64BC" w:rsidRPr="004F687E">
        <w:rPr>
          <w:b/>
          <w:bCs/>
          <w:u w:val="single"/>
          <w:lang w:val="fr-BE"/>
        </w:rPr>
        <w:t>JUIN 2015 (10 heures</w:t>
      </w:r>
      <w:r w:rsidRPr="004F687E">
        <w:rPr>
          <w:b/>
          <w:bCs/>
          <w:u w:val="single"/>
          <w:lang w:val="fr-BE"/>
        </w:rPr>
        <w:t>)</w:t>
      </w:r>
      <w:r w:rsidRPr="004F687E">
        <w:rPr>
          <w:lang w:val="fr-BE"/>
        </w:rPr>
        <w:t xml:space="preserve"> </w:t>
      </w:r>
    </w:p>
    <w:p w:rsidR="003F3914" w:rsidRPr="004F687E" w:rsidRDefault="001A3373" w:rsidP="001A3373">
      <w:pPr>
        <w:spacing w:before="240"/>
        <w:rPr>
          <w:b/>
          <w:u w:val="single"/>
          <w:lang w:val="fr-BE"/>
        </w:rPr>
      </w:pPr>
      <w:r w:rsidRPr="004F687E">
        <w:rPr>
          <w:b/>
          <w:u w:val="single"/>
          <w:lang w:val="fr-BE"/>
        </w:rPr>
        <w:t>JUSTICE</w:t>
      </w:r>
    </w:p>
    <w:p w:rsidR="003F3914" w:rsidRPr="001E64BC" w:rsidRDefault="003F3914" w:rsidP="001E64BC">
      <w:pPr>
        <w:pStyle w:val="PointManual"/>
        <w:spacing w:before="360"/>
      </w:pPr>
      <w:r w:rsidRPr="001E64BC">
        <w:t>-</w:t>
      </w:r>
      <w:r w:rsidRPr="001E64BC">
        <w:tab/>
        <w:t xml:space="preserve">Adoption </w:t>
      </w:r>
      <w:r w:rsidR="001E64BC" w:rsidRPr="001E64BC">
        <w:t>de l'ordre du jour</w:t>
      </w:r>
    </w:p>
    <w:p w:rsidR="003F3914" w:rsidRPr="001E64BC" w:rsidRDefault="001E64BC" w:rsidP="001E64BC">
      <w:pPr>
        <w:pStyle w:val="Title"/>
      </w:pPr>
      <w:r w:rsidRPr="001E64BC">
        <w:t>Délibé</w:t>
      </w:r>
      <w:r w:rsidR="003F3914" w:rsidRPr="001E64BC">
        <w:t>rations</w:t>
      </w:r>
      <w:r w:rsidRPr="001E64BC">
        <w:t xml:space="preserve"> législatives</w:t>
      </w:r>
    </w:p>
    <w:p w:rsidR="003F3914" w:rsidRPr="001E64BC" w:rsidRDefault="003F3914" w:rsidP="001E64BC">
      <w:pPr>
        <w:pStyle w:val="PointManual"/>
        <w:spacing w:before="360"/>
      </w:pPr>
      <w:r w:rsidRPr="001E64BC">
        <w:t>-</w:t>
      </w:r>
      <w:r w:rsidRPr="001E64BC">
        <w:tab/>
      </w:r>
      <w:r w:rsidR="001E64BC" w:rsidRPr="001E64BC">
        <w:t>(évent</w:t>
      </w:r>
      <w:r w:rsidR="001A3373" w:rsidRPr="001E64BC">
        <w:t xml:space="preserve">.) </w:t>
      </w:r>
      <w:r w:rsidRPr="001E64BC">
        <w:t>Appro</w:t>
      </w:r>
      <w:r w:rsidR="001E64BC" w:rsidRPr="001E64BC">
        <w:t>bation de la liste des points "</w:t>
      </w:r>
      <w:r w:rsidRPr="001E64BC">
        <w:t>A"</w:t>
      </w:r>
    </w:p>
    <w:p w:rsidR="001A3373" w:rsidRPr="001E64BC" w:rsidRDefault="002908B5" w:rsidP="001E64BC">
      <w:pPr>
        <w:pStyle w:val="PointManual"/>
        <w:spacing w:before="360"/>
      </w:pPr>
      <w:r w:rsidRPr="001E64BC">
        <w:br w:type="page"/>
      </w:r>
      <w:r w:rsidR="001A3373" w:rsidRPr="001E64BC">
        <w:lastRenderedPageBreak/>
        <w:t>-</w:t>
      </w:r>
      <w:r w:rsidR="001A3373" w:rsidRPr="001E64BC">
        <w:tab/>
      </w:r>
      <w:r w:rsidR="001E64BC" w:rsidRPr="001E64BC">
        <w:t xml:space="preserve">Proposition de règlement du Parlement européen et du Conseil relatif à la protection des personnes physiques à l'égard du traitement des données à caractère personnel et à la libre circulation de ces données (règlement général sur la protection des données) </w:t>
      </w:r>
      <w:r w:rsidR="001A3373" w:rsidRPr="001E64BC">
        <w:rPr>
          <w:b/>
          <w:bCs/>
        </w:rPr>
        <w:t>(</w:t>
      </w:r>
      <w:r w:rsidR="007860C3">
        <w:rPr>
          <w:b/>
          <w:bCs/>
        </w:rPr>
        <w:t>première </w:t>
      </w:r>
      <w:r w:rsidR="001E64BC">
        <w:rPr>
          <w:b/>
          <w:bCs/>
        </w:rPr>
        <w:t>lecture</w:t>
      </w:r>
      <w:r w:rsidR="001A3373" w:rsidRPr="001E64BC">
        <w:rPr>
          <w:b/>
          <w:bCs/>
        </w:rPr>
        <w:t>)</w:t>
      </w:r>
    </w:p>
    <w:p w:rsidR="001A3373" w:rsidRPr="001C1FA6" w:rsidRDefault="001E64BC" w:rsidP="00D40A48">
      <w:pPr>
        <w:pStyle w:val="Dash1"/>
      </w:pPr>
      <w:r>
        <w:t>Orientation générale</w:t>
      </w:r>
      <w:r w:rsidR="00385830" w:rsidRPr="001C1FA6">
        <w:t xml:space="preserve"> </w:t>
      </w:r>
      <w:r w:rsidR="002908B5" w:rsidRPr="001C1FA6">
        <w:rPr>
          <w:rStyle w:val="FootnoteReference"/>
        </w:rPr>
        <w:footnoteReference w:id="1"/>
      </w:r>
    </w:p>
    <w:p w:rsidR="001A3373" w:rsidRPr="001E64BC" w:rsidRDefault="001A3373" w:rsidP="001E64BC">
      <w:pPr>
        <w:pStyle w:val="PointManual"/>
        <w:spacing w:before="360"/>
      </w:pPr>
      <w:r w:rsidRPr="001E64BC">
        <w:t>-</w:t>
      </w:r>
      <w:r w:rsidRPr="001E64BC">
        <w:tab/>
      </w:r>
      <w:r w:rsidR="001E64BC" w:rsidRPr="001E64BC">
        <w:t>Proposition de règlement du Parlement européen et du Conseil visant à favoriser la libre circulation des citoyens et des entreprises en simplifiant l'acceptation de certains documents publics dans l'Union européenne, et</w:t>
      </w:r>
      <w:r w:rsidR="007860C3">
        <w:t xml:space="preserve"> modifiant le règlement (UE) n° </w:t>
      </w:r>
      <w:r w:rsidR="001E64BC" w:rsidRPr="001E64BC">
        <w:t>1024/2012</w:t>
      </w:r>
      <w:r w:rsidRPr="001E64BC">
        <w:t xml:space="preserve"> </w:t>
      </w:r>
      <w:r w:rsidR="00E72812" w:rsidRPr="001E64BC">
        <w:rPr>
          <w:b/>
          <w:bCs/>
        </w:rPr>
        <w:t>(</w:t>
      </w:r>
      <w:r w:rsidR="007860C3">
        <w:rPr>
          <w:b/>
          <w:bCs/>
        </w:rPr>
        <w:t>première </w:t>
      </w:r>
      <w:r w:rsidR="001E64BC" w:rsidRPr="001E64BC">
        <w:rPr>
          <w:b/>
          <w:bCs/>
        </w:rPr>
        <w:t>lecture</w:t>
      </w:r>
      <w:r w:rsidRPr="001E64BC">
        <w:rPr>
          <w:b/>
          <w:bCs/>
        </w:rPr>
        <w:t>)</w:t>
      </w:r>
    </w:p>
    <w:p w:rsidR="001A3373" w:rsidRPr="001C1FA6" w:rsidRDefault="001E64BC" w:rsidP="001E64BC">
      <w:pPr>
        <w:pStyle w:val="Dash1"/>
      </w:pPr>
      <w:r>
        <w:t>Orientation générale</w:t>
      </w:r>
      <w:r w:rsidR="00E43D87" w:rsidRPr="001C1FA6">
        <w:t xml:space="preserve"> </w:t>
      </w:r>
      <w:r w:rsidR="00D40A48" w:rsidRPr="001C1FA6">
        <w:rPr>
          <w:b/>
          <w:bCs/>
          <w:color w:val="000000"/>
          <w:vertAlign w:val="superscript"/>
        </w:rPr>
        <w:t>1</w:t>
      </w:r>
    </w:p>
    <w:p w:rsidR="001A3373" w:rsidRPr="001E64BC" w:rsidRDefault="001A3373" w:rsidP="001E64BC">
      <w:pPr>
        <w:pStyle w:val="PointManual"/>
        <w:spacing w:before="360"/>
      </w:pPr>
      <w:r w:rsidRPr="001E64BC">
        <w:t>-</w:t>
      </w:r>
      <w:r w:rsidRPr="001E64BC">
        <w:tab/>
      </w:r>
      <w:r w:rsidR="001E64BC" w:rsidRPr="001E64BC">
        <w:t>Proposition de règlement du Conseil portant création du Parquet européen</w:t>
      </w:r>
      <w:r w:rsidR="001E64BC" w:rsidRPr="001E64BC">
        <w:rPr>
          <w:b/>
          <w:bCs/>
        </w:rPr>
        <w:t xml:space="preserve"> (première lecture</w:t>
      </w:r>
      <w:r w:rsidRPr="001E64BC">
        <w:rPr>
          <w:b/>
          <w:bCs/>
        </w:rPr>
        <w:t>)</w:t>
      </w:r>
    </w:p>
    <w:p w:rsidR="001A3373" w:rsidRPr="001C1FA6" w:rsidRDefault="001E64BC" w:rsidP="00D40A48">
      <w:pPr>
        <w:pStyle w:val="Dash1"/>
      </w:pPr>
      <w:r>
        <w:t>Débat d'orientation</w:t>
      </w:r>
    </w:p>
    <w:p w:rsidR="001A3373" w:rsidRPr="001C1FA6" w:rsidRDefault="001A3373" w:rsidP="001E64BC">
      <w:pPr>
        <w:pStyle w:val="PointManual"/>
        <w:spacing w:before="360"/>
      </w:pPr>
      <w:r w:rsidRPr="001C1FA6">
        <w:t>-</w:t>
      </w:r>
      <w:r w:rsidRPr="001C1FA6">
        <w:tab/>
      </w:r>
      <w:r w:rsidR="001E64BC">
        <w:t>Divers</w:t>
      </w:r>
    </w:p>
    <w:p w:rsidR="003F3914" w:rsidRPr="001E64BC" w:rsidRDefault="001E64BC" w:rsidP="001E64BC">
      <w:pPr>
        <w:pStyle w:val="Dash1"/>
      </w:pPr>
      <w:r w:rsidRPr="001E64BC">
        <w:t>Informations communiquées par la présidence au sujet des propositions législatives en cours d'examen</w:t>
      </w:r>
    </w:p>
    <w:p w:rsidR="003F3914" w:rsidRPr="001E64BC" w:rsidRDefault="001E64BC" w:rsidP="001E64BC">
      <w:pPr>
        <w:pStyle w:val="Title"/>
        <w:rPr>
          <w:b w:val="0"/>
          <w:bCs w:val="0"/>
          <w:i w:val="0"/>
          <w:iCs/>
        </w:rPr>
      </w:pPr>
      <w:r>
        <w:rPr>
          <w:iCs/>
        </w:rPr>
        <w:t>Activités non lég</w:t>
      </w:r>
      <w:r w:rsidR="003F3914" w:rsidRPr="001E64BC">
        <w:rPr>
          <w:iCs/>
        </w:rPr>
        <w:t>islative</w:t>
      </w:r>
      <w:r>
        <w:rPr>
          <w:iCs/>
        </w:rPr>
        <w:t>s</w:t>
      </w:r>
    </w:p>
    <w:p w:rsidR="008E6B12" w:rsidRPr="001E64BC" w:rsidRDefault="008E6B12" w:rsidP="001E64BC">
      <w:pPr>
        <w:pStyle w:val="PointManual"/>
        <w:spacing w:before="360"/>
      </w:pPr>
      <w:r w:rsidRPr="001E64BC">
        <w:t>-</w:t>
      </w:r>
      <w:r w:rsidRPr="001E64BC">
        <w:tab/>
      </w:r>
      <w:r w:rsidR="001E64BC" w:rsidRPr="001E64BC">
        <w:t>Approbation de la liste des points</w:t>
      </w:r>
      <w:r w:rsidRPr="001E64BC">
        <w:t xml:space="preserve"> "A" </w:t>
      </w:r>
    </w:p>
    <w:p w:rsidR="008E6B12" w:rsidRPr="001C1FA6" w:rsidRDefault="008E6B12" w:rsidP="001E64BC">
      <w:pPr>
        <w:pStyle w:val="PointManual"/>
        <w:spacing w:before="360"/>
      </w:pPr>
      <w:r w:rsidRPr="001C1FA6">
        <w:t>-</w:t>
      </w:r>
      <w:r w:rsidRPr="001C1FA6">
        <w:tab/>
      </w:r>
      <w:r w:rsidR="001E64BC">
        <w:t>Divers</w:t>
      </w:r>
    </w:p>
    <w:p w:rsidR="008E6B12" w:rsidRPr="001C1FA6" w:rsidRDefault="001E64BC" w:rsidP="001E64BC">
      <w:pPr>
        <w:pStyle w:val="Dash1"/>
      </w:pPr>
      <w:r>
        <w:t>Réunion ministérielle JAI entre l'UE et les États-Unis</w:t>
      </w:r>
      <w:r w:rsidR="008E6B12" w:rsidRPr="001C1FA6">
        <w:t xml:space="preserve"> (Riga, 2-3 </w:t>
      </w:r>
      <w:r>
        <w:t>juin</w:t>
      </w:r>
      <w:r w:rsidR="008E6B12" w:rsidRPr="001C1FA6">
        <w:t xml:space="preserve"> 2015)</w:t>
      </w:r>
    </w:p>
    <w:p w:rsidR="008E6B12" w:rsidRPr="001C1FA6" w:rsidRDefault="008E6B12" w:rsidP="001E64BC">
      <w:pPr>
        <w:pStyle w:val="Dash2"/>
      </w:pPr>
      <w:r w:rsidRPr="001C1FA6">
        <w:t>Information</w:t>
      </w:r>
      <w:r w:rsidR="001E64BC">
        <w:t>s communiquées par la présidence</w:t>
      </w:r>
    </w:p>
    <w:p w:rsidR="003F3914" w:rsidRPr="001E64BC" w:rsidRDefault="001E64BC" w:rsidP="00C20069">
      <w:pPr>
        <w:pStyle w:val="PointManual"/>
        <w:spacing w:before="360"/>
      </w:pPr>
      <w:r w:rsidRPr="001E64BC">
        <w:t>-</w:t>
      </w:r>
      <w:r w:rsidRPr="001E64BC">
        <w:tab/>
        <w:t>Pré</w:t>
      </w:r>
      <w:r w:rsidR="008E6B12" w:rsidRPr="001E64BC">
        <w:t xml:space="preserve">sentation </w:t>
      </w:r>
      <w:r w:rsidRPr="001E64BC">
        <w:t>par le</w:t>
      </w:r>
      <w:r w:rsidR="008E6B12" w:rsidRPr="001E64BC">
        <w:t xml:space="preserve"> Luxembourg </w:t>
      </w:r>
      <w:r w:rsidRPr="001E64BC">
        <w:t>du programme de la prochaine présidence</w:t>
      </w:r>
      <w:r>
        <w:br/>
        <w:t>(juillet à décembre</w:t>
      </w:r>
      <w:r w:rsidR="008E6B12" w:rsidRPr="001E64BC">
        <w:t xml:space="preserve"> 2015)</w:t>
      </w:r>
    </w:p>
    <w:p w:rsidR="003F3914" w:rsidRPr="001E64BC" w:rsidRDefault="003F3914" w:rsidP="001E64BC">
      <w:pPr>
        <w:spacing w:before="360"/>
        <w:rPr>
          <w:b/>
          <w:bCs/>
          <w:u w:val="single"/>
        </w:rPr>
      </w:pPr>
      <w:r w:rsidRPr="001E64BC">
        <w:rPr>
          <w:b/>
          <w:bCs/>
        </w:rPr>
        <w:br w:type="page"/>
      </w:r>
      <w:r w:rsidRPr="001E64BC">
        <w:rPr>
          <w:b/>
          <w:bCs/>
        </w:rPr>
        <w:lastRenderedPageBreak/>
        <w:t>B.</w:t>
      </w:r>
      <w:r w:rsidRPr="001E64BC">
        <w:rPr>
          <w:b/>
          <w:bCs/>
        </w:rPr>
        <w:tab/>
      </w:r>
      <w:r w:rsidR="001E64BC" w:rsidRPr="001E64BC">
        <w:rPr>
          <w:b/>
          <w:bCs/>
          <w:u w:val="single"/>
        </w:rPr>
        <w:t>MARDI</w:t>
      </w:r>
      <w:r w:rsidR="00143B73" w:rsidRPr="001E64BC">
        <w:rPr>
          <w:b/>
          <w:bCs/>
          <w:u w:val="single"/>
        </w:rPr>
        <w:t xml:space="preserve"> 1</w:t>
      </w:r>
      <w:r w:rsidR="001A3373" w:rsidRPr="001E64BC">
        <w:rPr>
          <w:b/>
          <w:bCs/>
          <w:u w:val="single"/>
        </w:rPr>
        <w:t>6 JU</w:t>
      </w:r>
      <w:r w:rsidR="001E64BC" w:rsidRPr="001E64BC">
        <w:rPr>
          <w:b/>
          <w:bCs/>
          <w:u w:val="single"/>
        </w:rPr>
        <w:t>IN 2015 (10 heures</w:t>
      </w:r>
      <w:r w:rsidRPr="001E64BC">
        <w:rPr>
          <w:b/>
          <w:bCs/>
          <w:u w:val="single"/>
        </w:rPr>
        <w:t>)</w:t>
      </w:r>
    </w:p>
    <w:p w:rsidR="003F3914" w:rsidRPr="001E64BC" w:rsidRDefault="001E64BC" w:rsidP="001A3373">
      <w:pPr>
        <w:spacing w:before="240"/>
        <w:rPr>
          <w:b/>
          <w:bCs/>
          <w:u w:val="single"/>
        </w:rPr>
      </w:pPr>
      <w:r w:rsidRPr="001E64BC">
        <w:rPr>
          <w:b/>
          <w:bCs/>
          <w:u w:val="single"/>
        </w:rPr>
        <w:t>A</w:t>
      </w:r>
      <w:r>
        <w:rPr>
          <w:b/>
          <w:bCs/>
          <w:u w:val="single"/>
        </w:rPr>
        <w:t>FFAIRES INTÉ</w:t>
      </w:r>
      <w:r w:rsidRPr="001E64BC">
        <w:rPr>
          <w:b/>
          <w:bCs/>
          <w:u w:val="single"/>
        </w:rPr>
        <w:t>RIEURES</w:t>
      </w:r>
    </w:p>
    <w:p w:rsidR="003F3914" w:rsidRPr="001E64BC" w:rsidRDefault="001E64BC" w:rsidP="001E64BC">
      <w:pPr>
        <w:pStyle w:val="Title"/>
        <w:spacing w:before="360"/>
        <w:rPr>
          <w:b w:val="0"/>
          <w:bCs w:val="0"/>
          <w:i w:val="0"/>
          <w:iCs/>
        </w:rPr>
      </w:pPr>
      <w:r w:rsidRPr="001E64BC">
        <w:rPr>
          <w:iCs/>
        </w:rPr>
        <w:t>Délibé</w:t>
      </w:r>
      <w:r w:rsidR="003F3914" w:rsidRPr="001E64BC">
        <w:rPr>
          <w:iCs/>
        </w:rPr>
        <w:t>rations</w:t>
      </w:r>
      <w:r w:rsidRPr="001E64BC">
        <w:rPr>
          <w:iCs/>
        </w:rPr>
        <w:t xml:space="preserve"> législatives</w:t>
      </w:r>
    </w:p>
    <w:p w:rsidR="00334A5C" w:rsidRPr="001E64BC" w:rsidRDefault="003F3914" w:rsidP="001E64BC">
      <w:pPr>
        <w:pStyle w:val="PointManual"/>
        <w:spacing w:before="360"/>
      </w:pPr>
      <w:r w:rsidRPr="001E64BC">
        <w:t>-</w:t>
      </w:r>
      <w:r w:rsidRPr="001E64BC">
        <w:tab/>
      </w:r>
      <w:r w:rsidR="001E64BC" w:rsidRPr="001E64BC">
        <w:t>D</w:t>
      </w:r>
      <w:r w:rsidR="001E64BC">
        <w:t>ivers</w:t>
      </w:r>
    </w:p>
    <w:p w:rsidR="001E64BC" w:rsidRPr="001E64BC" w:rsidRDefault="001E64BC" w:rsidP="001E64BC">
      <w:pPr>
        <w:pStyle w:val="Dash1"/>
      </w:pPr>
      <w:r w:rsidRPr="001E64BC">
        <w:t>Informations communiquées par la présidence au sujet des propositions législatives en cours d'examen</w:t>
      </w:r>
    </w:p>
    <w:p w:rsidR="001E64BC" w:rsidRPr="001E64BC" w:rsidRDefault="001E64BC" w:rsidP="001E64BC">
      <w:pPr>
        <w:pStyle w:val="Title"/>
        <w:rPr>
          <w:b w:val="0"/>
          <w:bCs w:val="0"/>
          <w:i w:val="0"/>
          <w:iCs/>
        </w:rPr>
      </w:pPr>
      <w:r>
        <w:rPr>
          <w:iCs/>
        </w:rPr>
        <w:t>Activités non lég</w:t>
      </w:r>
      <w:r w:rsidRPr="001E64BC">
        <w:rPr>
          <w:iCs/>
        </w:rPr>
        <w:t>islative</w:t>
      </w:r>
      <w:r>
        <w:rPr>
          <w:iCs/>
        </w:rPr>
        <w:t>s</w:t>
      </w:r>
    </w:p>
    <w:p w:rsidR="00334A5C" w:rsidRPr="001E64BC" w:rsidRDefault="001E64BC" w:rsidP="001E64BC">
      <w:pPr>
        <w:pStyle w:val="PointManual"/>
        <w:spacing w:before="360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Pr="001E64BC">
        <w:t>Questions concernant le Comité mixte</w:t>
      </w:r>
    </w:p>
    <w:p w:rsidR="00334A5C" w:rsidRPr="001C1FA6" w:rsidRDefault="00334A5C" w:rsidP="001E64BC">
      <w:pPr>
        <w:pStyle w:val="Dash1"/>
        <w:rPr>
          <w:rFonts w:eastAsia="Calibri"/>
        </w:rPr>
      </w:pPr>
      <w:r w:rsidRPr="001C1FA6">
        <w:rPr>
          <w:rFonts w:eastAsia="Calibri"/>
        </w:rPr>
        <w:t>Information</w:t>
      </w:r>
      <w:r w:rsidR="001E64BC">
        <w:rPr>
          <w:rFonts w:eastAsia="Calibri"/>
        </w:rPr>
        <w:t>s communiquées par la présidence</w:t>
      </w:r>
      <w:r w:rsidRPr="001C1FA6">
        <w:rPr>
          <w:rFonts w:eastAsia="Calibri"/>
        </w:rPr>
        <w:t xml:space="preserve"> </w:t>
      </w:r>
    </w:p>
    <w:p w:rsidR="00334A5C" w:rsidRPr="001E64BC" w:rsidRDefault="00334A5C" w:rsidP="001E64BC">
      <w:pPr>
        <w:pStyle w:val="PointManual"/>
        <w:spacing w:before="360"/>
        <w:rPr>
          <w:rFonts w:eastAsia="Calibri"/>
        </w:rPr>
      </w:pPr>
      <w:r w:rsidRPr="001E64BC">
        <w:rPr>
          <w:rFonts w:eastAsia="Calibri"/>
        </w:rPr>
        <w:t>-</w:t>
      </w:r>
      <w:r w:rsidRPr="001E64BC">
        <w:rPr>
          <w:rFonts w:eastAsia="Calibri"/>
        </w:rPr>
        <w:tab/>
      </w:r>
      <w:r w:rsidR="001E64BC" w:rsidRPr="001E64BC">
        <w:rPr>
          <w:rFonts w:eastAsia="Calibri"/>
        </w:rPr>
        <w:t>Projet de conclusions du Conse</w:t>
      </w:r>
      <w:r w:rsidRPr="001E64BC">
        <w:rPr>
          <w:rFonts w:eastAsia="Calibri"/>
        </w:rPr>
        <w:t>il</w:t>
      </w:r>
      <w:r w:rsidR="001E64BC">
        <w:rPr>
          <w:rFonts w:eastAsia="Calibri"/>
        </w:rPr>
        <w:t xml:space="preserve"> sur le renouvellement de la stratégie de sécurité intérieure</w:t>
      </w:r>
      <w:r w:rsidR="00526C91" w:rsidRPr="001E64BC">
        <w:rPr>
          <w:b/>
          <w:bCs/>
          <w:color w:val="000000"/>
          <w:vertAlign w:val="superscript"/>
        </w:rPr>
        <w:t>2</w:t>
      </w:r>
    </w:p>
    <w:p w:rsidR="00334A5C" w:rsidRPr="001C1FA6" w:rsidRDefault="00334A5C" w:rsidP="00334A5C">
      <w:pPr>
        <w:pStyle w:val="Dash1"/>
        <w:rPr>
          <w:rFonts w:eastAsia="Calibri"/>
        </w:rPr>
      </w:pPr>
      <w:r w:rsidRPr="001C1FA6">
        <w:t>Adoption</w:t>
      </w:r>
      <w:r w:rsidRPr="001C1FA6">
        <w:rPr>
          <w:rFonts w:eastAsia="Calibri"/>
        </w:rPr>
        <w:t xml:space="preserve"> </w:t>
      </w:r>
    </w:p>
    <w:p w:rsidR="00334A5C" w:rsidRPr="001C1FA6" w:rsidRDefault="00334A5C" w:rsidP="00C20069">
      <w:pPr>
        <w:pStyle w:val="PointManual"/>
        <w:spacing w:before="360"/>
        <w:rPr>
          <w:rFonts w:eastAsia="Calibri"/>
        </w:rPr>
      </w:pPr>
      <w:r w:rsidRPr="001C1FA6">
        <w:rPr>
          <w:rFonts w:eastAsia="Calibri"/>
        </w:rPr>
        <w:t>-</w:t>
      </w:r>
      <w:r w:rsidRPr="001C1FA6">
        <w:rPr>
          <w:rFonts w:eastAsia="Calibri"/>
        </w:rPr>
        <w:tab/>
      </w:r>
      <w:r w:rsidR="001E64BC">
        <w:rPr>
          <w:rFonts w:eastAsia="Calibri"/>
        </w:rPr>
        <w:t>Lutte contre le</w:t>
      </w:r>
      <w:r w:rsidRPr="001C1FA6">
        <w:rPr>
          <w:rFonts w:eastAsia="Calibri"/>
        </w:rPr>
        <w:t xml:space="preserve"> terrorism</w:t>
      </w:r>
      <w:r w:rsidR="001E64BC">
        <w:rPr>
          <w:rFonts w:eastAsia="Calibri"/>
        </w:rPr>
        <w:t>e</w:t>
      </w:r>
      <w:r w:rsidR="007D7292" w:rsidRPr="001C1FA6">
        <w:rPr>
          <w:rStyle w:val="FootnoteReference"/>
          <w:rFonts w:eastAsia="Calibri"/>
        </w:rPr>
        <w:footnoteReference w:id="2"/>
      </w:r>
    </w:p>
    <w:p w:rsidR="00334A5C" w:rsidRPr="001E64BC" w:rsidRDefault="001E64BC" w:rsidP="001E64BC">
      <w:pPr>
        <w:pStyle w:val="Dash1"/>
        <w:rPr>
          <w:rFonts w:eastAsia="Calibri"/>
        </w:rPr>
      </w:pPr>
      <w:r w:rsidRPr="001E64BC">
        <w:rPr>
          <w:rFonts w:eastAsia="Calibri"/>
        </w:rPr>
        <w:t>Suite donnée à la déclaration des membres du Conseil européen du 12 février</w:t>
      </w:r>
      <w:r w:rsidR="00334A5C" w:rsidRPr="001E64BC">
        <w:rPr>
          <w:rFonts w:eastAsia="Calibri"/>
        </w:rPr>
        <w:t xml:space="preserve"> 2015 </w:t>
      </w:r>
      <w:r w:rsidRPr="001E64BC">
        <w:rPr>
          <w:rFonts w:eastAsia="Calibri"/>
        </w:rPr>
        <w:t>sur la lutte contre le terrorisme</w:t>
      </w:r>
      <w:r w:rsidR="00334A5C" w:rsidRPr="001E64BC">
        <w:rPr>
          <w:rFonts w:eastAsia="Calibri"/>
        </w:rPr>
        <w:t xml:space="preserve"> </w:t>
      </w:r>
    </w:p>
    <w:p w:rsidR="00334A5C" w:rsidRPr="001C1FA6" w:rsidRDefault="001E64BC" w:rsidP="001E64BC">
      <w:pPr>
        <w:pStyle w:val="Dash2"/>
        <w:rPr>
          <w:rFonts w:eastAsia="Calibri"/>
        </w:rPr>
      </w:pPr>
      <w:r>
        <w:rPr>
          <w:rFonts w:eastAsia="Calibri"/>
        </w:rPr>
        <w:t>Rapport présenté par la présidence</w:t>
      </w:r>
    </w:p>
    <w:p w:rsidR="00334A5C" w:rsidRPr="001E64BC" w:rsidRDefault="00334A5C" w:rsidP="001E64BC">
      <w:pPr>
        <w:pStyle w:val="Dash2"/>
        <w:rPr>
          <w:rFonts w:eastAsia="Calibri"/>
        </w:rPr>
      </w:pPr>
      <w:r w:rsidRPr="001E64BC">
        <w:rPr>
          <w:rFonts w:eastAsia="Calibri"/>
        </w:rPr>
        <w:t>R</w:t>
      </w:r>
      <w:r w:rsidR="001E64BC" w:rsidRPr="001E64BC">
        <w:rPr>
          <w:rFonts w:eastAsia="Calibri"/>
        </w:rPr>
        <w:t xml:space="preserve">apport présenté par le </w:t>
      </w:r>
      <w:r w:rsidR="001E64BC">
        <w:rPr>
          <w:rFonts w:eastAsia="Calibri"/>
        </w:rPr>
        <w:t>coordinateur de l'UE pour la lutte contre le terrorisme</w:t>
      </w:r>
    </w:p>
    <w:p w:rsidR="00334A5C" w:rsidRPr="001C1FA6" w:rsidRDefault="00334A5C" w:rsidP="001E64BC">
      <w:pPr>
        <w:pStyle w:val="PointManual"/>
        <w:spacing w:before="360"/>
        <w:rPr>
          <w:rFonts w:eastAsia="Calibri"/>
        </w:rPr>
      </w:pPr>
      <w:r w:rsidRPr="001C1FA6">
        <w:rPr>
          <w:rFonts w:eastAsia="Calibri"/>
        </w:rPr>
        <w:t>-</w:t>
      </w:r>
      <w:r w:rsidRPr="001C1FA6">
        <w:rPr>
          <w:rFonts w:eastAsia="Calibri"/>
        </w:rPr>
        <w:tab/>
      </w:r>
      <w:r w:rsidR="001E64BC">
        <w:rPr>
          <w:rFonts w:eastAsia="Calibri"/>
        </w:rPr>
        <w:t>Divers</w:t>
      </w:r>
    </w:p>
    <w:p w:rsidR="00334A5C" w:rsidRPr="001E64BC" w:rsidRDefault="001E64BC" w:rsidP="001E64BC">
      <w:pPr>
        <w:pStyle w:val="Dash1"/>
      </w:pPr>
      <w:r>
        <w:t>Réunion ministérielle JAI entre l'UE et les États-Unis</w:t>
      </w:r>
      <w:r w:rsidRPr="001C1FA6">
        <w:t xml:space="preserve"> (Riga, 2-3 </w:t>
      </w:r>
      <w:r>
        <w:t>juin</w:t>
      </w:r>
      <w:r w:rsidRPr="001C1FA6">
        <w:t xml:space="preserve"> 2015)</w:t>
      </w:r>
    </w:p>
    <w:p w:rsidR="00334A5C" w:rsidRPr="001C1FA6" w:rsidRDefault="00334A5C" w:rsidP="001E64BC">
      <w:pPr>
        <w:pStyle w:val="Dash2"/>
        <w:rPr>
          <w:rFonts w:eastAsia="Calibri"/>
        </w:rPr>
      </w:pPr>
      <w:r w:rsidRPr="001C1FA6">
        <w:rPr>
          <w:rFonts w:eastAsia="Calibri"/>
        </w:rPr>
        <w:t>Information</w:t>
      </w:r>
      <w:r w:rsidR="001E64BC">
        <w:rPr>
          <w:rFonts w:eastAsia="Calibri"/>
        </w:rPr>
        <w:t>s communiquées par la présidence</w:t>
      </w:r>
    </w:p>
    <w:p w:rsidR="00334A5C" w:rsidRPr="001E64BC" w:rsidRDefault="00334A5C" w:rsidP="001E64BC">
      <w:pPr>
        <w:pStyle w:val="Dash1"/>
        <w:spacing w:before="120"/>
        <w:rPr>
          <w:rFonts w:eastAsia="Calibri"/>
        </w:rPr>
      </w:pPr>
      <w:r w:rsidRPr="001E64BC">
        <w:rPr>
          <w:rFonts w:eastAsia="Calibri"/>
        </w:rPr>
        <w:t xml:space="preserve">Justice </w:t>
      </w:r>
      <w:r w:rsidR="001E64BC">
        <w:rPr>
          <w:rFonts w:eastAsia="Calibri"/>
        </w:rPr>
        <w:t xml:space="preserve">et affaires intérieures - conférence ministérielle du processus de </w:t>
      </w:r>
      <w:proofErr w:type="spellStart"/>
      <w:r w:rsidR="001E64BC">
        <w:rPr>
          <w:rFonts w:eastAsia="Calibri"/>
        </w:rPr>
        <w:t>Brdo</w:t>
      </w:r>
      <w:proofErr w:type="spellEnd"/>
      <w:r w:rsidRPr="001E64BC">
        <w:rPr>
          <w:rFonts w:eastAsia="Calibri"/>
        </w:rPr>
        <w:t xml:space="preserve"> </w:t>
      </w:r>
      <w:r w:rsidR="001E64BC">
        <w:rPr>
          <w:rFonts w:eastAsia="Calibri"/>
        </w:rPr>
        <w:t xml:space="preserve">et du </w:t>
      </w:r>
      <w:r w:rsidR="001E64BC" w:rsidRPr="001E64BC">
        <w:rPr>
          <w:rFonts w:eastAsia="Calibri"/>
        </w:rPr>
        <w:t>processus de coopérati</w:t>
      </w:r>
      <w:r w:rsidR="001E64BC">
        <w:rPr>
          <w:rFonts w:eastAsia="Calibri"/>
        </w:rPr>
        <w:t>on en Europe du Sud-Est (SEECP)</w:t>
      </w:r>
      <w:r w:rsidRPr="001E64BC">
        <w:rPr>
          <w:rFonts w:eastAsia="Calibri"/>
        </w:rPr>
        <w:t xml:space="preserve">, </w:t>
      </w:r>
      <w:proofErr w:type="spellStart"/>
      <w:r w:rsidRPr="001E64BC">
        <w:rPr>
          <w:rFonts w:eastAsia="Calibri"/>
        </w:rPr>
        <w:t>Bu</w:t>
      </w:r>
      <w:r w:rsidR="00C20069">
        <w:rPr>
          <w:rFonts w:eastAsia="Calibri"/>
        </w:rPr>
        <w:t>dva</w:t>
      </w:r>
      <w:proofErr w:type="spellEnd"/>
      <w:r w:rsidR="00C20069">
        <w:rPr>
          <w:rFonts w:eastAsia="Calibri"/>
        </w:rPr>
        <w:t xml:space="preserve"> (Monténégro) 16</w:t>
      </w:r>
      <w:r w:rsidR="00C20069">
        <w:rPr>
          <w:rFonts w:eastAsia="Calibri"/>
        </w:rPr>
        <w:noBreakHyphen/>
      </w:r>
      <w:r w:rsidR="001E64BC">
        <w:rPr>
          <w:rFonts w:eastAsia="Calibri"/>
        </w:rPr>
        <w:t>17 </w:t>
      </w:r>
      <w:r w:rsidR="001E64BC" w:rsidRPr="001E64BC">
        <w:rPr>
          <w:rFonts w:eastAsia="Calibri"/>
        </w:rPr>
        <w:t>avril</w:t>
      </w:r>
      <w:r w:rsidRPr="001E64BC">
        <w:rPr>
          <w:rFonts w:eastAsia="Calibri"/>
        </w:rPr>
        <w:t xml:space="preserve"> 2015 </w:t>
      </w:r>
    </w:p>
    <w:p w:rsidR="00334A5C" w:rsidRPr="001C1FA6" w:rsidRDefault="00334A5C" w:rsidP="001E64BC">
      <w:pPr>
        <w:pStyle w:val="Dash2"/>
        <w:rPr>
          <w:rFonts w:eastAsia="Calibri"/>
        </w:rPr>
      </w:pPr>
      <w:r w:rsidRPr="001C1FA6">
        <w:rPr>
          <w:rFonts w:eastAsia="Calibri"/>
        </w:rPr>
        <w:t>Information</w:t>
      </w:r>
      <w:r w:rsidR="001E64BC">
        <w:rPr>
          <w:rFonts w:eastAsia="Calibri"/>
        </w:rPr>
        <w:t>s communiquées par la Slovénie</w:t>
      </w:r>
      <w:r w:rsidRPr="001C1FA6">
        <w:rPr>
          <w:rFonts w:eastAsia="Calibri"/>
        </w:rPr>
        <w:t xml:space="preserve"> </w:t>
      </w:r>
    </w:p>
    <w:p w:rsidR="00334A5C" w:rsidRPr="001E64BC" w:rsidRDefault="001E64BC" w:rsidP="00C20069">
      <w:pPr>
        <w:pStyle w:val="Dash1"/>
        <w:spacing w:before="120"/>
        <w:rPr>
          <w:rFonts w:eastAsia="Calibri"/>
        </w:rPr>
      </w:pPr>
      <w:r w:rsidRPr="001E64BC">
        <w:rPr>
          <w:rFonts w:eastAsia="Calibri"/>
        </w:rPr>
        <w:t xml:space="preserve">Conférence ministérielle du Forum de </w:t>
      </w:r>
      <w:r w:rsidR="00334A5C" w:rsidRPr="001E64BC">
        <w:rPr>
          <w:rFonts w:eastAsia="Calibri"/>
        </w:rPr>
        <w:t>Salzb</w:t>
      </w:r>
      <w:r>
        <w:rPr>
          <w:rFonts w:eastAsia="Calibri"/>
        </w:rPr>
        <w:t>o</w:t>
      </w:r>
      <w:r w:rsidR="00334A5C" w:rsidRPr="001E64BC">
        <w:rPr>
          <w:rFonts w:eastAsia="Calibri"/>
        </w:rPr>
        <w:t>urg</w:t>
      </w:r>
      <w:r w:rsidRPr="001E64BC">
        <w:rPr>
          <w:rFonts w:eastAsia="Calibri"/>
        </w:rPr>
        <w:t xml:space="preserve">, St. </w:t>
      </w:r>
      <w:proofErr w:type="spellStart"/>
      <w:r w:rsidRPr="001E64BC">
        <w:rPr>
          <w:rFonts w:eastAsia="Calibri"/>
        </w:rPr>
        <w:t>Pölten</w:t>
      </w:r>
      <w:proofErr w:type="spellEnd"/>
      <w:r w:rsidRPr="001E64BC">
        <w:rPr>
          <w:rFonts w:eastAsia="Calibri"/>
        </w:rPr>
        <w:t xml:space="preserve"> (</w:t>
      </w:r>
      <w:r w:rsidR="00C20069">
        <w:rPr>
          <w:rFonts w:eastAsia="Calibri"/>
        </w:rPr>
        <w:t>Autriche</w:t>
      </w:r>
      <w:r w:rsidRPr="001E64BC">
        <w:rPr>
          <w:rFonts w:eastAsia="Calibri"/>
        </w:rPr>
        <w:t>), 4-5 mai</w:t>
      </w:r>
      <w:r w:rsidR="00334A5C" w:rsidRPr="001E64BC">
        <w:rPr>
          <w:rFonts w:eastAsia="Calibri"/>
        </w:rPr>
        <w:t xml:space="preserve"> 2015</w:t>
      </w:r>
    </w:p>
    <w:p w:rsidR="00334A5C" w:rsidRPr="001C1FA6" w:rsidRDefault="00334A5C" w:rsidP="001E64BC">
      <w:pPr>
        <w:pStyle w:val="Dash2"/>
        <w:rPr>
          <w:rFonts w:eastAsia="Calibri"/>
        </w:rPr>
      </w:pPr>
      <w:r w:rsidRPr="001C1FA6">
        <w:rPr>
          <w:rFonts w:eastAsia="Calibri"/>
        </w:rPr>
        <w:t>Information</w:t>
      </w:r>
      <w:r w:rsidR="001E64BC">
        <w:rPr>
          <w:rFonts w:eastAsia="Calibri"/>
        </w:rPr>
        <w:t>s communiquées par l'Autriche</w:t>
      </w:r>
      <w:r w:rsidRPr="001C1FA6">
        <w:rPr>
          <w:rFonts w:eastAsia="Calibri"/>
        </w:rPr>
        <w:t xml:space="preserve"> </w:t>
      </w:r>
    </w:p>
    <w:p w:rsidR="00334A5C" w:rsidRPr="001E64BC" w:rsidRDefault="001E64BC" w:rsidP="00C20069">
      <w:pPr>
        <w:pStyle w:val="Dash1"/>
        <w:spacing w:before="120"/>
        <w:rPr>
          <w:rFonts w:eastAsia="Calibri"/>
        </w:rPr>
      </w:pPr>
      <w:r w:rsidRPr="001E64BC">
        <w:rPr>
          <w:rFonts w:eastAsia="Calibri"/>
        </w:rPr>
        <w:t xml:space="preserve">Conférence ministérielle internationale des ministres des affaires étrangères </w:t>
      </w:r>
      <w:r>
        <w:rPr>
          <w:rFonts w:eastAsia="Calibri"/>
        </w:rPr>
        <w:t xml:space="preserve">et de l'intérieur sur le thème </w:t>
      </w:r>
      <w:r w:rsidRPr="001E64BC">
        <w:rPr>
          <w:rFonts w:eastAsia="Calibri"/>
        </w:rPr>
        <w:t xml:space="preserve"> </w:t>
      </w:r>
      <w:r>
        <w:rPr>
          <w:rFonts w:eastAsia="Calibri"/>
        </w:rPr>
        <w:t>"</w:t>
      </w:r>
      <w:proofErr w:type="spellStart"/>
      <w:r w:rsidRPr="001E64BC">
        <w:rPr>
          <w:rFonts w:eastAsia="Calibri"/>
        </w:rPr>
        <w:t>Tackling</w:t>
      </w:r>
      <w:proofErr w:type="spellEnd"/>
      <w:r w:rsidRPr="001E64BC">
        <w:rPr>
          <w:rFonts w:eastAsia="Calibri"/>
        </w:rPr>
        <w:t xml:space="preserve"> </w:t>
      </w:r>
      <w:proofErr w:type="spellStart"/>
      <w:r w:rsidRPr="001E64BC">
        <w:rPr>
          <w:rFonts w:eastAsia="Calibri"/>
        </w:rPr>
        <w:t>Jihadism</w:t>
      </w:r>
      <w:proofErr w:type="spellEnd"/>
      <w:r w:rsidRPr="001E64BC">
        <w:rPr>
          <w:rFonts w:eastAsia="Calibri"/>
        </w:rPr>
        <w:t xml:space="preserve"> </w:t>
      </w:r>
      <w:proofErr w:type="spellStart"/>
      <w:r w:rsidRPr="001E64BC">
        <w:rPr>
          <w:rFonts w:eastAsia="Calibri"/>
        </w:rPr>
        <w:t>Together</w:t>
      </w:r>
      <w:proofErr w:type="spellEnd"/>
      <w:r w:rsidRPr="001E64BC">
        <w:rPr>
          <w:rFonts w:eastAsia="Calibri"/>
        </w:rPr>
        <w:t>"</w:t>
      </w:r>
      <w:r>
        <w:rPr>
          <w:rFonts w:eastAsia="Calibri"/>
        </w:rPr>
        <w:t xml:space="preserve"> (</w:t>
      </w:r>
      <w:r w:rsidR="00C20069">
        <w:rPr>
          <w:rFonts w:eastAsia="Calibri"/>
        </w:rPr>
        <w:t xml:space="preserve">s'attaquer </w:t>
      </w:r>
      <w:r>
        <w:rPr>
          <w:rFonts w:eastAsia="Calibri"/>
        </w:rPr>
        <w:t xml:space="preserve">ensemble </w:t>
      </w:r>
      <w:r w:rsidR="00C20069">
        <w:rPr>
          <w:rFonts w:eastAsia="Calibri"/>
        </w:rPr>
        <w:t xml:space="preserve">au </w:t>
      </w:r>
      <w:proofErr w:type="spellStart"/>
      <w:r>
        <w:rPr>
          <w:rFonts w:eastAsia="Calibri"/>
        </w:rPr>
        <w:t>djihadisme</w:t>
      </w:r>
      <w:proofErr w:type="spellEnd"/>
      <w:r>
        <w:rPr>
          <w:rFonts w:eastAsia="Calibri"/>
        </w:rPr>
        <w:t>)</w:t>
      </w:r>
      <w:r w:rsidRPr="001E64BC">
        <w:rPr>
          <w:rFonts w:eastAsia="Calibri"/>
        </w:rPr>
        <w:t xml:space="preserve">, </w:t>
      </w:r>
      <w:r>
        <w:rPr>
          <w:rFonts w:eastAsia="Calibri"/>
        </w:rPr>
        <w:t>Vienne</w:t>
      </w:r>
      <w:r w:rsidRPr="001E64BC">
        <w:rPr>
          <w:rFonts w:eastAsia="Calibri"/>
        </w:rPr>
        <w:t>, 20 mars</w:t>
      </w:r>
      <w:r w:rsidR="00334A5C" w:rsidRPr="001E64BC">
        <w:rPr>
          <w:rFonts w:eastAsia="Calibri"/>
        </w:rPr>
        <w:t xml:space="preserve"> 2015 </w:t>
      </w:r>
    </w:p>
    <w:p w:rsidR="00334A5C" w:rsidRPr="001C1FA6" w:rsidRDefault="001E64BC" w:rsidP="00791D62">
      <w:pPr>
        <w:pStyle w:val="Dash2"/>
        <w:rPr>
          <w:rFonts w:eastAsia="Calibri"/>
        </w:rPr>
      </w:pPr>
      <w:r>
        <w:rPr>
          <w:rFonts w:eastAsia="Calibri"/>
        </w:rPr>
        <w:t>Informations communiquées par l'Autriche</w:t>
      </w:r>
    </w:p>
    <w:p w:rsidR="003F3914" w:rsidRPr="001C1FA6" w:rsidRDefault="003F3914" w:rsidP="003F3914">
      <w:pPr>
        <w:spacing w:before="480"/>
        <w:jc w:val="center"/>
        <w:rPr>
          <w:snapToGrid w:val="0"/>
        </w:rPr>
      </w:pPr>
      <w:r w:rsidRPr="001C1FA6">
        <w:rPr>
          <w:snapToGrid w:val="0"/>
        </w:rPr>
        <w:t>o</w:t>
      </w:r>
    </w:p>
    <w:p w:rsidR="003F3914" w:rsidRPr="001C1FA6" w:rsidRDefault="003F3914" w:rsidP="003F3914">
      <w:pPr>
        <w:spacing w:before="120"/>
        <w:jc w:val="center"/>
        <w:rPr>
          <w:snapToGrid w:val="0"/>
        </w:rPr>
      </w:pPr>
      <w:r w:rsidRPr="001C1FA6">
        <w:rPr>
          <w:snapToGrid w:val="0"/>
        </w:rPr>
        <w:t>o</w:t>
      </w:r>
      <w:r w:rsidRPr="001C1FA6">
        <w:rPr>
          <w:snapToGrid w:val="0"/>
        </w:rPr>
        <w:tab/>
      </w:r>
      <w:proofErr w:type="spellStart"/>
      <w:r w:rsidRPr="001C1FA6">
        <w:rPr>
          <w:snapToGrid w:val="0"/>
        </w:rPr>
        <w:t>o</w:t>
      </w:r>
      <w:proofErr w:type="spellEnd"/>
    </w:p>
    <w:p w:rsidR="003F3914" w:rsidRPr="007860C3" w:rsidRDefault="00403248" w:rsidP="001E64BC">
      <w:pPr>
        <w:spacing w:before="360"/>
        <w:outlineLvl w:val="0"/>
        <w:rPr>
          <w:b/>
          <w:bCs/>
          <w:i/>
          <w:iCs/>
          <w:lang w:val="fr-BE"/>
        </w:rPr>
      </w:pPr>
      <w:r w:rsidRPr="001E64BC">
        <w:rPr>
          <w:b/>
          <w:bCs/>
          <w:i/>
          <w:iCs/>
          <w:u w:val="single"/>
          <w:lang w:val="en-US"/>
        </w:rPr>
        <w:br w:type="page"/>
      </w:r>
      <w:r w:rsidR="001E64BC" w:rsidRPr="007860C3">
        <w:rPr>
          <w:b/>
          <w:bCs/>
          <w:i/>
          <w:iCs/>
          <w:u w:val="single"/>
          <w:lang w:val="fr-BE"/>
        </w:rPr>
        <w:lastRenderedPageBreak/>
        <w:t>En marge du Conseil</w:t>
      </w:r>
      <w:r w:rsidR="003F3914" w:rsidRPr="007860C3">
        <w:rPr>
          <w:b/>
          <w:bCs/>
          <w:i/>
          <w:iCs/>
          <w:lang w:val="fr-BE"/>
        </w:rPr>
        <w:t>:</w:t>
      </w:r>
    </w:p>
    <w:p w:rsidR="003F3914" w:rsidRPr="001E64BC" w:rsidRDefault="001E64BC" w:rsidP="001E64BC">
      <w:pPr>
        <w:spacing w:before="360"/>
        <w:rPr>
          <w:b/>
          <w:bCs/>
          <w:u w:val="single"/>
        </w:rPr>
      </w:pPr>
      <w:r w:rsidRPr="007860C3">
        <w:rPr>
          <w:b/>
          <w:bCs/>
          <w:u w:val="single"/>
          <w:lang w:val="fr-BE"/>
        </w:rPr>
        <w:t>Réunion du COMITÉ MIXTE</w:t>
      </w:r>
      <w:r w:rsidRPr="001E64BC">
        <w:rPr>
          <w:b/>
          <w:bCs/>
          <w:u w:val="single"/>
        </w:rPr>
        <w:t xml:space="preserve"> (MARDI</w:t>
      </w:r>
      <w:r w:rsidR="003F3914" w:rsidRPr="001E64BC">
        <w:rPr>
          <w:b/>
          <w:bCs/>
          <w:u w:val="single"/>
        </w:rPr>
        <w:t xml:space="preserve"> 1</w:t>
      </w:r>
      <w:r w:rsidR="00007782" w:rsidRPr="001E64BC">
        <w:rPr>
          <w:b/>
          <w:bCs/>
          <w:u w:val="single"/>
        </w:rPr>
        <w:t>6</w:t>
      </w:r>
      <w:r w:rsidR="003F3914" w:rsidRPr="001E64BC">
        <w:rPr>
          <w:b/>
          <w:bCs/>
          <w:u w:val="single"/>
        </w:rPr>
        <w:t xml:space="preserve"> </w:t>
      </w:r>
      <w:r w:rsidR="00007782" w:rsidRPr="001E64BC">
        <w:rPr>
          <w:b/>
          <w:bCs/>
          <w:u w:val="single"/>
        </w:rPr>
        <w:t>JU</w:t>
      </w:r>
      <w:r w:rsidRPr="001E64BC">
        <w:rPr>
          <w:b/>
          <w:bCs/>
          <w:u w:val="single"/>
        </w:rPr>
        <w:t>IN 2015 – 10 heures</w:t>
      </w:r>
      <w:r w:rsidR="003F3914" w:rsidRPr="001E64BC">
        <w:rPr>
          <w:b/>
          <w:bCs/>
          <w:u w:val="single"/>
        </w:rPr>
        <w:t>)</w:t>
      </w:r>
    </w:p>
    <w:p w:rsidR="007833A0" w:rsidRPr="001C1FA6" w:rsidRDefault="003F3914" w:rsidP="001E64BC">
      <w:pPr>
        <w:pStyle w:val="PointManual"/>
        <w:spacing w:before="360"/>
        <w:rPr>
          <w:lang w:eastAsia="en-GB"/>
        </w:rPr>
      </w:pPr>
      <w:r w:rsidRPr="001C1FA6">
        <w:rPr>
          <w:lang w:eastAsia="en-GB"/>
        </w:rPr>
        <w:t>-</w:t>
      </w:r>
      <w:r w:rsidRPr="001C1FA6">
        <w:rPr>
          <w:lang w:eastAsia="en-GB"/>
        </w:rPr>
        <w:tab/>
      </w:r>
      <w:r w:rsidR="001E64BC">
        <w:rPr>
          <w:lang w:eastAsia="en-GB"/>
        </w:rPr>
        <w:t>Questions migratoires</w:t>
      </w:r>
    </w:p>
    <w:p w:rsidR="007833A0" w:rsidRPr="001E64BC" w:rsidRDefault="001E64BC" w:rsidP="001E64BC">
      <w:pPr>
        <w:pStyle w:val="Dash1"/>
        <w:spacing w:before="120"/>
        <w:rPr>
          <w:lang w:eastAsia="en-GB"/>
        </w:rPr>
      </w:pPr>
      <w:r w:rsidRPr="001E64BC">
        <w:rPr>
          <w:lang w:eastAsia="en-GB"/>
        </w:rPr>
        <w:t xml:space="preserve">Suivi de la réunion extraordinaire du Conseil européen du </w:t>
      </w:r>
      <w:r w:rsidR="007833A0" w:rsidRPr="001E64BC">
        <w:rPr>
          <w:lang w:eastAsia="en-GB"/>
        </w:rPr>
        <w:t xml:space="preserve">23 </w:t>
      </w:r>
      <w:r w:rsidRPr="001E64BC">
        <w:rPr>
          <w:lang w:eastAsia="en-GB"/>
        </w:rPr>
        <w:t>avril</w:t>
      </w:r>
      <w:r w:rsidR="007833A0" w:rsidRPr="001E64BC">
        <w:rPr>
          <w:lang w:eastAsia="en-GB"/>
        </w:rPr>
        <w:t xml:space="preserve"> 2015</w:t>
      </w:r>
    </w:p>
    <w:p w:rsidR="007833A0" w:rsidRPr="001E64BC" w:rsidRDefault="007833A0" w:rsidP="001E64BC">
      <w:pPr>
        <w:pStyle w:val="Dash2"/>
        <w:rPr>
          <w:lang w:eastAsia="en-GB"/>
        </w:rPr>
      </w:pPr>
      <w:r w:rsidRPr="001E64BC">
        <w:rPr>
          <w:lang w:eastAsia="en-GB"/>
        </w:rPr>
        <w:t>Information</w:t>
      </w:r>
      <w:r w:rsidR="001E64BC" w:rsidRPr="001E64BC">
        <w:rPr>
          <w:lang w:eastAsia="en-GB"/>
        </w:rPr>
        <w:t>s communiquées par la présidence, par la Commission et par le</w:t>
      </w:r>
      <w:r w:rsidR="001E64BC">
        <w:rPr>
          <w:lang w:eastAsia="en-GB"/>
        </w:rPr>
        <w:t xml:space="preserve"> SEAE</w:t>
      </w:r>
    </w:p>
    <w:p w:rsidR="007833A0" w:rsidRPr="001C1FA6" w:rsidRDefault="001E64BC" w:rsidP="001E64BC">
      <w:pPr>
        <w:pStyle w:val="Dash1"/>
        <w:spacing w:before="120"/>
        <w:rPr>
          <w:lang w:eastAsia="en-GB"/>
        </w:rPr>
      </w:pPr>
      <w:r>
        <w:rPr>
          <w:lang w:eastAsia="en-GB"/>
        </w:rPr>
        <w:t>Programme européen en matière de migration</w:t>
      </w:r>
    </w:p>
    <w:p w:rsidR="007833A0" w:rsidRPr="001C1FA6" w:rsidRDefault="001E64BC" w:rsidP="00791D62">
      <w:pPr>
        <w:pStyle w:val="Dash2"/>
        <w:rPr>
          <w:lang w:eastAsia="en-GB"/>
        </w:rPr>
      </w:pPr>
      <w:r>
        <w:rPr>
          <w:lang w:eastAsia="en-GB"/>
        </w:rPr>
        <w:t>Débat d'orientation</w:t>
      </w:r>
      <w:r w:rsidR="007833A0" w:rsidRPr="001C1FA6">
        <w:rPr>
          <w:lang w:eastAsia="en-GB"/>
        </w:rPr>
        <w:t xml:space="preserve"> </w:t>
      </w:r>
    </w:p>
    <w:p w:rsidR="00276FD3" w:rsidRPr="001E64BC" w:rsidRDefault="001E64BC" w:rsidP="001E64BC">
      <w:pPr>
        <w:pStyle w:val="Dash2"/>
        <w:rPr>
          <w:lang w:eastAsia="en-GB"/>
        </w:rPr>
      </w:pPr>
      <w:r w:rsidRPr="001E64BC">
        <w:rPr>
          <w:lang w:eastAsia="en-GB"/>
        </w:rPr>
        <w:t>É</w:t>
      </w:r>
      <w:r w:rsidR="00276FD3" w:rsidRPr="001E64BC">
        <w:rPr>
          <w:lang w:eastAsia="en-GB"/>
        </w:rPr>
        <w:t xml:space="preserve">change </w:t>
      </w:r>
      <w:r w:rsidRPr="001E64BC">
        <w:rPr>
          <w:lang w:eastAsia="en-GB"/>
        </w:rPr>
        <w:t>de vues sur le retour et la réadmission</w:t>
      </w:r>
      <w:r w:rsidR="00276FD3" w:rsidRPr="001E64BC">
        <w:rPr>
          <w:lang w:eastAsia="en-GB"/>
        </w:rPr>
        <w:t>,</w:t>
      </w:r>
      <w:r w:rsidRPr="001E64BC">
        <w:rPr>
          <w:lang w:eastAsia="en-GB"/>
        </w:rPr>
        <w:t xml:space="preserve"> y compris état d'avancement d</w:t>
      </w:r>
      <w:r>
        <w:rPr>
          <w:lang w:eastAsia="en-GB"/>
        </w:rPr>
        <w:t>e</w:t>
      </w:r>
      <w:r w:rsidRPr="001E64BC">
        <w:rPr>
          <w:lang w:eastAsia="en-GB"/>
        </w:rPr>
        <w:t xml:space="preserve">s négociations en cours </w:t>
      </w:r>
      <w:r>
        <w:rPr>
          <w:lang w:eastAsia="en-GB"/>
        </w:rPr>
        <w:t>sur les accords UE de réadmission</w:t>
      </w:r>
    </w:p>
    <w:p w:rsidR="007833A0" w:rsidRPr="001C1FA6" w:rsidRDefault="007833A0" w:rsidP="001E64BC">
      <w:pPr>
        <w:pStyle w:val="PointManual"/>
        <w:spacing w:before="360"/>
        <w:rPr>
          <w:lang w:eastAsia="en-GB"/>
        </w:rPr>
      </w:pPr>
      <w:r w:rsidRPr="001C1FA6">
        <w:rPr>
          <w:lang w:eastAsia="en-GB"/>
        </w:rPr>
        <w:t>-</w:t>
      </w:r>
      <w:r w:rsidRPr="001C1FA6">
        <w:rPr>
          <w:lang w:eastAsia="en-GB"/>
        </w:rPr>
        <w:tab/>
      </w:r>
      <w:r w:rsidR="001E64BC">
        <w:rPr>
          <w:lang w:eastAsia="en-GB"/>
        </w:rPr>
        <w:t>Divers</w:t>
      </w:r>
    </w:p>
    <w:p w:rsidR="007833A0" w:rsidRPr="001E64BC" w:rsidRDefault="001E64BC" w:rsidP="001E64BC">
      <w:pPr>
        <w:pStyle w:val="Dash1"/>
        <w:spacing w:before="120"/>
        <w:rPr>
          <w:lang w:eastAsia="en-GB"/>
        </w:rPr>
      </w:pPr>
      <w:r w:rsidRPr="001E64BC">
        <w:t>Informations communiquées par la présidence au sujet des propositions législatives en cours d'examen</w:t>
      </w:r>
    </w:p>
    <w:p w:rsidR="007833A0" w:rsidRPr="001E64BC" w:rsidRDefault="001E64BC" w:rsidP="00C20069">
      <w:pPr>
        <w:pStyle w:val="Dash1"/>
        <w:spacing w:before="120"/>
        <w:rPr>
          <w:lang w:eastAsia="en-GB"/>
        </w:rPr>
      </w:pPr>
      <w:r w:rsidRPr="001E64BC">
        <w:t>Présentation par le Luxembourg du programme de la prochaine présidence</w:t>
      </w:r>
      <w:r>
        <w:br/>
        <w:t>(juillet à décembre</w:t>
      </w:r>
      <w:r w:rsidRPr="001E64BC">
        <w:t xml:space="preserve"> 2015</w:t>
      </w:r>
      <w:r w:rsidR="007833A0" w:rsidRPr="001E64BC">
        <w:rPr>
          <w:lang w:eastAsia="en-GB"/>
        </w:rPr>
        <w:t>)</w:t>
      </w:r>
    </w:p>
    <w:p w:rsidR="00B2006C" w:rsidRPr="001E64BC" w:rsidRDefault="00B2006C" w:rsidP="00BA610F">
      <w:pPr>
        <w:pStyle w:val="FinalLine"/>
        <w:spacing w:before="720"/>
        <w:ind w:left="3402" w:right="3402"/>
      </w:pPr>
    </w:p>
    <w:p w:rsidR="00B2006C" w:rsidRPr="007860C3" w:rsidRDefault="001C1FA6" w:rsidP="001C1FA6">
      <w:pPr>
        <w:pStyle w:val="NB"/>
        <w:rPr>
          <w:b/>
          <w:bCs/>
          <w:i/>
          <w:iCs/>
        </w:rPr>
      </w:pPr>
      <w:bookmarkStart w:id="1" w:name="TBDW_c4d13c54f2d241cfbd67e61704ed988f"/>
      <w:r w:rsidRPr="007860C3">
        <w:rPr>
          <w:b/>
          <w:bCs/>
          <w:i/>
          <w:iCs/>
        </w:rPr>
        <w:t>NB:</w:t>
      </w:r>
      <w:r w:rsidRPr="007860C3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1"/>
    </w:p>
    <w:p w:rsidR="00FC4670" w:rsidRPr="001C1FA6" w:rsidRDefault="001C1FA6" w:rsidP="001C1FA6">
      <w:pPr>
        <w:pStyle w:val="NB"/>
        <w:rPr>
          <w:b/>
          <w:bCs/>
          <w:i/>
          <w:iCs/>
        </w:rPr>
      </w:pPr>
      <w:bookmarkStart w:id="2" w:name="TBDW_c4a3b272536a41e68cb08a001c47cc80"/>
      <w:r w:rsidRPr="007860C3">
        <w:rPr>
          <w:b/>
          <w:bCs/>
          <w:i/>
          <w:iCs/>
        </w:rPr>
        <w:t>NB:</w:t>
      </w:r>
      <w:r w:rsidRPr="007860C3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</w:t>
      </w:r>
      <w:bookmarkStart w:id="3" w:name="_GoBack"/>
      <w:bookmarkEnd w:id="3"/>
      <w:r w:rsidRPr="00C20069">
        <w:rPr>
          <w:b/>
          <w:bCs/>
        </w:rPr>
        <w:t>.</w:t>
      </w:r>
      <w:bookmarkEnd w:id="2"/>
    </w:p>
    <w:sectPr w:rsidR="00FC4670" w:rsidRPr="001C1FA6" w:rsidSect="00DB19BF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B19BF" w:rsidRPr="00D94637" w:rsidTr="00DB19B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B19BF" w:rsidRPr="00D94637" w:rsidRDefault="00DB19B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DB19BF" w:rsidRPr="00B310DC" w:rsidTr="00DB19B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B19BF" w:rsidRPr="00AD7BF2" w:rsidRDefault="00DB19BF" w:rsidP="004F54B2">
          <w:pPr>
            <w:pStyle w:val="FooterText"/>
          </w:pPr>
          <w:r>
            <w:t>CM 2735/15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B19BF" w:rsidRPr="00AD7BF2" w:rsidRDefault="00DB19B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B19BF" w:rsidRPr="002511D8" w:rsidRDefault="00DB19B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B19BF" w:rsidRPr="00B310DC" w:rsidRDefault="00DB19B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60C3">
            <w:rPr>
              <w:noProof/>
            </w:rPr>
            <w:t>4</w:t>
          </w:r>
          <w:r>
            <w:fldChar w:fldCharType="end"/>
          </w:r>
        </w:p>
      </w:tc>
    </w:tr>
    <w:tr w:rsidR="00DB19BF" w:rsidRPr="00D94637" w:rsidTr="00DB19BF">
      <w:trPr>
        <w:jc w:val="center"/>
      </w:trPr>
      <w:tc>
        <w:tcPr>
          <w:tcW w:w="1774" w:type="pct"/>
          <w:shd w:val="clear" w:color="auto" w:fill="auto"/>
        </w:tcPr>
        <w:p w:rsidR="00DB19BF" w:rsidRPr="00AD7BF2" w:rsidRDefault="00DB19B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B19BF" w:rsidRPr="00AD7BF2" w:rsidRDefault="00DB19B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B19BF" w:rsidRPr="00D94637" w:rsidRDefault="00DB19B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B19BF" w:rsidRPr="00D94637" w:rsidRDefault="00DB19B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B2006C" w:rsidRPr="00DB19BF" w:rsidRDefault="00B2006C" w:rsidP="00DB19B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B19BF" w:rsidRPr="00D94637" w:rsidTr="00DB19B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B19BF" w:rsidRPr="00D94637" w:rsidRDefault="00DB19B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B19BF" w:rsidRPr="00B310DC" w:rsidTr="00DB19B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B19BF" w:rsidRPr="00AD7BF2" w:rsidRDefault="00DB19BF" w:rsidP="004F54B2">
          <w:pPr>
            <w:pStyle w:val="FooterText"/>
          </w:pPr>
          <w:r>
            <w:t>CM 2735/15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B19BF" w:rsidRPr="00AD7BF2" w:rsidRDefault="00DB19B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B19BF" w:rsidRPr="002511D8" w:rsidRDefault="00DB19B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B19BF" w:rsidRPr="00B310DC" w:rsidRDefault="00DB19B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60C3">
            <w:rPr>
              <w:noProof/>
            </w:rPr>
            <w:t>1</w:t>
          </w:r>
          <w:r>
            <w:fldChar w:fldCharType="end"/>
          </w:r>
        </w:p>
      </w:tc>
    </w:tr>
    <w:tr w:rsidR="00DB19BF" w:rsidRPr="00D94637" w:rsidTr="00DB19BF">
      <w:trPr>
        <w:jc w:val="center"/>
      </w:trPr>
      <w:tc>
        <w:tcPr>
          <w:tcW w:w="1774" w:type="pct"/>
          <w:shd w:val="clear" w:color="auto" w:fill="auto"/>
        </w:tcPr>
        <w:p w:rsidR="00DB19BF" w:rsidRPr="00AD7BF2" w:rsidRDefault="00DB19B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B19BF" w:rsidRPr="00AD7BF2" w:rsidRDefault="00DB19B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B19BF" w:rsidRPr="00D94637" w:rsidRDefault="00DB19B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B19BF" w:rsidRPr="00D94637" w:rsidRDefault="00DB19B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2006C" w:rsidRPr="00DB19BF" w:rsidRDefault="00B2006C" w:rsidP="00DB19B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2908B5" w:rsidRPr="001E64BC" w:rsidRDefault="002908B5" w:rsidP="001E64BC">
      <w:pPr>
        <w:pStyle w:val="FootnoteText"/>
      </w:pPr>
      <w:r>
        <w:rPr>
          <w:rStyle w:val="FootnoteReference"/>
        </w:rPr>
        <w:footnoteRef/>
      </w:r>
      <w:r w:rsidRPr="001E64BC">
        <w:t xml:space="preserve"> </w:t>
      </w:r>
      <w:r w:rsidRPr="001E64BC">
        <w:tab/>
      </w:r>
      <w:r w:rsidR="001E64BC" w:rsidRPr="001E64BC">
        <w:rPr>
          <w:szCs w:val="24"/>
        </w:rPr>
        <w:t>Lorsqu'il adopte une orientation générale après que le Parlement européen a adopté sa position en première lecture, le Conseil n'agit pas au sens de l'article 294, paragraphes 4 et 5, du TFUE</w:t>
      </w:r>
      <w:r w:rsidR="001E64BC">
        <w:rPr>
          <w:sz w:val="19"/>
          <w:szCs w:val="19"/>
        </w:rPr>
        <w:t>.</w:t>
      </w:r>
    </w:p>
  </w:footnote>
  <w:footnote w:id="2">
    <w:p w:rsidR="007D7292" w:rsidRPr="001E64BC" w:rsidRDefault="007D7292" w:rsidP="001E64BC">
      <w:pPr>
        <w:pStyle w:val="FootnoteText"/>
      </w:pPr>
      <w:r>
        <w:rPr>
          <w:rStyle w:val="FootnoteReference"/>
        </w:rPr>
        <w:footnoteRef/>
      </w:r>
      <w:r w:rsidRPr="001E64BC">
        <w:t xml:space="preserve"> </w:t>
      </w:r>
      <w:r w:rsidR="001E64BC" w:rsidRPr="001E64BC">
        <w:t xml:space="preserve">En présence des pays associés à l'espace </w:t>
      </w:r>
      <w:r w:rsidRPr="001E64BC">
        <w:t>Schengen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3"/>
  </w:num>
  <w:num w:numId="21">
    <w:abstractNumId w:val="13"/>
  </w:num>
  <w:num w:numId="22">
    <w:abstractNumId w:val="19"/>
  </w:num>
  <w:num w:numId="23">
    <w:abstractNumId w:val="19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9"/>
  </w:num>
  <w:num w:numId="29">
    <w:abstractNumId w:val="19"/>
  </w:num>
  <w:num w:numId="30">
    <w:abstractNumId w:val="13"/>
  </w:num>
  <w:num w:numId="31">
    <w:abstractNumId w:val="19"/>
  </w:num>
  <w:num w:numId="3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b73662a-336c-436a-9841-cc622030bba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3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&gt;_x000d__x000a_    &lt;text&gt;M. Rafael FERNANDEZ-PITA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6e session du CONSEIL DE L'UNION EUROPÉE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&amp;gt;3396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Justice &amp;lt;Run xml:lang=&quot;fr-be&quot;&amp;gt;et affaires intérieu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07782"/>
    <w:rsid w:val="00010C1D"/>
    <w:rsid w:val="0009656C"/>
    <w:rsid w:val="000A3913"/>
    <w:rsid w:val="000F2F96"/>
    <w:rsid w:val="00136C3A"/>
    <w:rsid w:val="00143B73"/>
    <w:rsid w:val="0015224E"/>
    <w:rsid w:val="0015463B"/>
    <w:rsid w:val="00165755"/>
    <w:rsid w:val="001720B7"/>
    <w:rsid w:val="00182F2F"/>
    <w:rsid w:val="001A3373"/>
    <w:rsid w:val="001C1FA6"/>
    <w:rsid w:val="001E64BC"/>
    <w:rsid w:val="00276FD3"/>
    <w:rsid w:val="002908B5"/>
    <w:rsid w:val="002A2AE8"/>
    <w:rsid w:val="002A6B9C"/>
    <w:rsid w:val="002B1BF6"/>
    <w:rsid w:val="002D311B"/>
    <w:rsid w:val="002D4515"/>
    <w:rsid w:val="00331EF6"/>
    <w:rsid w:val="00334A5C"/>
    <w:rsid w:val="00385830"/>
    <w:rsid w:val="003C6E8B"/>
    <w:rsid w:val="003F3914"/>
    <w:rsid w:val="00403248"/>
    <w:rsid w:val="004355AB"/>
    <w:rsid w:val="00484512"/>
    <w:rsid w:val="004A226D"/>
    <w:rsid w:val="004F687E"/>
    <w:rsid w:val="005157F5"/>
    <w:rsid w:val="00526C91"/>
    <w:rsid w:val="0063379B"/>
    <w:rsid w:val="00664A7B"/>
    <w:rsid w:val="006A38C5"/>
    <w:rsid w:val="006A5710"/>
    <w:rsid w:val="006C1AD4"/>
    <w:rsid w:val="006E33E2"/>
    <w:rsid w:val="006F4741"/>
    <w:rsid w:val="00710E52"/>
    <w:rsid w:val="0075756A"/>
    <w:rsid w:val="007833A0"/>
    <w:rsid w:val="007860C3"/>
    <w:rsid w:val="00791D62"/>
    <w:rsid w:val="007D7292"/>
    <w:rsid w:val="00825503"/>
    <w:rsid w:val="008826F8"/>
    <w:rsid w:val="008E6B12"/>
    <w:rsid w:val="00A469D7"/>
    <w:rsid w:val="00A53C5A"/>
    <w:rsid w:val="00B2006C"/>
    <w:rsid w:val="00B73AAF"/>
    <w:rsid w:val="00B8752F"/>
    <w:rsid w:val="00B90B31"/>
    <w:rsid w:val="00BA610F"/>
    <w:rsid w:val="00BB55FE"/>
    <w:rsid w:val="00BE1373"/>
    <w:rsid w:val="00C031A3"/>
    <w:rsid w:val="00C20069"/>
    <w:rsid w:val="00C720CB"/>
    <w:rsid w:val="00CB4F3F"/>
    <w:rsid w:val="00D40A48"/>
    <w:rsid w:val="00D451E4"/>
    <w:rsid w:val="00DA58A1"/>
    <w:rsid w:val="00DB19BF"/>
    <w:rsid w:val="00E43D87"/>
    <w:rsid w:val="00E72812"/>
    <w:rsid w:val="00F77DB4"/>
    <w:rsid w:val="00FB0DDC"/>
    <w:rsid w:val="00FC2E30"/>
    <w:rsid w:val="00FC4670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F687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en-GB" w:eastAsia="en-US"/>
    </w:rPr>
  </w:style>
  <w:style w:type="character" w:customStyle="1" w:styleId="FootnoteTextChar">
    <w:name w:val="Footnote Text Char"/>
    <w:link w:val="FootnoteText"/>
    <w:rsid w:val="003F391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F687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en-GB" w:eastAsia="en-US"/>
    </w:rPr>
  </w:style>
  <w:style w:type="character" w:customStyle="1" w:styleId="FootnoteTextChar">
    <w:name w:val="Footnote Text Char"/>
    <w:link w:val="FootnoteText"/>
    <w:rsid w:val="003F391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9782-05CB-4065-9CC5-87FCB65A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4</Pages>
  <Words>540</Words>
  <Characters>3209</Characters>
  <Application>Microsoft Office Word</Application>
  <DocSecurity>0</DocSecurity>
  <Lines>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FRATTAROLA Antonietta</cp:lastModifiedBy>
  <cp:revision>4</cp:revision>
  <cp:lastPrinted>2015-06-01T10:53:00Z</cp:lastPrinted>
  <dcterms:created xsi:type="dcterms:W3CDTF">2015-06-01T13:38:00Z</dcterms:created>
  <dcterms:modified xsi:type="dcterms:W3CDTF">2015-06-01T13:44:00Z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3.5.3, Build 20150508</vt:lpwstr>
  </property>
</Properties>
</file>