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AA4B2E" w:rsidRDefault="00972B34" w:rsidP="00AA4B2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575a9df-aa0b-4f3e-913a-f09193aabb10_0" style="width:568.75pt;height:489.5pt">
            <v:imagedata r:id="rId9" o:title=""/>
          </v:shape>
        </w:pict>
      </w:r>
      <w:bookmarkEnd w:id="0"/>
    </w:p>
    <w:p w:rsidR="003F3914" w:rsidRPr="00AA4B2E" w:rsidRDefault="003F3914" w:rsidP="001A3373">
      <w:pPr>
        <w:spacing w:before="360"/>
        <w:rPr>
          <w:b/>
          <w:bCs/>
        </w:rPr>
      </w:pPr>
      <w:r w:rsidRPr="00AA4B2E">
        <w:rPr>
          <w:b/>
        </w:rPr>
        <w:t>A.</w:t>
      </w:r>
      <w:r w:rsidRPr="00AA4B2E">
        <w:tab/>
      </w:r>
      <w:r w:rsidRPr="00AA4B2E">
        <w:rPr>
          <w:b/>
          <w:u w:val="single"/>
        </w:rPr>
        <w:t>ПОНЕДЕЛНИК, 15 ЮНИ 2015 г. (10,00 ч.)</w:t>
      </w:r>
      <w:r w:rsidRPr="00AA4B2E">
        <w:t xml:space="preserve"> </w:t>
      </w:r>
    </w:p>
    <w:p w:rsidR="003F3914" w:rsidRPr="00AA4B2E" w:rsidRDefault="001A3373" w:rsidP="001A3373">
      <w:pPr>
        <w:spacing w:before="240"/>
        <w:rPr>
          <w:b/>
          <w:u w:val="single"/>
        </w:rPr>
      </w:pPr>
      <w:r w:rsidRPr="00AA4B2E">
        <w:rPr>
          <w:b/>
          <w:u w:val="single"/>
        </w:rPr>
        <w:t>ПРАВОСЪДИЕ</w:t>
      </w:r>
    </w:p>
    <w:p w:rsidR="003F3914" w:rsidRPr="00AA4B2E" w:rsidRDefault="003F3914" w:rsidP="003F3914">
      <w:pPr>
        <w:pStyle w:val="PointManual"/>
        <w:spacing w:before="360"/>
      </w:pPr>
      <w:r w:rsidRPr="00AA4B2E">
        <w:t>—</w:t>
      </w:r>
      <w:r w:rsidRPr="00AA4B2E">
        <w:tab/>
        <w:t>Приемане на предварителния дневен ред</w:t>
      </w:r>
    </w:p>
    <w:p w:rsidR="003F3914" w:rsidRPr="00AA4B2E" w:rsidRDefault="003F3914" w:rsidP="003F3914">
      <w:pPr>
        <w:pStyle w:val="Title"/>
      </w:pPr>
      <w:r w:rsidRPr="00AA4B2E">
        <w:t>Обсъждания на законодателни актове</w:t>
      </w:r>
    </w:p>
    <w:p w:rsidR="003F3914" w:rsidRPr="00AA4B2E" w:rsidRDefault="003F3914" w:rsidP="00334A5C">
      <w:pPr>
        <w:pStyle w:val="PointManual"/>
        <w:spacing w:before="360"/>
      </w:pPr>
      <w:r w:rsidRPr="00AA4B2E">
        <w:t>—</w:t>
      </w:r>
      <w:r w:rsidRPr="00AA4B2E">
        <w:tab/>
        <w:t>(евентуално) Одобряване на списъка на точки А</w:t>
      </w:r>
    </w:p>
    <w:p w:rsidR="001A3373" w:rsidRPr="00AA4B2E" w:rsidRDefault="002908B5" w:rsidP="001A3373">
      <w:pPr>
        <w:pStyle w:val="PointManual"/>
        <w:spacing w:before="360"/>
      </w:pPr>
      <w:r w:rsidRPr="00AA4B2E">
        <w:br w:type="page"/>
      </w:r>
      <w:r w:rsidRPr="00AA4B2E">
        <w:lastRenderedPageBreak/>
        <w:t>—</w:t>
      </w:r>
      <w:r w:rsidRPr="00AA4B2E">
        <w:tab/>
        <w:t xml:space="preserve"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 </w:t>
      </w:r>
      <w:r w:rsidRPr="00AA4B2E">
        <w:rPr>
          <w:b/>
        </w:rPr>
        <w:t>(първо четене)</w:t>
      </w:r>
    </w:p>
    <w:p w:rsidR="001A3373" w:rsidRPr="00AA4B2E" w:rsidRDefault="001A3373" w:rsidP="00D40A48">
      <w:pPr>
        <w:pStyle w:val="Dash1"/>
      </w:pPr>
      <w:r w:rsidRPr="00AA4B2E">
        <w:t xml:space="preserve">Общ подход </w:t>
      </w:r>
      <w:r w:rsidRPr="00AA4B2E">
        <w:rPr>
          <w:rStyle w:val="FootnoteReference"/>
        </w:rPr>
        <w:footnoteReference w:id="1"/>
      </w:r>
    </w:p>
    <w:p w:rsidR="001A3373" w:rsidRPr="00AA4B2E" w:rsidRDefault="001A3373" w:rsidP="001A3373">
      <w:pPr>
        <w:pStyle w:val="PointManual"/>
        <w:spacing w:before="360"/>
      </w:pPr>
      <w:r w:rsidRPr="00AA4B2E">
        <w:t>—</w:t>
      </w:r>
      <w:r w:rsidRPr="00AA4B2E">
        <w:tab/>
        <w:t xml:space="preserve"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 1024/2012 </w:t>
      </w:r>
      <w:r w:rsidRPr="00AA4B2E">
        <w:rPr>
          <w:b/>
        </w:rPr>
        <w:t>(първо четене)</w:t>
      </w:r>
    </w:p>
    <w:p w:rsidR="001A3373" w:rsidRPr="00AA4B2E" w:rsidRDefault="001A3373" w:rsidP="00E43D87">
      <w:pPr>
        <w:pStyle w:val="Dash1"/>
      </w:pPr>
      <w:r w:rsidRPr="00AA4B2E">
        <w:t xml:space="preserve">Общ подход </w:t>
      </w:r>
      <w:r w:rsidRPr="00AA4B2E">
        <w:rPr>
          <w:b/>
          <w:color w:val="000000"/>
          <w:vertAlign w:val="superscript"/>
        </w:rPr>
        <w:t>1</w:t>
      </w:r>
    </w:p>
    <w:p w:rsidR="001A3373" w:rsidRPr="00AA4B2E" w:rsidRDefault="001A3373" w:rsidP="001A3373">
      <w:pPr>
        <w:pStyle w:val="PointManual"/>
        <w:spacing w:before="360"/>
      </w:pPr>
      <w:r w:rsidRPr="00AA4B2E">
        <w:t>—</w:t>
      </w:r>
      <w:r w:rsidRPr="00AA4B2E">
        <w:tab/>
        <w:t xml:space="preserve">Предложение за регламент на Съвета за създаване на Европейска прокуратура </w:t>
      </w:r>
      <w:r w:rsidRPr="00AA4B2E">
        <w:rPr>
          <w:b/>
        </w:rPr>
        <w:t>(първо четене)</w:t>
      </w:r>
    </w:p>
    <w:p w:rsidR="001A3373" w:rsidRPr="00AA4B2E" w:rsidRDefault="001A3373" w:rsidP="00D40A48">
      <w:pPr>
        <w:pStyle w:val="Dash1"/>
      </w:pPr>
      <w:r w:rsidRPr="00AA4B2E">
        <w:t>Ориентационен дебат</w:t>
      </w:r>
    </w:p>
    <w:p w:rsidR="001A3373" w:rsidRPr="00AA4B2E" w:rsidRDefault="001A3373" w:rsidP="001A3373">
      <w:pPr>
        <w:pStyle w:val="PointManual"/>
        <w:spacing w:before="360"/>
      </w:pPr>
      <w:r w:rsidRPr="00AA4B2E">
        <w:t>—</w:t>
      </w:r>
      <w:r w:rsidRPr="00AA4B2E">
        <w:tab/>
        <w:t>Други въпроси</w:t>
      </w:r>
    </w:p>
    <w:p w:rsidR="003F3914" w:rsidRPr="00AA4B2E" w:rsidRDefault="001A3373" w:rsidP="008E6B12">
      <w:pPr>
        <w:pStyle w:val="Dash1"/>
      </w:pPr>
      <w:r w:rsidRPr="00AA4B2E">
        <w:t>Информация от председателството по текущи законодателни предложения</w:t>
      </w:r>
    </w:p>
    <w:p w:rsidR="003F3914" w:rsidRPr="00AA4B2E" w:rsidRDefault="003F3914" w:rsidP="003F3914">
      <w:pPr>
        <w:pStyle w:val="Title"/>
        <w:rPr>
          <w:b w:val="0"/>
          <w:bCs w:val="0"/>
          <w:i w:val="0"/>
          <w:iCs/>
        </w:rPr>
      </w:pPr>
      <w:r w:rsidRPr="00AA4B2E">
        <w:t>Незаконодателни дейности</w:t>
      </w:r>
    </w:p>
    <w:p w:rsidR="008E6B12" w:rsidRPr="00AA4B2E" w:rsidRDefault="008E6B12" w:rsidP="008E6B12">
      <w:pPr>
        <w:pStyle w:val="PointManual"/>
        <w:spacing w:before="360"/>
      </w:pPr>
      <w:r w:rsidRPr="00AA4B2E">
        <w:t>—</w:t>
      </w:r>
      <w:r w:rsidRPr="00AA4B2E">
        <w:tab/>
        <w:t>Одобряване на списъка на точки А</w:t>
      </w:r>
    </w:p>
    <w:p w:rsidR="008E6B12" w:rsidRPr="00AA4B2E" w:rsidRDefault="008E6B12" w:rsidP="008E6B12">
      <w:pPr>
        <w:pStyle w:val="PointManual"/>
        <w:spacing w:before="360"/>
      </w:pPr>
      <w:r w:rsidRPr="00AA4B2E">
        <w:t>—</w:t>
      </w:r>
      <w:r w:rsidRPr="00AA4B2E">
        <w:tab/>
        <w:t>Други въпроси</w:t>
      </w:r>
    </w:p>
    <w:p w:rsidR="008E6B12" w:rsidRPr="00AA4B2E" w:rsidRDefault="008E6B12" w:rsidP="008E6B12">
      <w:pPr>
        <w:pStyle w:val="Dash1"/>
      </w:pPr>
      <w:r w:rsidRPr="00AA4B2E">
        <w:t>Среща на министрите ЕС—САЩ по въпросите на правосъдието и вътрешните работи (Рига, 2—3 юни 2015 г.)</w:t>
      </w:r>
    </w:p>
    <w:p w:rsidR="008E6B12" w:rsidRPr="00AA4B2E" w:rsidRDefault="008E6B12" w:rsidP="00791D62">
      <w:pPr>
        <w:pStyle w:val="Dash2"/>
      </w:pPr>
      <w:r w:rsidRPr="00AA4B2E">
        <w:t>Информация от председателството</w:t>
      </w:r>
    </w:p>
    <w:p w:rsidR="003F3914" w:rsidRPr="00AA4B2E" w:rsidRDefault="008E6B12" w:rsidP="008E6B12">
      <w:pPr>
        <w:pStyle w:val="PointManual"/>
        <w:spacing w:before="360"/>
      </w:pPr>
      <w:r w:rsidRPr="00AA4B2E">
        <w:t>—</w:t>
      </w:r>
      <w:r w:rsidRPr="00AA4B2E">
        <w:tab/>
        <w:t>Представяне от Люксембург на програмата на предстоящото председателство</w:t>
      </w:r>
      <w:r w:rsidRPr="00AA4B2E">
        <w:br/>
        <w:t>(юли—декември 2015 г.)</w:t>
      </w:r>
    </w:p>
    <w:p w:rsidR="003F3914" w:rsidRPr="00AA4B2E" w:rsidRDefault="003F3914" w:rsidP="001A3373">
      <w:pPr>
        <w:spacing w:before="360"/>
        <w:rPr>
          <w:b/>
          <w:bCs/>
          <w:u w:val="single"/>
        </w:rPr>
      </w:pPr>
      <w:r w:rsidRPr="00AA4B2E">
        <w:br w:type="page"/>
      </w:r>
      <w:r w:rsidRPr="00AA4B2E">
        <w:rPr>
          <w:b/>
        </w:rPr>
        <w:lastRenderedPageBreak/>
        <w:t>Б.</w:t>
      </w:r>
      <w:r w:rsidRPr="00AA4B2E">
        <w:tab/>
      </w:r>
      <w:r w:rsidRPr="00AA4B2E">
        <w:rPr>
          <w:b/>
          <w:u w:val="single"/>
        </w:rPr>
        <w:t>ВТОРНИК, 16 ЮНИ 2015 г. (10,00 ч.)</w:t>
      </w:r>
    </w:p>
    <w:p w:rsidR="003F3914" w:rsidRPr="00AA4B2E" w:rsidRDefault="001A3373" w:rsidP="001A3373">
      <w:pPr>
        <w:spacing w:before="240"/>
        <w:rPr>
          <w:b/>
          <w:bCs/>
          <w:u w:val="single"/>
        </w:rPr>
      </w:pPr>
      <w:r w:rsidRPr="00AA4B2E">
        <w:rPr>
          <w:b/>
          <w:u w:val="single"/>
        </w:rPr>
        <w:t>ВЪТРЕШНИ РАБОТИ</w:t>
      </w:r>
    </w:p>
    <w:p w:rsidR="003F3914" w:rsidRPr="00AA4B2E" w:rsidRDefault="003F3914" w:rsidP="003F3914">
      <w:pPr>
        <w:pStyle w:val="Title"/>
        <w:spacing w:before="360"/>
        <w:rPr>
          <w:b w:val="0"/>
          <w:bCs w:val="0"/>
          <w:i w:val="0"/>
          <w:iCs/>
        </w:rPr>
      </w:pPr>
      <w:r w:rsidRPr="00AA4B2E">
        <w:t>Обсъждания на законодателни актове</w:t>
      </w:r>
    </w:p>
    <w:p w:rsidR="00334A5C" w:rsidRPr="00AA4B2E" w:rsidRDefault="003F3914" w:rsidP="00334A5C">
      <w:pPr>
        <w:pStyle w:val="PointManual"/>
        <w:spacing w:before="360"/>
      </w:pPr>
      <w:r w:rsidRPr="00AA4B2E">
        <w:t>—</w:t>
      </w:r>
      <w:r w:rsidRPr="00AA4B2E">
        <w:tab/>
        <w:t>Други въпроси</w:t>
      </w:r>
    </w:p>
    <w:p w:rsidR="003F3914" w:rsidRPr="00AA4B2E" w:rsidRDefault="00334A5C" w:rsidP="00334A5C">
      <w:pPr>
        <w:pStyle w:val="Dash1"/>
      </w:pPr>
      <w:r w:rsidRPr="00AA4B2E">
        <w:t>Информация от председателството по текущи законодателни предложения</w:t>
      </w:r>
    </w:p>
    <w:p w:rsidR="003F3914" w:rsidRPr="00AA4B2E" w:rsidRDefault="003F3914" w:rsidP="003F3914">
      <w:pPr>
        <w:pStyle w:val="Title"/>
      </w:pPr>
      <w:r w:rsidRPr="00AA4B2E">
        <w:t>Незаконодателни дейности</w:t>
      </w:r>
    </w:p>
    <w:p w:rsidR="00334A5C" w:rsidRPr="00AA4B2E" w:rsidRDefault="00334A5C" w:rsidP="00334A5C">
      <w:pPr>
        <w:pStyle w:val="PointManual"/>
        <w:spacing w:before="360"/>
        <w:rPr>
          <w:rFonts w:eastAsia="Calibri"/>
        </w:rPr>
      </w:pPr>
      <w:r w:rsidRPr="00AA4B2E">
        <w:t>—</w:t>
      </w:r>
      <w:r w:rsidRPr="00AA4B2E">
        <w:tab/>
        <w:t>Въпроси, свързани със Смесения комитет</w:t>
      </w:r>
    </w:p>
    <w:p w:rsidR="00334A5C" w:rsidRPr="00AA4B2E" w:rsidRDefault="00334A5C" w:rsidP="00334A5C">
      <w:pPr>
        <w:pStyle w:val="Dash1"/>
        <w:rPr>
          <w:rFonts w:eastAsia="Calibri"/>
        </w:rPr>
      </w:pPr>
      <w:r w:rsidRPr="00AA4B2E">
        <w:t xml:space="preserve">Информация от председателството </w:t>
      </w:r>
    </w:p>
    <w:p w:rsidR="00334A5C" w:rsidRPr="00AA4B2E" w:rsidRDefault="00334A5C" w:rsidP="00334A5C">
      <w:pPr>
        <w:pStyle w:val="PointManual"/>
        <w:spacing w:before="360"/>
        <w:rPr>
          <w:rFonts w:eastAsia="Calibri"/>
        </w:rPr>
      </w:pPr>
      <w:r w:rsidRPr="00AA4B2E">
        <w:t>—</w:t>
      </w:r>
      <w:r w:rsidRPr="00AA4B2E">
        <w:tab/>
        <w:t>Проект за заключения на Съвета относно обновената стратегия за вътрешна сигурност</w:t>
      </w:r>
      <w:r w:rsidRPr="00AA4B2E">
        <w:rPr>
          <w:b/>
          <w:color w:val="000000"/>
          <w:vertAlign w:val="superscript"/>
        </w:rPr>
        <w:t xml:space="preserve"> 2</w:t>
      </w:r>
    </w:p>
    <w:p w:rsidR="00334A5C" w:rsidRPr="00AA4B2E" w:rsidRDefault="00334A5C" w:rsidP="00334A5C">
      <w:pPr>
        <w:pStyle w:val="Dash1"/>
        <w:rPr>
          <w:rFonts w:eastAsia="Calibri"/>
        </w:rPr>
      </w:pPr>
      <w:r w:rsidRPr="00AA4B2E">
        <w:t xml:space="preserve">Приемане </w:t>
      </w:r>
    </w:p>
    <w:p w:rsidR="00334A5C" w:rsidRPr="00AA4B2E" w:rsidRDefault="00334A5C" w:rsidP="00334A5C">
      <w:pPr>
        <w:pStyle w:val="PointManual"/>
        <w:spacing w:before="360"/>
        <w:rPr>
          <w:rFonts w:eastAsia="Calibri"/>
        </w:rPr>
      </w:pPr>
      <w:r w:rsidRPr="00AA4B2E">
        <w:t>—</w:t>
      </w:r>
      <w:r w:rsidRPr="00AA4B2E">
        <w:tab/>
        <w:t xml:space="preserve">Борба с тероризма </w:t>
      </w:r>
      <w:r w:rsidRPr="00AA4B2E">
        <w:rPr>
          <w:rStyle w:val="FootnoteReference"/>
        </w:rPr>
        <w:footnoteReference w:id="2"/>
      </w:r>
    </w:p>
    <w:p w:rsidR="00334A5C" w:rsidRPr="00AA4B2E" w:rsidRDefault="00334A5C" w:rsidP="00FB0DDC">
      <w:pPr>
        <w:pStyle w:val="Dash1"/>
        <w:rPr>
          <w:rFonts w:eastAsia="Calibri"/>
        </w:rPr>
      </w:pPr>
      <w:r w:rsidRPr="00AA4B2E">
        <w:t xml:space="preserve">Последващи действия на изявлението на държавите членки относно борбата с тероризма на Европейския съвет от 12 февруари 2015 г. 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>Доклад на председателството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>Доклад на координатора за борба с тероризма</w:t>
      </w:r>
    </w:p>
    <w:p w:rsidR="00334A5C" w:rsidRPr="00AA4B2E" w:rsidRDefault="00334A5C" w:rsidP="00334A5C">
      <w:pPr>
        <w:pStyle w:val="PointManual"/>
        <w:spacing w:before="360"/>
        <w:rPr>
          <w:rFonts w:eastAsia="Calibri"/>
        </w:rPr>
      </w:pPr>
      <w:r w:rsidRPr="00AA4B2E">
        <w:t>—</w:t>
      </w:r>
      <w:r w:rsidRPr="00AA4B2E">
        <w:tab/>
        <w:t>Други въпроси</w:t>
      </w:r>
    </w:p>
    <w:p w:rsidR="00334A5C" w:rsidRPr="00AA4B2E" w:rsidRDefault="00334A5C" w:rsidP="007D7292">
      <w:pPr>
        <w:pStyle w:val="Dash1"/>
        <w:spacing w:before="120"/>
        <w:rPr>
          <w:rFonts w:eastAsia="Calibri"/>
        </w:rPr>
      </w:pPr>
      <w:r w:rsidRPr="00AA4B2E">
        <w:t>Среща на министрите ЕС—САЩ по въпросите на правосъдието и вътрешните работи (Рига, 2—3 юни 2015 г.)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>Информация от председателството</w:t>
      </w:r>
    </w:p>
    <w:p w:rsidR="00334A5C" w:rsidRPr="00AA4B2E" w:rsidRDefault="00334A5C" w:rsidP="007D7292">
      <w:pPr>
        <w:pStyle w:val="Dash1"/>
        <w:spacing w:before="120"/>
        <w:rPr>
          <w:rFonts w:eastAsia="Calibri"/>
        </w:rPr>
      </w:pPr>
      <w:r w:rsidRPr="00AA4B2E">
        <w:t xml:space="preserve">Министерска конференция по въпросите на правосъдието и вътрешните работи за процеса от Бърдо и процеса за Югоизточно сътрудничество, Будва (Черна гора) 16—17 април 2015 г. 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 xml:space="preserve">Информация от Словения </w:t>
      </w:r>
    </w:p>
    <w:p w:rsidR="00334A5C" w:rsidRPr="00AA4B2E" w:rsidRDefault="00334A5C" w:rsidP="007C271C">
      <w:pPr>
        <w:pStyle w:val="Dash1"/>
        <w:spacing w:before="120"/>
        <w:rPr>
          <w:rFonts w:eastAsia="Calibri"/>
        </w:rPr>
      </w:pPr>
      <w:r w:rsidRPr="00AA4B2E">
        <w:t xml:space="preserve">Министерска конференция „Форум от Залцбург“, St. Pölten (Австрия), 4—5 </w:t>
      </w:r>
      <w:r w:rsidR="007C271C" w:rsidRPr="00AA4B2E">
        <w:t>май</w:t>
      </w:r>
      <w:r w:rsidRPr="00AA4B2E">
        <w:t xml:space="preserve"> 2015 г.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 xml:space="preserve">Информация от Австрия </w:t>
      </w:r>
    </w:p>
    <w:p w:rsidR="00334A5C" w:rsidRPr="00AA4B2E" w:rsidRDefault="00334A5C" w:rsidP="007D7292">
      <w:pPr>
        <w:pStyle w:val="Dash1"/>
        <w:spacing w:before="120"/>
        <w:rPr>
          <w:rFonts w:eastAsia="Calibri"/>
        </w:rPr>
      </w:pPr>
      <w:r w:rsidRPr="00AA4B2E">
        <w:t xml:space="preserve">Международна министерска конференция на министрите на външните и вътрешните работи относно „Съвместна борба с джихадизма“, Виена, 20 март 2015 г. </w:t>
      </w:r>
    </w:p>
    <w:p w:rsidR="00334A5C" w:rsidRPr="00AA4B2E" w:rsidRDefault="00334A5C" w:rsidP="00791D62">
      <w:pPr>
        <w:pStyle w:val="Dash2"/>
        <w:rPr>
          <w:rFonts w:eastAsia="Calibri"/>
        </w:rPr>
      </w:pPr>
      <w:r w:rsidRPr="00AA4B2E">
        <w:t>Информация от Австрия</w:t>
      </w:r>
    </w:p>
    <w:p w:rsidR="003F3914" w:rsidRPr="00AA4B2E" w:rsidRDefault="003F3914" w:rsidP="003F3914">
      <w:pPr>
        <w:spacing w:before="480"/>
        <w:jc w:val="center"/>
        <w:rPr>
          <w:snapToGrid w:val="0"/>
        </w:rPr>
      </w:pPr>
      <w:r w:rsidRPr="00AA4B2E">
        <w:t>o</w:t>
      </w:r>
    </w:p>
    <w:p w:rsidR="003F3914" w:rsidRPr="00AA4B2E" w:rsidRDefault="003F3914" w:rsidP="003F3914">
      <w:pPr>
        <w:spacing w:before="120"/>
        <w:jc w:val="center"/>
        <w:rPr>
          <w:snapToGrid w:val="0"/>
        </w:rPr>
      </w:pPr>
      <w:r w:rsidRPr="00AA4B2E">
        <w:t>o</w:t>
      </w:r>
      <w:r w:rsidRPr="00AA4B2E">
        <w:tab/>
        <w:t>o</w:t>
      </w:r>
    </w:p>
    <w:p w:rsidR="003F3914" w:rsidRPr="00AA4B2E" w:rsidRDefault="00403248" w:rsidP="003F3914">
      <w:pPr>
        <w:spacing w:before="360"/>
        <w:outlineLvl w:val="0"/>
        <w:rPr>
          <w:b/>
          <w:bCs/>
          <w:i/>
          <w:iCs/>
        </w:rPr>
      </w:pPr>
      <w:r w:rsidRPr="00AA4B2E">
        <w:br w:type="page"/>
      </w:r>
      <w:r w:rsidRPr="00AA4B2E">
        <w:rPr>
          <w:b/>
          <w:i/>
          <w:u w:val="single"/>
        </w:rPr>
        <w:lastRenderedPageBreak/>
        <w:t>Успоредно със заседанието на Съвета</w:t>
      </w:r>
      <w:r w:rsidRPr="00AA4B2E">
        <w:rPr>
          <w:b/>
          <w:i/>
        </w:rPr>
        <w:t>:</w:t>
      </w:r>
    </w:p>
    <w:p w:rsidR="003F3914" w:rsidRPr="00AA4B2E" w:rsidRDefault="003F3914" w:rsidP="00007782">
      <w:pPr>
        <w:spacing w:before="360"/>
        <w:rPr>
          <w:b/>
          <w:bCs/>
          <w:u w:val="single"/>
        </w:rPr>
      </w:pPr>
      <w:r w:rsidRPr="00AA4B2E">
        <w:rPr>
          <w:b/>
          <w:u w:val="single"/>
        </w:rPr>
        <w:t>Заседание на СМЕСЕНИЯ КОМИТЕТ (ВТОРНИК, 16 ЮНИ 2015 г. (10,00 ч.)</w:t>
      </w:r>
    </w:p>
    <w:p w:rsidR="007833A0" w:rsidRPr="00AA4B2E" w:rsidRDefault="003F3914" w:rsidP="007833A0">
      <w:pPr>
        <w:pStyle w:val="PointManual"/>
        <w:spacing w:before="360"/>
      </w:pPr>
      <w:r w:rsidRPr="00AA4B2E">
        <w:t>—</w:t>
      </w:r>
      <w:r w:rsidRPr="00AA4B2E">
        <w:tab/>
        <w:t>Въпроси на миграцията</w:t>
      </w:r>
    </w:p>
    <w:p w:rsidR="007833A0" w:rsidRPr="00AA4B2E" w:rsidRDefault="007833A0" w:rsidP="007833A0">
      <w:pPr>
        <w:pStyle w:val="Dash1"/>
        <w:spacing w:before="120"/>
      </w:pPr>
      <w:r w:rsidRPr="00AA4B2E">
        <w:t>Последващи действия на извънредното заседание на Европейския съвет на 23 април 2015 г.</w:t>
      </w:r>
    </w:p>
    <w:p w:rsidR="007833A0" w:rsidRPr="00AA4B2E" w:rsidRDefault="007833A0" w:rsidP="00791D62">
      <w:pPr>
        <w:pStyle w:val="Dash2"/>
      </w:pPr>
      <w:r w:rsidRPr="00AA4B2E">
        <w:t>Информация от председателството, Комисията и ЕСВД</w:t>
      </w:r>
    </w:p>
    <w:p w:rsidR="007833A0" w:rsidRPr="00AA4B2E" w:rsidRDefault="007833A0" w:rsidP="007833A0">
      <w:pPr>
        <w:pStyle w:val="Dash1"/>
        <w:spacing w:before="120"/>
      </w:pPr>
      <w:r w:rsidRPr="00AA4B2E">
        <w:t>Европейска програма за миграцията</w:t>
      </w:r>
    </w:p>
    <w:p w:rsidR="007833A0" w:rsidRPr="00AA4B2E" w:rsidRDefault="007833A0" w:rsidP="00791D62">
      <w:pPr>
        <w:pStyle w:val="Dash2"/>
      </w:pPr>
      <w:r w:rsidRPr="00AA4B2E">
        <w:t xml:space="preserve">Ориентационен дебат </w:t>
      </w:r>
    </w:p>
    <w:p w:rsidR="00276FD3" w:rsidRPr="00AA4B2E" w:rsidRDefault="00276FD3" w:rsidP="00791D62">
      <w:pPr>
        <w:pStyle w:val="Dash2"/>
      </w:pPr>
      <w:r w:rsidRPr="00AA4B2E">
        <w:t>Обмен на мнения относно въпросите на връщането и обратното приемане, включително актуалното състояние на текущите преговори на ЕС за обратното приемане</w:t>
      </w:r>
    </w:p>
    <w:p w:rsidR="007833A0" w:rsidRPr="00AA4B2E" w:rsidRDefault="007833A0" w:rsidP="007833A0">
      <w:pPr>
        <w:pStyle w:val="PointManual"/>
        <w:spacing w:before="360"/>
      </w:pPr>
      <w:r w:rsidRPr="00AA4B2E">
        <w:t>—</w:t>
      </w:r>
      <w:r w:rsidRPr="00AA4B2E">
        <w:tab/>
        <w:t>Други въпроси</w:t>
      </w:r>
    </w:p>
    <w:p w:rsidR="007833A0" w:rsidRPr="00AA4B2E" w:rsidRDefault="007833A0" w:rsidP="007833A0">
      <w:pPr>
        <w:pStyle w:val="Dash1"/>
        <w:spacing w:before="120"/>
      </w:pPr>
      <w:r w:rsidRPr="00AA4B2E">
        <w:t>Информация от председателството по текущи законодателни предложения</w:t>
      </w:r>
    </w:p>
    <w:p w:rsidR="007833A0" w:rsidRPr="00AA4B2E" w:rsidRDefault="007833A0" w:rsidP="007833A0">
      <w:pPr>
        <w:pStyle w:val="Dash1"/>
        <w:spacing w:before="120"/>
      </w:pPr>
      <w:r w:rsidRPr="00AA4B2E">
        <w:t>Представяне от Люксембург на програмата на предстоящото председателство</w:t>
      </w:r>
      <w:r w:rsidRPr="00AA4B2E">
        <w:br/>
        <w:t>(юли—декември 2015 г.)</w:t>
      </w:r>
    </w:p>
    <w:p w:rsidR="00B2006C" w:rsidRPr="00AA4B2E" w:rsidRDefault="00B2006C" w:rsidP="00BA610F">
      <w:pPr>
        <w:pStyle w:val="FinalLine"/>
        <w:spacing w:before="720"/>
        <w:ind w:left="3402" w:right="3402"/>
      </w:pPr>
    </w:p>
    <w:p w:rsidR="00B2006C" w:rsidRPr="00862915" w:rsidRDefault="0036622A" w:rsidP="0036622A">
      <w:pPr>
        <w:pStyle w:val="NB"/>
        <w:rPr>
          <w:b/>
          <w:bCs/>
          <w:i/>
          <w:iCs/>
        </w:rPr>
      </w:pPr>
      <w:r w:rsidRPr="00862915">
        <w:rPr>
          <w:b/>
          <w:bCs/>
          <w:i/>
          <w:iCs/>
        </w:rPr>
        <w:t>NB:</w:t>
      </w:r>
      <w:r w:rsidRPr="00862915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862915" w:rsidRDefault="0036622A" w:rsidP="0036622A">
      <w:pPr>
        <w:pStyle w:val="NB"/>
        <w:rPr>
          <w:b/>
          <w:bCs/>
          <w:i/>
          <w:iCs/>
        </w:rPr>
      </w:pPr>
      <w:r w:rsidRPr="00862915">
        <w:rPr>
          <w:b/>
          <w:bCs/>
          <w:i/>
          <w:iCs/>
        </w:rPr>
        <w:t>NB:</w:t>
      </w:r>
      <w:r w:rsidRPr="00862915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862915" w:rsidSect="00972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AF" w:rsidRPr="00972B34" w:rsidRDefault="00FD47AF" w:rsidP="00972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B34" w:rsidRPr="00D94637" w:rsidTr="00972B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B34" w:rsidRPr="00D94637" w:rsidRDefault="00972B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72B34" w:rsidRPr="00B310DC" w:rsidTr="00972B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B34" w:rsidRPr="00AD7BF2" w:rsidRDefault="00972B34" w:rsidP="004F54B2">
          <w:pPr>
            <w:pStyle w:val="FooterText"/>
          </w:pPr>
          <w:r>
            <w:t>CM 2735/15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B34" w:rsidRPr="00AD7BF2" w:rsidRDefault="00972B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B34" w:rsidRPr="002511D8" w:rsidRDefault="00972B3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B34" w:rsidRPr="00B310DC" w:rsidRDefault="00972B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72B34" w:rsidRPr="00D94637" w:rsidTr="00972B34">
      <w:trPr>
        <w:jc w:val="center"/>
      </w:trPr>
      <w:tc>
        <w:tcPr>
          <w:tcW w:w="1774" w:type="pct"/>
          <w:shd w:val="clear" w:color="auto" w:fill="auto"/>
        </w:tcPr>
        <w:p w:rsidR="00972B34" w:rsidRPr="00AD7BF2" w:rsidRDefault="00972B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B34" w:rsidRPr="00AD7BF2" w:rsidRDefault="00972B3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B34" w:rsidRPr="00D94637" w:rsidRDefault="00972B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B34" w:rsidRPr="00D94637" w:rsidRDefault="00972B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006C" w:rsidRPr="00972B34" w:rsidRDefault="00B2006C" w:rsidP="00972B3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B34" w:rsidRPr="00D94637" w:rsidTr="00972B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B34" w:rsidRPr="00D94637" w:rsidRDefault="00972B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72B34" w:rsidRPr="00B310DC" w:rsidTr="00972B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B34" w:rsidRPr="00AD7BF2" w:rsidRDefault="00972B34" w:rsidP="004F54B2">
          <w:pPr>
            <w:pStyle w:val="FooterText"/>
          </w:pPr>
          <w:r>
            <w:t>CM 2735/15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B34" w:rsidRPr="00AD7BF2" w:rsidRDefault="00972B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B34" w:rsidRPr="002511D8" w:rsidRDefault="00972B3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B34" w:rsidRPr="00B310DC" w:rsidRDefault="00972B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72B34" w:rsidRPr="00D94637" w:rsidTr="00972B34">
      <w:trPr>
        <w:jc w:val="center"/>
      </w:trPr>
      <w:tc>
        <w:tcPr>
          <w:tcW w:w="1774" w:type="pct"/>
          <w:shd w:val="clear" w:color="auto" w:fill="auto"/>
        </w:tcPr>
        <w:p w:rsidR="00972B34" w:rsidRPr="00AD7BF2" w:rsidRDefault="00972B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B34" w:rsidRPr="00AD7BF2" w:rsidRDefault="00972B3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B34" w:rsidRPr="00D94637" w:rsidRDefault="00972B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B34" w:rsidRPr="00D94637" w:rsidRDefault="00972B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006C" w:rsidRPr="00972B34" w:rsidRDefault="00B2006C" w:rsidP="00972B3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2908B5" w:rsidRDefault="002908B5" w:rsidP="002908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Когато приема общ подход, след като Европейският парламент е приел позицията си на първо четене, Съветът не действа по смисъла на член 294, параграфи 4 и 5 от ДФЕС.</w:t>
      </w:r>
    </w:p>
  </w:footnote>
  <w:footnote w:id="2">
    <w:p w:rsidR="007D7292" w:rsidRDefault="007D7292">
      <w:pPr>
        <w:pStyle w:val="FootnoteText"/>
      </w:pPr>
      <w:r>
        <w:rPr>
          <w:rStyle w:val="FootnoteReference"/>
        </w:rPr>
        <w:footnoteRef/>
      </w:r>
      <w:r>
        <w:t xml:space="preserve"> В присъствие на държавите, асоциирани с Шенген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AF" w:rsidRPr="00972B34" w:rsidRDefault="00FD47AF" w:rsidP="00972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AF" w:rsidRPr="00972B34" w:rsidRDefault="00FD47AF" w:rsidP="00972B3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AF" w:rsidRPr="00972B34" w:rsidRDefault="00FD47AF" w:rsidP="00972B3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3"/>
  </w:num>
  <w:num w:numId="21">
    <w:abstractNumId w:val="13"/>
  </w:num>
  <w:num w:numId="22">
    <w:abstractNumId w:val="19"/>
  </w:num>
  <w:num w:numId="23">
    <w:abstractNumId w:val="19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9"/>
  </w:num>
  <w:num w:numId="29">
    <w:abstractNumId w:val="19"/>
  </w:num>
  <w:num w:numId="30">
    <w:abstractNumId w:val="13"/>
  </w:num>
  <w:num w:numId="31">
    <w:abstractNumId w:val="19"/>
  </w:num>
  <w:num w:numId="3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575a9df-aa0b-4f3e-913a-f09193aabb1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3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Mr Rafael FERNANDEZ-PITA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en-gb&quot;&amp;gt;3396&amp;lt;/Run&amp;gt;&amp;lt;Run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07782"/>
    <w:rsid w:val="00010C1D"/>
    <w:rsid w:val="0009656C"/>
    <w:rsid w:val="000A3913"/>
    <w:rsid w:val="000F2F96"/>
    <w:rsid w:val="00136C3A"/>
    <w:rsid w:val="00143B73"/>
    <w:rsid w:val="0015224E"/>
    <w:rsid w:val="0015463B"/>
    <w:rsid w:val="00165755"/>
    <w:rsid w:val="001720B7"/>
    <w:rsid w:val="00182F2F"/>
    <w:rsid w:val="001A3373"/>
    <w:rsid w:val="00276FD3"/>
    <w:rsid w:val="002908B5"/>
    <w:rsid w:val="002A2AE8"/>
    <w:rsid w:val="002A6B9C"/>
    <w:rsid w:val="002B1BF6"/>
    <w:rsid w:val="002D311B"/>
    <w:rsid w:val="002D4515"/>
    <w:rsid w:val="00331EF6"/>
    <w:rsid w:val="00334A5C"/>
    <w:rsid w:val="0036622A"/>
    <w:rsid w:val="00385830"/>
    <w:rsid w:val="003C6E8B"/>
    <w:rsid w:val="003F3914"/>
    <w:rsid w:val="00403248"/>
    <w:rsid w:val="004355AB"/>
    <w:rsid w:val="00484512"/>
    <w:rsid w:val="004A226D"/>
    <w:rsid w:val="005157F5"/>
    <w:rsid w:val="00526C91"/>
    <w:rsid w:val="0063379B"/>
    <w:rsid w:val="00664A7B"/>
    <w:rsid w:val="006A38C5"/>
    <w:rsid w:val="006A5710"/>
    <w:rsid w:val="006C1AD4"/>
    <w:rsid w:val="006E33E2"/>
    <w:rsid w:val="006F4741"/>
    <w:rsid w:val="00710E52"/>
    <w:rsid w:val="0075756A"/>
    <w:rsid w:val="007833A0"/>
    <w:rsid w:val="00791D62"/>
    <w:rsid w:val="007C271C"/>
    <w:rsid w:val="007D7292"/>
    <w:rsid w:val="00825503"/>
    <w:rsid w:val="00862915"/>
    <w:rsid w:val="008826F8"/>
    <w:rsid w:val="008E6B12"/>
    <w:rsid w:val="00972B34"/>
    <w:rsid w:val="00A469D7"/>
    <w:rsid w:val="00A53C5A"/>
    <w:rsid w:val="00AA4B2E"/>
    <w:rsid w:val="00B2006C"/>
    <w:rsid w:val="00B73AAF"/>
    <w:rsid w:val="00B8752F"/>
    <w:rsid w:val="00B90B31"/>
    <w:rsid w:val="00BA610F"/>
    <w:rsid w:val="00BB55FE"/>
    <w:rsid w:val="00BE1373"/>
    <w:rsid w:val="00C031A3"/>
    <w:rsid w:val="00C05EF1"/>
    <w:rsid w:val="00C720CB"/>
    <w:rsid w:val="00C82591"/>
    <w:rsid w:val="00CB4F3F"/>
    <w:rsid w:val="00D40A48"/>
    <w:rsid w:val="00D451E4"/>
    <w:rsid w:val="00DA58A1"/>
    <w:rsid w:val="00E43D87"/>
    <w:rsid w:val="00E72812"/>
    <w:rsid w:val="00F77DB4"/>
    <w:rsid w:val="00FB0DDC"/>
    <w:rsid w:val="00FC2E30"/>
    <w:rsid w:val="00FC4670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4B2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4B2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0359-9037-45B9-A2DC-729A116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4</Pages>
  <Words>479</Words>
  <Characters>2972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GEORGIEVA Teodora</cp:lastModifiedBy>
  <cp:revision>12</cp:revision>
  <cp:lastPrinted>2015-05-29T12:18:00Z</cp:lastPrinted>
  <dcterms:created xsi:type="dcterms:W3CDTF">2015-05-29T08:05:00Z</dcterms:created>
  <dcterms:modified xsi:type="dcterms:W3CDTF">2015-06-01T08:14:00Z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3.5.3, Build 20150508</vt:lpwstr>
  </property>
</Properties>
</file>