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FD47AF" w:rsidRDefault="00791D62" w:rsidP="00DA58A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e6dc797-7e16-4d00-8ee5-cda97a59c261_0" style="width:568.75pt;height:490pt">
            <v:imagedata r:id="rId9" o:title=""/>
          </v:shape>
        </w:pict>
      </w:r>
      <w:bookmarkEnd w:id="0"/>
    </w:p>
    <w:p w:rsidR="003F3914" w:rsidRPr="00FD47AF" w:rsidRDefault="003F3914" w:rsidP="001A3373">
      <w:pPr>
        <w:spacing w:before="360"/>
        <w:rPr>
          <w:b/>
          <w:bCs/>
        </w:rPr>
      </w:pPr>
      <w:r w:rsidRPr="00FD47AF">
        <w:rPr>
          <w:b/>
          <w:bCs/>
        </w:rPr>
        <w:t>A.</w:t>
      </w:r>
      <w:r w:rsidRPr="00FD47AF">
        <w:rPr>
          <w:b/>
          <w:bCs/>
        </w:rPr>
        <w:tab/>
      </w:r>
      <w:r w:rsidR="001A3373" w:rsidRPr="00FD47AF">
        <w:rPr>
          <w:b/>
          <w:bCs/>
          <w:u w:val="single"/>
        </w:rPr>
        <w:t>MONDAY</w:t>
      </w:r>
      <w:r w:rsidRPr="00FD47AF">
        <w:rPr>
          <w:b/>
          <w:bCs/>
          <w:u w:val="single"/>
        </w:rPr>
        <w:t xml:space="preserve"> 1</w:t>
      </w:r>
      <w:r w:rsidR="001A3373" w:rsidRPr="00FD47AF">
        <w:rPr>
          <w:b/>
          <w:bCs/>
          <w:u w:val="single"/>
        </w:rPr>
        <w:t>5</w:t>
      </w:r>
      <w:r w:rsidRPr="00FD47AF">
        <w:rPr>
          <w:b/>
          <w:bCs/>
          <w:u w:val="single"/>
        </w:rPr>
        <w:t xml:space="preserve"> </w:t>
      </w:r>
      <w:r w:rsidR="001A3373" w:rsidRPr="00FD47AF">
        <w:rPr>
          <w:b/>
          <w:bCs/>
          <w:u w:val="single"/>
        </w:rPr>
        <w:t>JUNE</w:t>
      </w:r>
      <w:r w:rsidRPr="00FD47AF">
        <w:rPr>
          <w:b/>
          <w:bCs/>
          <w:u w:val="single"/>
        </w:rPr>
        <w:t xml:space="preserve"> 2015 (10.00)</w:t>
      </w:r>
      <w:r w:rsidRPr="00FD47AF">
        <w:t xml:space="preserve"> </w:t>
      </w:r>
    </w:p>
    <w:p w:rsidR="003F3914" w:rsidRPr="00FD47AF" w:rsidRDefault="001A3373" w:rsidP="001A3373">
      <w:pPr>
        <w:spacing w:before="240"/>
        <w:rPr>
          <w:b/>
          <w:u w:val="single"/>
        </w:rPr>
      </w:pPr>
      <w:r w:rsidRPr="00FD47AF">
        <w:rPr>
          <w:b/>
          <w:u w:val="single"/>
        </w:rPr>
        <w:t>JUSTICE</w:t>
      </w:r>
    </w:p>
    <w:p w:rsidR="003F3914" w:rsidRPr="00FD47AF" w:rsidRDefault="003F3914" w:rsidP="003F3914">
      <w:pPr>
        <w:pStyle w:val="PointManual"/>
        <w:spacing w:before="360"/>
      </w:pPr>
      <w:r w:rsidRPr="00FD47AF">
        <w:t>-</w:t>
      </w:r>
      <w:r w:rsidRPr="00FD47AF">
        <w:tab/>
        <w:t>Adoption of the provisional agenda</w:t>
      </w:r>
    </w:p>
    <w:p w:rsidR="003F3914" w:rsidRPr="00FD47AF" w:rsidRDefault="003F3914" w:rsidP="003F3914">
      <w:pPr>
        <w:pStyle w:val="Title"/>
      </w:pPr>
      <w:r w:rsidRPr="00FD47AF">
        <w:t>Legislative deliberations</w:t>
      </w:r>
    </w:p>
    <w:p w:rsidR="003F3914" w:rsidRPr="00FD47AF" w:rsidRDefault="003F3914" w:rsidP="00334A5C">
      <w:pPr>
        <w:pStyle w:val="PointManual"/>
        <w:spacing w:before="360"/>
      </w:pPr>
      <w:r w:rsidRPr="00FD47AF">
        <w:t>-</w:t>
      </w:r>
      <w:r w:rsidRPr="00FD47AF">
        <w:tab/>
      </w:r>
      <w:r w:rsidR="001A3373" w:rsidRPr="00FD47AF">
        <w:t xml:space="preserve">(poss.) </w:t>
      </w:r>
      <w:r w:rsidRPr="00FD47AF">
        <w:t>Approval of the list of "A" items</w:t>
      </w:r>
    </w:p>
    <w:p w:rsidR="001A3373" w:rsidRPr="00FD47AF" w:rsidRDefault="002908B5" w:rsidP="001A3373">
      <w:pPr>
        <w:pStyle w:val="PointManual"/>
        <w:spacing w:before="360"/>
      </w:pPr>
      <w:r w:rsidRPr="00FD47AF">
        <w:br w:type="page"/>
      </w:r>
      <w:r w:rsidR="001A3373" w:rsidRPr="00FD47AF">
        <w:lastRenderedPageBreak/>
        <w:t>-</w:t>
      </w:r>
      <w:r w:rsidR="001A3373" w:rsidRPr="00FD47AF">
        <w:tab/>
        <w:t xml:space="preserve">Proposal for a Regulation of the European Parliament and of the Council on the protection of individuals with regard to the processing of personal data and on the free movement of such data (General Data Protection Regulation) </w:t>
      </w:r>
      <w:r w:rsidR="001A3373" w:rsidRPr="00FD47AF">
        <w:rPr>
          <w:b/>
          <w:bCs/>
        </w:rPr>
        <w:t>(First reading)</w:t>
      </w:r>
    </w:p>
    <w:p w:rsidR="001A3373" w:rsidRPr="00FD47AF" w:rsidRDefault="001A3373" w:rsidP="00D40A48">
      <w:pPr>
        <w:pStyle w:val="Dash1"/>
      </w:pPr>
      <w:r w:rsidRPr="00FD47AF">
        <w:t>General approach</w:t>
      </w:r>
      <w:r w:rsidR="00385830" w:rsidRPr="00FD47AF">
        <w:t xml:space="preserve"> </w:t>
      </w:r>
      <w:r w:rsidR="002908B5" w:rsidRPr="00FD47AF">
        <w:rPr>
          <w:rStyle w:val="FootnoteReference"/>
        </w:rPr>
        <w:footnoteReference w:id="1"/>
      </w:r>
    </w:p>
    <w:p w:rsidR="001A3373" w:rsidRPr="00FD47AF" w:rsidRDefault="001A3373" w:rsidP="001A3373">
      <w:pPr>
        <w:pStyle w:val="PointManual"/>
        <w:spacing w:before="360"/>
      </w:pPr>
      <w:r w:rsidRPr="00FD47AF">
        <w:t>-</w:t>
      </w:r>
      <w:r w:rsidRPr="00FD47AF">
        <w:tab/>
        <w:t xml:space="preserve">Proposal for a Regulation of the European Parliament and of the Council on promoting the free movement of citizens and businesses by simplifying the acceptance of certain public documents in the European Union and amending Regulation (EU) No 1024/2012 </w:t>
      </w:r>
      <w:r w:rsidR="00E72812" w:rsidRPr="00FD47AF">
        <w:rPr>
          <w:b/>
          <w:bCs/>
        </w:rPr>
        <w:t>(First </w:t>
      </w:r>
      <w:r w:rsidRPr="00FD47AF">
        <w:rPr>
          <w:b/>
          <w:bCs/>
        </w:rPr>
        <w:t>reading)</w:t>
      </w:r>
    </w:p>
    <w:p w:rsidR="001A3373" w:rsidRPr="00FD47AF" w:rsidRDefault="001A3373" w:rsidP="00E43D87">
      <w:pPr>
        <w:pStyle w:val="Dash1"/>
      </w:pPr>
      <w:r w:rsidRPr="00FD47AF">
        <w:t>General approach</w:t>
      </w:r>
      <w:r w:rsidR="00E43D87" w:rsidRPr="00FD47AF">
        <w:t xml:space="preserve"> </w:t>
      </w:r>
      <w:r w:rsidR="00D40A48" w:rsidRPr="00FD47AF">
        <w:rPr>
          <w:b/>
          <w:bCs/>
          <w:color w:val="000000"/>
          <w:vertAlign w:val="superscript"/>
        </w:rPr>
        <w:t>1</w:t>
      </w:r>
    </w:p>
    <w:p w:rsidR="001A3373" w:rsidRPr="00FD47AF" w:rsidRDefault="001A3373" w:rsidP="001A3373">
      <w:pPr>
        <w:pStyle w:val="PointManual"/>
        <w:spacing w:before="360"/>
      </w:pPr>
      <w:r w:rsidRPr="00FD47AF">
        <w:t>-</w:t>
      </w:r>
      <w:r w:rsidRPr="00FD47AF">
        <w:tab/>
        <w:t xml:space="preserve">Proposal for a Council Regulation on the establishment of the European Public Prosecutor's Office </w:t>
      </w:r>
      <w:r w:rsidRPr="00FD47AF">
        <w:rPr>
          <w:b/>
          <w:bCs/>
        </w:rPr>
        <w:t>(First reading)</w:t>
      </w:r>
    </w:p>
    <w:p w:rsidR="001A3373" w:rsidRPr="00FD47AF" w:rsidRDefault="001A3373" w:rsidP="00D40A48">
      <w:pPr>
        <w:pStyle w:val="Dash1"/>
      </w:pPr>
      <w:r w:rsidRPr="00FD47AF">
        <w:t>Policy debate</w:t>
      </w:r>
    </w:p>
    <w:p w:rsidR="001A3373" w:rsidRPr="00FD47AF" w:rsidRDefault="001A3373" w:rsidP="001A3373">
      <w:pPr>
        <w:pStyle w:val="PointManual"/>
        <w:spacing w:before="360"/>
      </w:pPr>
      <w:r w:rsidRPr="00FD47AF">
        <w:t>-</w:t>
      </w:r>
      <w:r w:rsidRPr="00FD47AF">
        <w:tab/>
        <w:t>Any other business</w:t>
      </w:r>
    </w:p>
    <w:p w:rsidR="003F3914" w:rsidRPr="00FD47AF" w:rsidRDefault="001A3373" w:rsidP="008E6B12">
      <w:pPr>
        <w:pStyle w:val="Dash1"/>
      </w:pPr>
      <w:r w:rsidRPr="00FD47AF">
        <w:t>Information from the Presidency on current legislative proposals</w:t>
      </w:r>
    </w:p>
    <w:p w:rsidR="003F3914" w:rsidRPr="00FD47AF" w:rsidRDefault="003F3914" w:rsidP="003F3914">
      <w:pPr>
        <w:pStyle w:val="Title"/>
        <w:rPr>
          <w:b w:val="0"/>
          <w:bCs w:val="0"/>
          <w:i w:val="0"/>
          <w:iCs/>
        </w:rPr>
      </w:pPr>
      <w:r w:rsidRPr="00FD47AF">
        <w:rPr>
          <w:iCs/>
        </w:rPr>
        <w:t>Non-legislative activities</w:t>
      </w:r>
    </w:p>
    <w:p w:rsidR="008E6B12" w:rsidRPr="00FD47AF" w:rsidRDefault="008E6B12" w:rsidP="008E6B12">
      <w:pPr>
        <w:pStyle w:val="PointManual"/>
        <w:spacing w:before="360"/>
      </w:pPr>
      <w:r w:rsidRPr="00FD47AF">
        <w:t>-</w:t>
      </w:r>
      <w:r w:rsidRPr="00FD47AF">
        <w:tab/>
        <w:t>Approval of the list of "A" items</w:t>
      </w:r>
    </w:p>
    <w:p w:rsidR="008E6B12" w:rsidRPr="00FD47AF" w:rsidRDefault="008E6B12" w:rsidP="008E6B12">
      <w:pPr>
        <w:pStyle w:val="PointManual"/>
        <w:spacing w:before="360"/>
      </w:pPr>
      <w:r w:rsidRPr="00FD47AF">
        <w:t>-</w:t>
      </w:r>
      <w:r w:rsidRPr="00FD47AF">
        <w:tab/>
        <w:t>Any other business</w:t>
      </w:r>
    </w:p>
    <w:p w:rsidR="008E6B12" w:rsidRPr="00FD47AF" w:rsidRDefault="008E6B12" w:rsidP="008E6B12">
      <w:pPr>
        <w:pStyle w:val="Dash1"/>
      </w:pPr>
      <w:r w:rsidRPr="00FD47AF">
        <w:t>EU-US JHA Ministerial Meeting (Riga, 2-3 June 2015)</w:t>
      </w:r>
    </w:p>
    <w:p w:rsidR="008E6B12" w:rsidRPr="00FD47AF" w:rsidRDefault="008E6B12" w:rsidP="00791D62">
      <w:pPr>
        <w:pStyle w:val="Dash2"/>
      </w:pPr>
      <w:r w:rsidRPr="00FD47AF">
        <w:t>Information from the Presidency</w:t>
      </w:r>
    </w:p>
    <w:p w:rsidR="003F3914" w:rsidRPr="00FD47AF" w:rsidRDefault="008E6B12" w:rsidP="008E6B12">
      <w:pPr>
        <w:pStyle w:val="PointManual"/>
        <w:spacing w:before="360"/>
      </w:pPr>
      <w:r w:rsidRPr="00FD47AF">
        <w:t>-</w:t>
      </w:r>
      <w:r w:rsidRPr="00FD47AF">
        <w:tab/>
        <w:t>Presentation by Luxembourg of the programme of the incoming Presidency</w:t>
      </w:r>
      <w:r w:rsidRPr="00FD47AF">
        <w:br/>
        <w:t>(July-December 2015)</w:t>
      </w:r>
    </w:p>
    <w:p w:rsidR="003F3914" w:rsidRPr="00FD47AF" w:rsidRDefault="003F3914" w:rsidP="001A3373">
      <w:pPr>
        <w:spacing w:before="360"/>
        <w:rPr>
          <w:b/>
          <w:bCs/>
          <w:u w:val="single"/>
        </w:rPr>
      </w:pPr>
      <w:r w:rsidRPr="00FD47AF">
        <w:rPr>
          <w:b/>
          <w:bCs/>
        </w:rPr>
        <w:br w:type="page"/>
      </w:r>
      <w:r w:rsidRPr="00FD47AF">
        <w:rPr>
          <w:b/>
          <w:bCs/>
        </w:rPr>
        <w:lastRenderedPageBreak/>
        <w:t>B.</w:t>
      </w:r>
      <w:r w:rsidRPr="00FD47AF">
        <w:rPr>
          <w:b/>
          <w:bCs/>
        </w:rPr>
        <w:tab/>
      </w:r>
      <w:r w:rsidR="001A3373" w:rsidRPr="00FD47AF">
        <w:rPr>
          <w:b/>
          <w:bCs/>
          <w:u w:val="single"/>
        </w:rPr>
        <w:t>TUES</w:t>
      </w:r>
      <w:r w:rsidR="00143B73" w:rsidRPr="00FD47AF">
        <w:rPr>
          <w:b/>
          <w:bCs/>
          <w:u w:val="single"/>
        </w:rPr>
        <w:t>DAY 1</w:t>
      </w:r>
      <w:r w:rsidR="001A3373" w:rsidRPr="00FD47AF">
        <w:rPr>
          <w:b/>
          <w:bCs/>
          <w:u w:val="single"/>
        </w:rPr>
        <w:t>6 JUNE</w:t>
      </w:r>
      <w:r w:rsidRPr="00FD47AF">
        <w:rPr>
          <w:b/>
          <w:bCs/>
          <w:u w:val="single"/>
        </w:rPr>
        <w:t xml:space="preserve"> 2015 (10.00)</w:t>
      </w:r>
    </w:p>
    <w:p w:rsidR="003F3914" w:rsidRPr="00FD47AF" w:rsidRDefault="001A3373" w:rsidP="001A3373">
      <w:pPr>
        <w:spacing w:before="240"/>
        <w:rPr>
          <w:b/>
          <w:bCs/>
          <w:u w:val="single"/>
        </w:rPr>
      </w:pPr>
      <w:r w:rsidRPr="00FD47AF">
        <w:rPr>
          <w:b/>
          <w:bCs/>
          <w:u w:val="single"/>
        </w:rPr>
        <w:t>HOME AFFAIRS</w:t>
      </w:r>
    </w:p>
    <w:p w:rsidR="003F3914" w:rsidRPr="00FD47AF" w:rsidRDefault="003F3914" w:rsidP="003F3914">
      <w:pPr>
        <w:pStyle w:val="Title"/>
        <w:spacing w:before="360"/>
        <w:rPr>
          <w:b w:val="0"/>
          <w:bCs w:val="0"/>
          <w:i w:val="0"/>
          <w:iCs/>
        </w:rPr>
      </w:pPr>
      <w:r w:rsidRPr="00FD47AF">
        <w:rPr>
          <w:iCs/>
        </w:rPr>
        <w:t>Legislative deliberations</w:t>
      </w:r>
    </w:p>
    <w:p w:rsidR="00334A5C" w:rsidRPr="00FD47AF" w:rsidRDefault="003F3914" w:rsidP="00334A5C">
      <w:pPr>
        <w:pStyle w:val="PointManual"/>
        <w:spacing w:before="360"/>
      </w:pPr>
      <w:r w:rsidRPr="00FD47AF">
        <w:t>-</w:t>
      </w:r>
      <w:r w:rsidRPr="00FD47AF">
        <w:tab/>
      </w:r>
      <w:r w:rsidR="00334A5C" w:rsidRPr="00FD47AF">
        <w:t>Any other business</w:t>
      </w:r>
    </w:p>
    <w:p w:rsidR="003F3914" w:rsidRPr="00FD47AF" w:rsidRDefault="00334A5C" w:rsidP="00334A5C">
      <w:pPr>
        <w:pStyle w:val="Dash1"/>
      </w:pPr>
      <w:r w:rsidRPr="00FD47AF">
        <w:t>Information from the Presidency on current legislative proposals</w:t>
      </w:r>
    </w:p>
    <w:p w:rsidR="003F3914" w:rsidRPr="00FD47AF" w:rsidRDefault="003F3914" w:rsidP="003F3914">
      <w:pPr>
        <w:pStyle w:val="Title"/>
      </w:pPr>
      <w:r w:rsidRPr="00FD47AF">
        <w:t>Non-legislative activities</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Mixed Committee related issues</w:t>
      </w:r>
    </w:p>
    <w:p w:rsidR="00334A5C" w:rsidRPr="00FD47AF" w:rsidRDefault="00334A5C" w:rsidP="00334A5C">
      <w:pPr>
        <w:pStyle w:val="Dash1"/>
        <w:rPr>
          <w:rFonts w:eastAsia="Calibri"/>
        </w:rPr>
      </w:pPr>
      <w:r w:rsidRPr="00FD47AF">
        <w:rPr>
          <w:rFonts w:eastAsia="Calibri"/>
        </w:rPr>
        <w:t xml:space="preserve">Information </w:t>
      </w:r>
      <w:r w:rsidRPr="00FD47AF">
        <w:t>from</w:t>
      </w:r>
      <w:r w:rsidRPr="00FD47AF">
        <w:rPr>
          <w:rFonts w:eastAsia="Calibri"/>
        </w:rPr>
        <w:t xml:space="preserve"> the Presidency </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Draft Council conclusions on the renewed Internal Security Strategy</w:t>
      </w:r>
      <w:r w:rsidR="00385830" w:rsidRPr="00FD47AF">
        <w:rPr>
          <w:b/>
          <w:bCs/>
          <w:color w:val="000000"/>
          <w:vertAlign w:val="superscript"/>
        </w:rPr>
        <w:t xml:space="preserve"> </w:t>
      </w:r>
      <w:r w:rsidR="00526C91" w:rsidRPr="00FD47AF">
        <w:rPr>
          <w:b/>
          <w:bCs/>
          <w:color w:val="000000"/>
          <w:vertAlign w:val="superscript"/>
        </w:rPr>
        <w:t>2</w:t>
      </w:r>
    </w:p>
    <w:p w:rsidR="00334A5C" w:rsidRPr="00FD47AF" w:rsidRDefault="00334A5C" w:rsidP="00334A5C">
      <w:pPr>
        <w:pStyle w:val="Dash1"/>
        <w:rPr>
          <w:rFonts w:eastAsia="Calibri"/>
        </w:rPr>
      </w:pPr>
      <w:r w:rsidRPr="00FD47AF">
        <w:t>Adoption</w:t>
      </w:r>
      <w:r w:rsidRPr="00FD47AF">
        <w:rPr>
          <w:rFonts w:eastAsia="Calibri"/>
        </w:rPr>
        <w:t xml:space="preserve"> </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 xml:space="preserve">Fight against terrorism </w:t>
      </w:r>
      <w:r w:rsidR="007D7292" w:rsidRPr="00FD47AF">
        <w:rPr>
          <w:rStyle w:val="FootnoteReference"/>
          <w:rFonts w:eastAsia="Calibri"/>
        </w:rPr>
        <w:footnoteReference w:id="2"/>
      </w:r>
    </w:p>
    <w:p w:rsidR="00334A5C" w:rsidRPr="00FD47AF" w:rsidRDefault="00334A5C" w:rsidP="00FB0DDC">
      <w:pPr>
        <w:pStyle w:val="Dash1"/>
        <w:rPr>
          <w:rFonts w:eastAsia="Calibri"/>
        </w:rPr>
      </w:pPr>
      <w:r w:rsidRPr="00FD47AF">
        <w:rPr>
          <w:rFonts w:eastAsia="Calibri"/>
        </w:rPr>
        <w:t xml:space="preserve">Follow </w:t>
      </w:r>
      <w:r w:rsidRPr="00FD47AF">
        <w:t>up</w:t>
      </w:r>
      <w:r w:rsidRPr="00FD47AF">
        <w:rPr>
          <w:rFonts w:eastAsia="Calibri"/>
        </w:rPr>
        <w:t xml:space="preserve"> to the statement of the Member States of the European Council of 12</w:t>
      </w:r>
      <w:r w:rsidR="00FB0DDC" w:rsidRPr="00FD47AF">
        <w:rPr>
          <w:rFonts w:eastAsia="Calibri"/>
        </w:rPr>
        <w:t> </w:t>
      </w:r>
      <w:r w:rsidRPr="00FD47AF">
        <w:rPr>
          <w:rFonts w:eastAsia="Calibri"/>
        </w:rPr>
        <w:t xml:space="preserve">February 2015 on Counter-Terrorism </w:t>
      </w:r>
    </w:p>
    <w:p w:rsidR="00334A5C" w:rsidRPr="00FD47AF" w:rsidRDefault="00334A5C" w:rsidP="00791D62">
      <w:pPr>
        <w:pStyle w:val="Dash2"/>
        <w:rPr>
          <w:rFonts w:eastAsia="Calibri"/>
        </w:rPr>
      </w:pPr>
      <w:r w:rsidRPr="00FD47AF">
        <w:rPr>
          <w:rFonts w:eastAsia="Calibri"/>
        </w:rPr>
        <w:t>Report by Presidency</w:t>
      </w:r>
    </w:p>
    <w:p w:rsidR="00334A5C" w:rsidRPr="00FD47AF" w:rsidRDefault="00334A5C" w:rsidP="00791D62">
      <w:pPr>
        <w:pStyle w:val="Dash2"/>
        <w:rPr>
          <w:rFonts w:eastAsia="Calibri"/>
        </w:rPr>
      </w:pPr>
      <w:r w:rsidRPr="00FD47AF">
        <w:rPr>
          <w:rFonts w:eastAsia="Calibri"/>
        </w:rPr>
        <w:t>Report by Counter Terrorism Coordinator (CTC)</w:t>
      </w:r>
    </w:p>
    <w:p w:rsidR="00334A5C" w:rsidRPr="00FD47AF" w:rsidRDefault="00334A5C" w:rsidP="00334A5C">
      <w:pPr>
        <w:pStyle w:val="PointManual"/>
        <w:spacing w:before="360"/>
        <w:rPr>
          <w:rFonts w:eastAsia="Calibri"/>
        </w:rPr>
      </w:pPr>
      <w:r w:rsidRPr="00FD47AF">
        <w:rPr>
          <w:rFonts w:eastAsia="Calibri"/>
        </w:rPr>
        <w:t>-</w:t>
      </w:r>
      <w:r w:rsidRPr="00FD47AF">
        <w:rPr>
          <w:rFonts w:eastAsia="Calibri"/>
        </w:rPr>
        <w:tab/>
        <w:t>Any other business</w:t>
      </w:r>
    </w:p>
    <w:p w:rsidR="00334A5C" w:rsidRPr="00FD47AF" w:rsidRDefault="00334A5C" w:rsidP="007D7292">
      <w:pPr>
        <w:pStyle w:val="Dash1"/>
        <w:spacing w:before="120"/>
        <w:rPr>
          <w:rFonts w:eastAsia="Calibri"/>
        </w:rPr>
      </w:pPr>
      <w:r w:rsidRPr="00FD47AF">
        <w:rPr>
          <w:rFonts w:eastAsia="Calibri"/>
        </w:rPr>
        <w:t>EU-US JHA Ministerial Meeting (Riga, 2-3 June 2015)</w:t>
      </w:r>
    </w:p>
    <w:p w:rsidR="00334A5C" w:rsidRPr="00FD47AF" w:rsidRDefault="00334A5C" w:rsidP="00791D62">
      <w:pPr>
        <w:pStyle w:val="Dash2"/>
        <w:rPr>
          <w:rFonts w:eastAsia="Calibri"/>
        </w:rPr>
      </w:pPr>
      <w:r w:rsidRPr="00FD47AF">
        <w:rPr>
          <w:rFonts w:eastAsia="Calibri"/>
        </w:rPr>
        <w:t>Information from the Presidency</w:t>
      </w:r>
    </w:p>
    <w:p w:rsidR="00334A5C" w:rsidRPr="00FD47AF" w:rsidRDefault="00334A5C" w:rsidP="007D7292">
      <w:pPr>
        <w:pStyle w:val="Dash1"/>
        <w:spacing w:before="120"/>
        <w:rPr>
          <w:rFonts w:eastAsia="Calibri"/>
        </w:rPr>
      </w:pPr>
      <w:r w:rsidRPr="00FD47AF">
        <w:rPr>
          <w:rFonts w:eastAsia="Calibri"/>
        </w:rPr>
        <w:t xml:space="preserve">Justice and Home Affairs Ministerial Conference of the Brdo Process and South-East European Cooperation Process, Budva (Montenegro) 16-17 April 2015 </w:t>
      </w:r>
    </w:p>
    <w:p w:rsidR="00334A5C" w:rsidRPr="00FD47AF" w:rsidRDefault="00334A5C" w:rsidP="00791D62">
      <w:pPr>
        <w:pStyle w:val="Dash2"/>
        <w:rPr>
          <w:rFonts w:eastAsia="Calibri"/>
        </w:rPr>
      </w:pPr>
      <w:r w:rsidRPr="00FD47AF">
        <w:rPr>
          <w:rFonts w:eastAsia="Calibri"/>
        </w:rPr>
        <w:t xml:space="preserve">Information from Slovenia </w:t>
      </w:r>
    </w:p>
    <w:p w:rsidR="00334A5C" w:rsidRPr="00FD47AF" w:rsidRDefault="00334A5C" w:rsidP="007D7292">
      <w:pPr>
        <w:pStyle w:val="Dash1"/>
        <w:spacing w:before="120"/>
        <w:rPr>
          <w:rFonts w:eastAsia="Calibri"/>
        </w:rPr>
      </w:pPr>
      <w:r w:rsidRPr="00FD47AF">
        <w:rPr>
          <w:rFonts w:eastAsia="Calibri"/>
        </w:rPr>
        <w:t xml:space="preserve">Salzburg </w:t>
      </w:r>
      <w:r w:rsidRPr="00FD47AF">
        <w:t>Forum</w:t>
      </w:r>
      <w:r w:rsidRPr="00FD47AF">
        <w:rPr>
          <w:rFonts w:eastAsia="Calibri"/>
        </w:rPr>
        <w:t xml:space="preserve"> Ministerial Conference, St. Pölten (Austria), 4-5 May 2015</w:t>
      </w:r>
    </w:p>
    <w:p w:rsidR="00334A5C" w:rsidRPr="00FD47AF" w:rsidRDefault="00334A5C" w:rsidP="00791D62">
      <w:pPr>
        <w:pStyle w:val="Dash2"/>
        <w:rPr>
          <w:rFonts w:eastAsia="Calibri"/>
        </w:rPr>
      </w:pPr>
      <w:r w:rsidRPr="00FD47AF">
        <w:rPr>
          <w:rFonts w:eastAsia="Calibri"/>
        </w:rPr>
        <w:t xml:space="preserve">Information from Austria </w:t>
      </w:r>
    </w:p>
    <w:p w:rsidR="00334A5C" w:rsidRPr="00FD47AF" w:rsidRDefault="00334A5C" w:rsidP="007D7292">
      <w:pPr>
        <w:pStyle w:val="Dash1"/>
        <w:spacing w:before="120"/>
        <w:rPr>
          <w:rFonts w:eastAsia="Calibri"/>
        </w:rPr>
      </w:pPr>
      <w:r w:rsidRPr="00FD47AF">
        <w:rPr>
          <w:rFonts w:eastAsia="Calibri"/>
        </w:rPr>
        <w:t xml:space="preserve">International </w:t>
      </w:r>
      <w:r w:rsidRPr="00FD47AF">
        <w:t>Ministerial</w:t>
      </w:r>
      <w:r w:rsidRPr="00FD47AF">
        <w:rPr>
          <w:rFonts w:eastAsia="Calibri"/>
        </w:rPr>
        <w:t xml:space="preserve"> conference of Foreign and Interior Ministers on "Tackling</w:t>
      </w:r>
      <w:r w:rsidR="007D7292" w:rsidRPr="00FD47AF">
        <w:rPr>
          <w:rFonts w:eastAsia="Calibri"/>
        </w:rPr>
        <w:t xml:space="preserve"> </w:t>
      </w:r>
      <w:r w:rsidRPr="00FD47AF">
        <w:rPr>
          <w:rFonts w:eastAsia="Calibri"/>
        </w:rPr>
        <w:t xml:space="preserve">Jihadism Together", Vienna, 20 March 2015 </w:t>
      </w:r>
    </w:p>
    <w:p w:rsidR="00334A5C" w:rsidRPr="00FD47AF" w:rsidRDefault="00334A5C" w:rsidP="00791D62">
      <w:pPr>
        <w:pStyle w:val="Dash2"/>
        <w:rPr>
          <w:rFonts w:eastAsia="Calibri"/>
        </w:rPr>
      </w:pPr>
      <w:r w:rsidRPr="00FD47AF">
        <w:rPr>
          <w:rFonts w:eastAsia="Calibri"/>
        </w:rPr>
        <w:t>Information from Austria</w:t>
      </w:r>
    </w:p>
    <w:p w:rsidR="003F3914" w:rsidRPr="00FD47AF" w:rsidRDefault="003F3914" w:rsidP="003F3914">
      <w:pPr>
        <w:spacing w:before="480"/>
        <w:jc w:val="center"/>
        <w:rPr>
          <w:snapToGrid w:val="0"/>
        </w:rPr>
      </w:pPr>
      <w:r w:rsidRPr="00FD47AF">
        <w:rPr>
          <w:snapToGrid w:val="0"/>
        </w:rPr>
        <w:t>o</w:t>
      </w:r>
    </w:p>
    <w:p w:rsidR="003F3914" w:rsidRPr="00FD47AF" w:rsidRDefault="003F3914" w:rsidP="003F3914">
      <w:pPr>
        <w:spacing w:before="120"/>
        <w:jc w:val="center"/>
        <w:rPr>
          <w:snapToGrid w:val="0"/>
        </w:rPr>
      </w:pPr>
      <w:r w:rsidRPr="00FD47AF">
        <w:rPr>
          <w:snapToGrid w:val="0"/>
        </w:rPr>
        <w:t>o</w:t>
      </w:r>
      <w:r w:rsidRPr="00FD47AF">
        <w:rPr>
          <w:snapToGrid w:val="0"/>
        </w:rPr>
        <w:tab/>
        <w:t>o</w:t>
      </w:r>
    </w:p>
    <w:p w:rsidR="003F3914" w:rsidRPr="00FD47AF" w:rsidRDefault="00403248" w:rsidP="003F3914">
      <w:pPr>
        <w:spacing w:before="360"/>
        <w:outlineLvl w:val="0"/>
        <w:rPr>
          <w:b/>
          <w:bCs/>
          <w:i/>
          <w:iCs/>
        </w:rPr>
      </w:pPr>
      <w:r w:rsidRPr="00FD47AF">
        <w:rPr>
          <w:b/>
          <w:bCs/>
          <w:i/>
          <w:iCs/>
          <w:u w:val="single"/>
        </w:rPr>
        <w:br w:type="page"/>
      </w:r>
      <w:r w:rsidR="003F3914" w:rsidRPr="00FD47AF">
        <w:rPr>
          <w:b/>
          <w:bCs/>
          <w:i/>
          <w:iCs/>
          <w:u w:val="single"/>
        </w:rPr>
        <w:lastRenderedPageBreak/>
        <w:t>In the margins of the Council</w:t>
      </w:r>
      <w:r w:rsidR="003F3914" w:rsidRPr="00FD47AF">
        <w:rPr>
          <w:b/>
          <w:bCs/>
          <w:i/>
          <w:iCs/>
        </w:rPr>
        <w:t>:</w:t>
      </w:r>
    </w:p>
    <w:p w:rsidR="003F3914" w:rsidRPr="00FD47AF" w:rsidRDefault="003F3914" w:rsidP="00007782">
      <w:pPr>
        <w:spacing w:before="360"/>
        <w:rPr>
          <w:b/>
          <w:bCs/>
          <w:u w:val="single"/>
        </w:rPr>
      </w:pPr>
      <w:r w:rsidRPr="00FD47AF">
        <w:rPr>
          <w:b/>
          <w:bCs/>
          <w:u w:val="single"/>
        </w:rPr>
        <w:t>Meeting of the MIXED COMMITTEE (T</w:t>
      </w:r>
      <w:r w:rsidR="00007782" w:rsidRPr="00FD47AF">
        <w:rPr>
          <w:b/>
          <w:bCs/>
          <w:u w:val="single"/>
        </w:rPr>
        <w:t>UESDAY</w:t>
      </w:r>
      <w:r w:rsidRPr="00FD47AF">
        <w:rPr>
          <w:b/>
          <w:bCs/>
          <w:u w:val="single"/>
        </w:rPr>
        <w:t xml:space="preserve"> 1</w:t>
      </w:r>
      <w:r w:rsidR="00007782" w:rsidRPr="00FD47AF">
        <w:rPr>
          <w:b/>
          <w:bCs/>
          <w:u w:val="single"/>
        </w:rPr>
        <w:t>6</w:t>
      </w:r>
      <w:r w:rsidRPr="00FD47AF">
        <w:rPr>
          <w:b/>
          <w:bCs/>
          <w:u w:val="single"/>
        </w:rPr>
        <w:t xml:space="preserve"> </w:t>
      </w:r>
      <w:r w:rsidR="00007782" w:rsidRPr="00FD47AF">
        <w:rPr>
          <w:b/>
          <w:bCs/>
          <w:u w:val="single"/>
        </w:rPr>
        <w:t>JUNE</w:t>
      </w:r>
      <w:r w:rsidRPr="00FD47AF">
        <w:rPr>
          <w:b/>
          <w:bCs/>
          <w:u w:val="single"/>
        </w:rPr>
        <w:t xml:space="preserve"> 2015 – 10.00)</w:t>
      </w:r>
    </w:p>
    <w:p w:rsidR="007833A0" w:rsidRPr="00FD47AF" w:rsidRDefault="003F3914" w:rsidP="007833A0">
      <w:pPr>
        <w:pStyle w:val="PointManual"/>
        <w:spacing w:before="360"/>
        <w:rPr>
          <w:lang w:eastAsia="en-GB"/>
        </w:rPr>
      </w:pPr>
      <w:r w:rsidRPr="00FD47AF">
        <w:rPr>
          <w:lang w:eastAsia="en-GB"/>
        </w:rPr>
        <w:t>-</w:t>
      </w:r>
      <w:r w:rsidRPr="00FD47AF">
        <w:rPr>
          <w:lang w:eastAsia="en-GB"/>
        </w:rPr>
        <w:tab/>
      </w:r>
      <w:r w:rsidR="007833A0" w:rsidRPr="00FD47AF">
        <w:rPr>
          <w:lang w:eastAsia="en-GB"/>
        </w:rPr>
        <w:t>Migratory issues</w:t>
      </w:r>
    </w:p>
    <w:p w:rsidR="007833A0" w:rsidRPr="00FD47AF" w:rsidRDefault="007833A0" w:rsidP="007833A0">
      <w:pPr>
        <w:pStyle w:val="Dash1"/>
        <w:spacing w:before="120"/>
        <w:rPr>
          <w:lang w:eastAsia="en-GB"/>
        </w:rPr>
      </w:pPr>
      <w:r w:rsidRPr="00FD47AF">
        <w:rPr>
          <w:lang w:eastAsia="en-GB"/>
        </w:rPr>
        <w:t>Follow-up to the special meeting of the European Council on 23 April 2015</w:t>
      </w:r>
    </w:p>
    <w:p w:rsidR="007833A0" w:rsidRPr="00FD47AF" w:rsidRDefault="007833A0" w:rsidP="00791D62">
      <w:pPr>
        <w:pStyle w:val="Dash2"/>
        <w:rPr>
          <w:lang w:eastAsia="en-GB"/>
        </w:rPr>
      </w:pPr>
      <w:r w:rsidRPr="00FD47AF">
        <w:rPr>
          <w:lang w:eastAsia="en-GB"/>
        </w:rPr>
        <w:t>Information by the Presidency, the Commission and the EEAS</w:t>
      </w:r>
    </w:p>
    <w:p w:rsidR="007833A0" w:rsidRPr="00FD47AF" w:rsidRDefault="007833A0" w:rsidP="007833A0">
      <w:pPr>
        <w:pStyle w:val="Dash1"/>
        <w:spacing w:before="120"/>
        <w:rPr>
          <w:lang w:eastAsia="en-GB"/>
        </w:rPr>
      </w:pPr>
      <w:r w:rsidRPr="00FD47AF">
        <w:rPr>
          <w:lang w:eastAsia="en-GB"/>
        </w:rPr>
        <w:t>A European Agenda on Migration</w:t>
      </w:r>
    </w:p>
    <w:p w:rsidR="007833A0" w:rsidRPr="00FD47AF" w:rsidRDefault="007833A0" w:rsidP="00791D62">
      <w:pPr>
        <w:pStyle w:val="Dash2"/>
        <w:rPr>
          <w:lang w:eastAsia="en-GB"/>
        </w:rPr>
      </w:pPr>
      <w:r w:rsidRPr="00FD47AF">
        <w:rPr>
          <w:lang w:eastAsia="en-GB"/>
        </w:rPr>
        <w:t xml:space="preserve">Policy debate </w:t>
      </w:r>
    </w:p>
    <w:p w:rsidR="00276FD3" w:rsidRPr="00FD47AF" w:rsidRDefault="00276FD3" w:rsidP="00791D62">
      <w:pPr>
        <w:pStyle w:val="Dash2"/>
        <w:rPr>
          <w:lang w:eastAsia="en-GB"/>
        </w:rPr>
      </w:pPr>
      <w:r w:rsidRPr="00FD47AF">
        <w:rPr>
          <w:lang w:eastAsia="en-GB"/>
        </w:rPr>
        <w:t>Exchange of views on return and readmission aspects, including state of play of ongoing EU readmission negotiations</w:t>
      </w:r>
    </w:p>
    <w:p w:rsidR="007833A0" w:rsidRPr="00FD47AF" w:rsidRDefault="007833A0" w:rsidP="007833A0">
      <w:pPr>
        <w:pStyle w:val="PointManual"/>
        <w:spacing w:before="360"/>
        <w:rPr>
          <w:lang w:eastAsia="en-GB"/>
        </w:rPr>
      </w:pPr>
      <w:r w:rsidRPr="00FD47AF">
        <w:rPr>
          <w:lang w:eastAsia="en-GB"/>
        </w:rPr>
        <w:t>-</w:t>
      </w:r>
      <w:r w:rsidRPr="00FD47AF">
        <w:rPr>
          <w:lang w:eastAsia="en-GB"/>
        </w:rPr>
        <w:tab/>
        <w:t>Any other business</w:t>
      </w:r>
    </w:p>
    <w:p w:rsidR="007833A0" w:rsidRPr="00FD47AF" w:rsidRDefault="007833A0" w:rsidP="007833A0">
      <w:pPr>
        <w:pStyle w:val="Dash1"/>
        <w:spacing w:before="120"/>
        <w:rPr>
          <w:lang w:eastAsia="en-GB"/>
        </w:rPr>
      </w:pPr>
      <w:r w:rsidRPr="00FD47AF">
        <w:rPr>
          <w:lang w:eastAsia="en-GB"/>
        </w:rPr>
        <w:t>Information from the Presidency on current legislative proposals</w:t>
      </w:r>
    </w:p>
    <w:p w:rsidR="007833A0" w:rsidRPr="00FD47AF" w:rsidRDefault="007833A0" w:rsidP="007833A0">
      <w:pPr>
        <w:pStyle w:val="Dash1"/>
        <w:spacing w:before="120"/>
        <w:rPr>
          <w:lang w:eastAsia="en-GB"/>
        </w:rPr>
      </w:pPr>
      <w:r w:rsidRPr="00FD47AF">
        <w:rPr>
          <w:lang w:eastAsia="en-GB"/>
        </w:rPr>
        <w:t>Presen</w:t>
      </w:r>
      <w:bookmarkStart w:id="1" w:name="_GoBack"/>
      <w:bookmarkEnd w:id="1"/>
      <w:r w:rsidRPr="00FD47AF">
        <w:rPr>
          <w:lang w:eastAsia="en-GB"/>
        </w:rPr>
        <w:t>tation by Luxembourg of the programme of the incoming Presidency</w:t>
      </w:r>
      <w:r w:rsidRPr="00FD47AF">
        <w:rPr>
          <w:lang w:eastAsia="en-GB"/>
        </w:rPr>
        <w:br/>
        <w:t>(July-December 2015)</w:t>
      </w:r>
    </w:p>
    <w:p w:rsidR="00B2006C" w:rsidRPr="00FD47AF" w:rsidRDefault="00B2006C" w:rsidP="00BA610F">
      <w:pPr>
        <w:pStyle w:val="FinalLine"/>
        <w:spacing w:before="720"/>
        <w:ind w:left="3402" w:right="3402"/>
      </w:pPr>
    </w:p>
    <w:p w:rsidR="00B2006C" w:rsidRPr="00FD47AF" w:rsidRDefault="00B2006C" w:rsidP="00B2006C">
      <w:pPr>
        <w:pStyle w:val="NB"/>
        <w:rPr>
          <w:b/>
          <w:bCs/>
          <w:i/>
          <w:iCs/>
        </w:rPr>
      </w:pPr>
      <w:r w:rsidRPr="00FD47AF">
        <w:rPr>
          <w:b/>
          <w:bCs/>
          <w:i/>
          <w:iCs/>
        </w:rPr>
        <w:t>NB:</w:t>
      </w:r>
      <w:r w:rsidRPr="00FD47AF">
        <w:rPr>
          <w:b/>
          <w:bCs/>
          <w:i/>
          <w:iCs/>
        </w:rPr>
        <w:tab/>
        <w:t>Please send to the Protocol Service a list of your delegates to this meeting as soon as possible at the e-mail address protocole.participants@consilium.europa.eu</w:t>
      </w:r>
    </w:p>
    <w:p w:rsidR="00FC4670" w:rsidRPr="003F3914" w:rsidRDefault="00B2006C" w:rsidP="00B2006C">
      <w:pPr>
        <w:pStyle w:val="NB"/>
        <w:rPr>
          <w:b/>
          <w:bCs/>
          <w:i/>
          <w:iCs/>
        </w:rPr>
      </w:pPr>
      <w:r w:rsidRPr="00FD47AF">
        <w:rPr>
          <w:b/>
          <w:bCs/>
          <w:i/>
          <w:iCs/>
        </w:rPr>
        <w:t>NB:</w:t>
      </w:r>
      <w:r w:rsidRPr="00FD47AF">
        <w:rPr>
          <w:b/>
          <w:bCs/>
          <w:i/>
          <w:iCs/>
        </w:rPr>
        <w:tab/>
        <w:t>Delegates requiring day badges to attend meetings should consult document 14387/1/12 REV 1 on how to obtain them.</w:t>
      </w:r>
    </w:p>
    <w:sectPr w:rsidR="00FC4670" w:rsidRPr="003F3914" w:rsidSect="00FD47AF">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AF" w:rsidRPr="00FD47AF" w:rsidRDefault="00FD47AF" w:rsidP="00FD4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D47AF" w:rsidRPr="00D94637" w:rsidTr="00FD47AF">
      <w:trPr>
        <w:jc w:val="center"/>
      </w:trPr>
      <w:tc>
        <w:tcPr>
          <w:tcW w:w="5000" w:type="pct"/>
          <w:gridSpan w:val="7"/>
          <w:shd w:val="clear" w:color="auto" w:fill="auto"/>
          <w:tcMar>
            <w:top w:w="57" w:type="dxa"/>
          </w:tcMar>
        </w:tcPr>
        <w:p w:rsidR="00FD47AF" w:rsidRPr="00D94637" w:rsidRDefault="00FD47AF" w:rsidP="00D94637">
          <w:pPr>
            <w:pStyle w:val="FooterText"/>
            <w:pBdr>
              <w:top w:val="single" w:sz="4" w:space="1" w:color="auto"/>
            </w:pBdr>
            <w:spacing w:before="200"/>
            <w:rPr>
              <w:sz w:val="2"/>
              <w:szCs w:val="2"/>
            </w:rPr>
          </w:pPr>
          <w:bookmarkStart w:id="2" w:name="FOOTER_STANDARD"/>
        </w:p>
      </w:tc>
    </w:tr>
    <w:tr w:rsidR="00FD47AF" w:rsidRPr="00B310DC" w:rsidTr="00FD47AF">
      <w:trPr>
        <w:jc w:val="center"/>
      </w:trPr>
      <w:tc>
        <w:tcPr>
          <w:tcW w:w="2500" w:type="pct"/>
          <w:gridSpan w:val="2"/>
          <w:shd w:val="clear" w:color="auto" w:fill="auto"/>
          <w:tcMar>
            <w:top w:w="0" w:type="dxa"/>
          </w:tcMar>
        </w:tcPr>
        <w:p w:rsidR="00FD47AF" w:rsidRPr="00AD7BF2" w:rsidRDefault="00FD47AF" w:rsidP="004F54B2">
          <w:pPr>
            <w:pStyle w:val="FooterText"/>
          </w:pPr>
          <w:r>
            <w:t>CM 2735/15</w:t>
          </w:r>
          <w:r w:rsidRPr="002511D8">
            <w:t xml:space="preserve"> </w:t>
          </w:r>
        </w:p>
      </w:tc>
      <w:tc>
        <w:tcPr>
          <w:tcW w:w="625" w:type="pct"/>
          <w:shd w:val="clear" w:color="auto" w:fill="auto"/>
          <w:tcMar>
            <w:top w:w="0" w:type="dxa"/>
          </w:tcMar>
        </w:tcPr>
        <w:p w:rsidR="00FD47AF" w:rsidRPr="00AD7BF2" w:rsidRDefault="00FD47AF" w:rsidP="00D94637">
          <w:pPr>
            <w:pStyle w:val="FooterText"/>
            <w:jc w:val="center"/>
          </w:pPr>
        </w:p>
      </w:tc>
      <w:tc>
        <w:tcPr>
          <w:tcW w:w="1287" w:type="pct"/>
          <w:gridSpan w:val="3"/>
          <w:shd w:val="clear" w:color="auto" w:fill="auto"/>
          <w:tcMar>
            <w:top w:w="0" w:type="dxa"/>
          </w:tcMar>
        </w:tcPr>
        <w:p w:rsidR="00FD47AF" w:rsidRPr="002511D8" w:rsidRDefault="00FD47AF" w:rsidP="00D94637">
          <w:pPr>
            <w:pStyle w:val="FooterText"/>
            <w:jc w:val="center"/>
          </w:pPr>
        </w:p>
      </w:tc>
      <w:tc>
        <w:tcPr>
          <w:tcW w:w="588" w:type="pct"/>
          <w:shd w:val="clear" w:color="auto" w:fill="auto"/>
          <w:tcMar>
            <w:top w:w="0" w:type="dxa"/>
          </w:tcMar>
        </w:tcPr>
        <w:p w:rsidR="00FD47AF" w:rsidRPr="00B310DC" w:rsidRDefault="00FD47AF" w:rsidP="00D94637">
          <w:pPr>
            <w:pStyle w:val="FooterText"/>
            <w:jc w:val="right"/>
          </w:pPr>
          <w:r>
            <w:fldChar w:fldCharType="begin"/>
          </w:r>
          <w:r>
            <w:instrText xml:space="preserve"> PAGE  \* MERGEFORMAT </w:instrText>
          </w:r>
          <w:r>
            <w:fldChar w:fldCharType="separate"/>
          </w:r>
          <w:r w:rsidR="00791D62">
            <w:rPr>
              <w:noProof/>
            </w:rPr>
            <w:t>4</w:t>
          </w:r>
          <w:r>
            <w:fldChar w:fldCharType="end"/>
          </w:r>
        </w:p>
      </w:tc>
    </w:tr>
    <w:tr w:rsidR="00FD47AF" w:rsidRPr="00D94637" w:rsidTr="00FD47AF">
      <w:trPr>
        <w:jc w:val="center"/>
      </w:trPr>
      <w:tc>
        <w:tcPr>
          <w:tcW w:w="1774" w:type="pct"/>
          <w:shd w:val="clear" w:color="auto" w:fill="auto"/>
        </w:tcPr>
        <w:p w:rsidR="00FD47AF" w:rsidRPr="00AD7BF2" w:rsidRDefault="00FD47AF" w:rsidP="00D94637">
          <w:pPr>
            <w:pStyle w:val="FooterText"/>
            <w:spacing w:before="40"/>
          </w:pPr>
        </w:p>
      </w:tc>
      <w:tc>
        <w:tcPr>
          <w:tcW w:w="1455" w:type="pct"/>
          <w:gridSpan w:val="3"/>
          <w:shd w:val="clear" w:color="auto" w:fill="auto"/>
        </w:tcPr>
        <w:p w:rsidR="00FD47AF" w:rsidRPr="00AD7BF2" w:rsidRDefault="00FD47AF" w:rsidP="00D204D6">
          <w:pPr>
            <w:pStyle w:val="FooterText"/>
            <w:spacing w:before="40"/>
            <w:jc w:val="center"/>
          </w:pPr>
        </w:p>
      </w:tc>
      <w:tc>
        <w:tcPr>
          <w:tcW w:w="1147" w:type="pct"/>
          <w:shd w:val="clear" w:color="auto" w:fill="auto"/>
        </w:tcPr>
        <w:p w:rsidR="00FD47AF" w:rsidRPr="00D94637" w:rsidRDefault="00FD47AF" w:rsidP="00D94637">
          <w:pPr>
            <w:pStyle w:val="FooterText"/>
            <w:jc w:val="right"/>
            <w:rPr>
              <w:b/>
              <w:position w:val="-4"/>
              <w:sz w:val="36"/>
            </w:rPr>
          </w:pPr>
        </w:p>
      </w:tc>
      <w:tc>
        <w:tcPr>
          <w:tcW w:w="625" w:type="pct"/>
          <w:gridSpan w:val="2"/>
          <w:shd w:val="clear" w:color="auto" w:fill="auto"/>
        </w:tcPr>
        <w:p w:rsidR="00FD47AF" w:rsidRPr="00D94637" w:rsidRDefault="00FD47AF" w:rsidP="00D94637">
          <w:pPr>
            <w:pStyle w:val="FooterText"/>
            <w:jc w:val="right"/>
            <w:rPr>
              <w:sz w:val="16"/>
            </w:rPr>
          </w:pPr>
          <w:r>
            <w:rPr>
              <w:b/>
              <w:position w:val="-4"/>
              <w:sz w:val="36"/>
            </w:rPr>
            <w:t>EN</w:t>
          </w:r>
        </w:p>
      </w:tc>
    </w:tr>
    <w:bookmarkEnd w:id="2"/>
  </w:tbl>
  <w:p w:rsidR="00B2006C" w:rsidRPr="00FD47AF" w:rsidRDefault="00B2006C" w:rsidP="00FD47A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D47AF" w:rsidRPr="00D94637" w:rsidTr="00FD47AF">
      <w:trPr>
        <w:jc w:val="center"/>
      </w:trPr>
      <w:tc>
        <w:tcPr>
          <w:tcW w:w="5000" w:type="pct"/>
          <w:gridSpan w:val="7"/>
          <w:shd w:val="clear" w:color="auto" w:fill="auto"/>
          <w:tcMar>
            <w:top w:w="57" w:type="dxa"/>
          </w:tcMar>
        </w:tcPr>
        <w:p w:rsidR="00FD47AF" w:rsidRPr="00D94637" w:rsidRDefault="00FD47AF" w:rsidP="00D94637">
          <w:pPr>
            <w:pStyle w:val="FooterText"/>
            <w:pBdr>
              <w:top w:val="single" w:sz="4" w:space="1" w:color="auto"/>
            </w:pBdr>
            <w:spacing w:before="200"/>
            <w:rPr>
              <w:sz w:val="2"/>
              <w:szCs w:val="2"/>
            </w:rPr>
          </w:pPr>
        </w:p>
      </w:tc>
    </w:tr>
    <w:tr w:rsidR="00FD47AF" w:rsidRPr="00B310DC" w:rsidTr="00FD47AF">
      <w:trPr>
        <w:jc w:val="center"/>
      </w:trPr>
      <w:tc>
        <w:tcPr>
          <w:tcW w:w="2500" w:type="pct"/>
          <w:gridSpan w:val="2"/>
          <w:shd w:val="clear" w:color="auto" w:fill="auto"/>
          <w:tcMar>
            <w:top w:w="0" w:type="dxa"/>
          </w:tcMar>
        </w:tcPr>
        <w:p w:rsidR="00FD47AF" w:rsidRPr="00AD7BF2" w:rsidRDefault="00FD47AF" w:rsidP="004F54B2">
          <w:pPr>
            <w:pStyle w:val="FooterText"/>
          </w:pPr>
          <w:r>
            <w:t>CM 2735/15</w:t>
          </w:r>
          <w:r w:rsidRPr="002511D8">
            <w:t xml:space="preserve"> </w:t>
          </w:r>
        </w:p>
      </w:tc>
      <w:tc>
        <w:tcPr>
          <w:tcW w:w="625" w:type="pct"/>
          <w:shd w:val="clear" w:color="auto" w:fill="auto"/>
          <w:tcMar>
            <w:top w:w="0" w:type="dxa"/>
          </w:tcMar>
        </w:tcPr>
        <w:p w:rsidR="00FD47AF" w:rsidRPr="00AD7BF2" w:rsidRDefault="00FD47AF" w:rsidP="00D94637">
          <w:pPr>
            <w:pStyle w:val="FooterText"/>
            <w:jc w:val="center"/>
          </w:pPr>
        </w:p>
      </w:tc>
      <w:tc>
        <w:tcPr>
          <w:tcW w:w="1287" w:type="pct"/>
          <w:gridSpan w:val="3"/>
          <w:shd w:val="clear" w:color="auto" w:fill="auto"/>
          <w:tcMar>
            <w:top w:w="0" w:type="dxa"/>
          </w:tcMar>
        </w:tcPr>
        <w:p w:rsidR="00FD47AF" w:rsidRPr="002511D8" w:rsidRDefault="00FD47AF" w:rsidP="00D94637">
          <w:pPr>
            <w:pStyle w:val="FooterText"/>
            <w:jc w:val="center"/>
          </w:pPr>
        </w:p>
      </w:tc>
      <w:tc>
        <w:tcPr>
          <w:tcW w:w="588" w:type="pct"/>
          <w:shd w:val="clear" w:color="auto" w:fill="auto"/>
          <w:tcMar>
            <w:top w:w="0" w:type="dxa"/>
          </w:tcMar>
        </w:tcPr>
        <w:p w:rsidR="00FD47AF" w:rsidRPr="00B310DC" w:rsidRDefault="00FD47AF" w:rsidP="00D94637">
          <w:pPr>
            <w:pStyle w:val="FooterText"/>
            <w:jc w:val="right"/>
          </w:pPr>
          <w:r>
            <w:fldChar w:fldCharType="begin"/>
          </w:r>
          <w:r>
            <w:instrText xml:space="preserve"> PAGE  \* MERGEFORMAT </w:instrText>
          </w:r>
          <w:r>
            <w:fldChar w:fldCharType="separate"/>
          </w:r>
          <w:r w:rsidR="00791D62">
            <w:rPr>
              <w:noProof/>
            </w:rPr>
            <w:t>1</w:t>
          </w:r>
          <w:r>
            <w:fldChar w:fldCharType="end"/>
          </w:r>
        </w:p>
      </w:tc>
    </w:tr>
    <w:tr w:rsidR="00FD47AF" w:rsidRPr="00D94637" w:rsidTr="00FD47AF">
      <w:trPr>
        <w:jc w:val="center"/>
      </w:trPr>
      <w:tc>
        <w:tcPr>
          <w:tcW w:w="1774" w:type="pct"/>
          <w:shd w:val="clear" w:color="auto" w:fill="auto"/>
        </w:tcPr>
        <w:p w:rsidR="00FD47AF" w:rsidRPr="00AD7BF2" w:rsidRDefault="00FD47AF" w:rsidP="00D94637">
          <w:pPr>
            <w:pStyle w:val="FooterText"/>
            <w:spacing w:before="40"/>
          </w:pPr>
        </w:p>
      </w:tc>
      <w:tc>
        <w:tcPr>
          <w:tcW w:w="1455" w:type="pct"/>
          <w:gridSpan w:val="3"/>
          <w:shd w:val="clear" w:color="auto" w:fill="auto"/>
        </w:tcPr>
        <w:p w:rsidR="00FD47AF" w:rsidRPr="00AD7BF2" w:rsidRDefault="00FD47AF" w:rsidP="00D204D6">
          <w:pPr>
            <w:pStyle w:val="FooterText"/>
            <w:spacing w:before="40"/>
            <w:jc w:val="center"/>
          </w:pPr>
        </w:p>
      </w:tc>
      <w:tc>
        <w:tcPr>
          <w:tcW w:w="1147" w:type="pct"/>
          <w:shd w:val="clear" w:color="auto" w:fill="auto"/>
        </w:tcPr>
        <w:p w:rsidR="00FD47AF" w:rsidRPr="00D94637" w:rsidRDefault="00FD47AF" w:rsidP="00D94637">
          <w:pPr>
            <w:pStyle w:val="FooterText"/>
            <w:jc w:val="right"/>
            <w:rPr>
              <w:b/>
              <w:position w:val="-4"/>
              <w:sz w:val="36"/>
            </w:rPr>
          </w:pPr>
        </w:p>
      </w:tc>
      <w:tc>
        <w:tcPr>
          <w:tcW w:w="625" w:type="pct"/>
          <w:gridSpan w:val="2"/>
          <w:shd w:val="clear" w:color="auto" w:fill="auto"/>
        </w:tcPr>
        <w:p w:rsidR="00FD47AF" w:rsidRPr="00D94637" w:rsidRDefault="00FD47AF" w:rsidP="00D94637">
          <w:pPr>
            <w:pStyle w:val="FooterText"/>
            <w:jc w:val="right"/>
            <w:rPr>
              <w:sz w:val="16"/>
            </w:rPr>
          </w:pPr>
          <w:r>
            <w:rPr>
              <w:b/>
              <w:position w:val="-4"/>
              <w:sz w:val="36"/>
            </w:rPr>
            <w:t>EN</w:t>
          </w:r>
        </w:p>
      </w:tc>
    </w:tr>
  </w:tbl>
  <w:p w:rsidR="00B2006C" w:rsidRPr="00FD47AF" w:rsidRDefault="00B2006C" w:rsidP="00FD47A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2908B5" w:rsidRDefault="002908B5" w:rsidP="002908B5">
      <w:pPr>
        <w:pStyle w:val="FootnoteText"/>
      </w:pPr>
      <w:r>
        <w:rPr>
          <w:rStyle w:val="FootnoteReference"/>
        </w:rPr>
        <w:footnoteRef/>
      </w:r>
      <w:r>
        <w:t xml:space="preserve"> </w:t>
      </w:r>
      <w:r>
        <w:tab/>
        <w:t>When adopting a General approach after the European Parliament has adopted its position at first reading, the Council is not acting within the meaning of Article 294(4) and (5) TFEU.</w:t>
      </w:r>
    </w:p>
  </w:footnote>
  <w:footnote w:id="2">
    <w:p w:rsidR="007D7292" w:rsidRDefault="007D7292">
      <w:pPr>
        <w:pStyle w:val="FootnoteText"/>
      </w:pPr>
      <w:r>
        <w:rPr>
          <w:rStyle w:val="FootnoteReference"/>
        </w:rPr>
        <w:footnoteRef/>
      </w:r>
      <w:r>
        <w:t xml:space="preserve"> </w:t>
      </w:r>
      <w:r w:rsidRPr="007D7292">
        <w:t>In the presence of the Schengen Associated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AF" w:rsidRPr="00FD47AF" w:rsidRDefault="00FD47AF" w:rsidP="00FD4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AF" w:rsidRPr="00FD47AF" w:rsidRDefault="00FD47AF" w:rsidP="00FD47A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AF" w:rsidRPr="00FD47AF" w:rsidRDefault="00FD47AF" w:rsidP="00FD47A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3"/>
  </w:num>
  <w:num w:numId="21">
    <w:abstractNumId w:val="13"/>
  </w:num>
  <w:num w:numId="22">
    <w:abstractNumId w:val="19"/>
  </w:num>
  <w:num w:numId="23">
    <w:abstractNumId w:val="19"/>
  </w:num>
  <w:num w:numId="24">
    <w:abstractNumId w:val="19"/>
  </w:num>
  <w:num w:numId="25">
    <w:abstractNumId w:val="13"/>
  </w:num>
  <w:num w:numId="26">
    <w:abstractNumId w:val="13"/>
  </w:num>
  <w:num w:numId="27">
    <w:abstractNumId w:val="13"/>
  </w:num>
  <w:num w:numId="28">
    <w:abstractNumId w:val="19"/>
  </w:num>
  <w:num w:numId="29">
    <w:abstractNumId w:val="19"/>
  </w:num>
  <w:num w:numId="30">
    <w:abstractNumId w:val="13"/>
  </w:num>
  <w:num w:numId="31">
    <w:abstractNumId w:val="19"/>
  </w:num>
  <w:num w:numId="3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3e6dc797-7e16-4d00-8ee5-cda97a59c26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9&lt;/text&gt;_x000d__x000a_  &lt;/metadata&gt;_x000d__x000a_  &lt;metadata key=&quot;md_Prefix&quot;&gt;_x000d__x000a_    &lt;text&gt;CM&lt;/text&gt;_x000d__x000a_  &lt;/metadata&gt;_x000d__x000a_  &lt;metadata key=&quot;md_DocumentNumber&quot;&gt;_x000d__x000a_    &lt;text&gt;273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6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en-gb&quot;&amp;gt;3396&amp;lt;/Run&amp;gt;&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6-15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06-1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B2006C"/>
    <w:rsid w:val="00007782"/>
    <w:rsid w:val="00010C1D"/>
    <w:rsid w:val="0009656C"/>
    <w:rsid w:val="000A3913"/>
    <w:rsid w:val="000F2F96"/>
    <w:rsid w:val="00136C3A"/>
    <w:rsid w:val="00143B73"/>
    <w:rsid w:val="0015224E"/>
    <w:rsid w:val="0015463B"/>
    <w:rsid w:val="00165755"/>
    <w:rsid w:val="001720B7"/>
    <w:rsid w:val="00182F2F"/>
    <w:rsid w:val="001A3373"/>
    <w:rsid w:val="00276FD3"/>
    <w:rsid w:val="002908B5"/>
    <w:rsid w:val="002A2AE8"/>
    <w:rsid w:val="002A6B9C"/>
    <w:rsid w:val="002B1BF6"/>
    <w:rsid w:val="002D311B"/>
    <w:rsid w:val="002D4515"/>
    <w:rsid w:val="00331EF6"/>
    <w:rsid w:val="00334A5C"/>
    <w:rsid w:val="00385830"/>
    <w:rsid w:val="003C6E8B"/>
    <w:rsid w:val="003F3914"/>
    <w:rsid w:val="00403248"/>
    <w:rsid w:val="004355AB"/>
    <w:rsid w:val="00484512"/>
    <w:rsid w:val="004A226D"/>
    <w:rsid w:val="005157F5"/>
    <w:rsid w:val="00526C91"/>
    <w:rsid w:val="0063379B"/>
    <w:rsid w:val="00664A7B"/>
    <w:rsid w:val="006A38C5"/>
    <w:rsid w:val="006A5710"/>
    <w:rsid w:val="006C1AD4"/>
    <w:rsid w:val="006E33E2"/>
    <w:rsid w:val="006F4741"/>
    <w:rsid w:val="00710E52"/>
    <w:rsid w:val="0075756A"/>
    <w:rsid w:val="007833A0"/>
    <w:rsid w:val="00791D62"/>
    <w:rsid w:val="007D7292"/>
    <w:rsid w:val="00825503"/>
    <w:rsid w:val="008826F8"/>
    <w:rsid w:val="008E6B12"/>
    <w:rsid w:val="00A469D7"/>
    <w:rsid w:val="00A53C5A"/>
    <w:rsid w:val="00B2006C"/>
    <w:rsid w:val="00B73AAF"/>
    <w:rsid w:val="00B8752F"/>
    <w:rsid w:val="00B90B31"/>
    <w:rsid w:val="00BA610F"/>
    <w:rsid w:val="00BB55FE"/>
    <w:rsid w:val="00BE1373"/>
    <w:rsid w:val="00C031A3"/>
    <w:rsid w:val="00C720CB"/>
    <w:rsid w:val="00CB4F3F"/>
    <w:rsid w:val="00D40A48"/>
    <w:rsid w:val="00D451E4"/>
    <w:rsid w:val="00DA58A1"/>
    <w:rsid w:val="00E43D87"/>
    <w:rsid w:val="00E72812"/>
    <w:rsid w:val="00F77DB4"/>
    <w:rsid w:val="00FB0DDC"/>
    <w:rsid w:val="00FC2E30"/>
    <w:rsid w:val="00FC4670"/>
    <w:rsid w:val="00FD47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DA58A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DA58A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6401">
      <w:bodyDiv w:val="1"/>
      <w:marLeft w:val="0"/>
      <w:marRight w:val="0"/>
      <w:marTop w:val="0"/>
      <w:marBottom w:val="0"/>
      <w:divBdr>
        <w:top w:val="none" w:sz="0" w:space="0" w:color="auto"/>
        <w:left w:val="none" w:sz="0" w:space="0" w:color="auto"/>
        <w:bottom w:val="none" w:sz="0" w:space="0" w:color="auto"/>
        <w:right w:val="none" w:sz="0" w:space="0" w:color="auto"/>
      </w:divBdr>
    </w:div>
    <w:div w:id="377511663">
      <w:bodyDiv w:val="1"/>
      <w:marLeft w:val="0"/>
      <w:marRight w:val="0"/>
      <w:marTop w:val="0"/>
      <w:marBottom w:val="0"/>
      <w:divBdr>
        <w:top w:val="none" w:sz="0" w:space="0" w:color="auto"/>
        <w:left w:val="none" w:sz="0" w:space="0" w:color="auto"/>
        <w:bottom w:val="none" w:sz="0" w:space="0" w:color="auto"/>
        <w:right w:val="none" w:sz="0" w:space="0" w:color="auto"/>
      </w:divBdr>
    </w:div>
    <w:div w:id="565342831">
      <w:bodyDiv w:val="1"/>
      <w:marLeft w:val="0"/>
      <w:marRight w:val="0"/>
      <w:marTop w:val="0"/>
      <w:marBottom w:val="0"/>
      <w:divBdr>
        <w:top w:val="none" w:sz="0" w:space="0" w:color="auto"/>
        <w:left w:val="none" w:sz="0" w:space="0" w:color="auto"/>
        <w:bottom w:val="none" w:sz="0" w:space="0" w:color="auto"/>
        <w:right w:val="none" w:sz="0" w:space="0" w:color="auto"/>
      </w:divBdr>
    </w:div>
    <w:div w:id="658075940">
      <w:bodyDiv w:val="1"/>
      <w:marLeft w:val="0"/>
      <w:marRight w:val="0"/>
      <w:marTop w:val="0"/>
      <w:marBottom w:val="0"/>
      <w:divBdr>
        <w:top w:val="none" w:sz="0" w:space="0" w:color="auto"/>
        <w:left w:val="none" w:sz="0" w:space="0" w:color="auto"/>
        <w:bottom w:val="none" w:sz="0" w:space="0" w:color="auto"/>
        <w:right w:val="none" w:sz="0" w:space="0" w:color="auto"/>
      </w:divBdr>
    </w:div>
    <w:div w:id="765463089">
      <w:bodyDiv w:val="1"/>
      <w:marLeft w:val="0"/>
      <w:marRight w:val="0"/>
      <w:marTop w:val="0"/>
      <w:marBottom w:val="0"/>
      <w:divBdr>
        <w:top w:val="none" w:sz="0" w:space="0" w:color="auto"/>
        <w:left w:val="none" w:sz="0" w:space="0" w:color="auto"/>
        <w:bottom w:val="none" w:sz="0" w:space="0" w:color="auto"/>
        <w:right w:val="none" w:sz="0" w:space="0" w:color="auto"/>
      </w:divBdr>
    </w:div>
    <w:div w:id="790780976">
      <w:bodyDiv w:val="1"/>
      <w:marLeft w:val="0"/>
      <w:marRight w:val="0"/>
      <w:marTop w:val="0"/>
      <w:marBottom w:val="0"/>
      <w:divBdr>
        <w:top w:val="none" w:sz="0" w:space="0" w:color="auto"/>
        <w:left w:val="none" w:sz="0" w:space="0" w:color="auto"/>
        <w:bottom w:val="none" w:sz="0" w:space="0" w:color="auto"/>
        <w:right w:val="none" w:sz="0" w:space="0" w:color="auto"/>
      </w:divBdr>
    </w:div>
    <w:div w:id="1964461038">
      <w:bodyDiv w:val="1"/>
      <w:marLeft w:val="0"/>
      <w:marRight w:val="0"/>
      <w:marTop w:val="0"/>
      <w:marBottom w:val="0"/>
      <w:divBdr>
        <w:top w:val="none" w:sz="0" w:space="0" w:color="auto"/>
        <w:left w:val="none" w:sz="0" w:space="0" w:color="auto"/>
        <w:bottom w:val="none" w:sz="0" w:space="0" w:color="auto"/>
        <w:right w:val="none" w:sz="0" w:space="0" w:color="auto"/>
      </w:divBdr>
    </w:div>
    <w:div w:id="205862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779C-D8B2-4FB9-9899-38FC101E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4</Pages>
  <Words>507</Words>
  <Characters>2627</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VAVROVA Tereza</cp:lastModifiedBy>
  <cp:revision>5</cp:revision>
  <cp:lastPrinted>2015-05-29T12:18:00Z</cp:lastPrinted>
  <dcterms:created xsi:type="dcterms:W3CDTF">2015-05-29T08:05:00Z</dcterms:created>
  <dcterms:modified xsi:type="dcterms:W3CDTF">2015-05-29T12:24:00Z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3.5.3, Build 20150508</vt:lpwstr>
  </property>
</Properties>
</file>