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63" w:rsidRPr="00284EB9" w:rsidRDefault="00284EB9" w:rsidP="00284EB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6cada25-ccbf-401b-a1a6-a4527cc2da72_0" style="width:568.5pt;height:437.25pt">
            <v:imagedata r:id="rId8" o:title=""/>
          </v:shape>
        </w:pict>
      </w:r>
      <w:bookmarkEnd w:id="0"/>
    </w:p>
    <w:p w:rsidR="00D501C7" w:rsidRPr="00621717" w:rsidRDefault="00D501C7" w:rsidP="00D501C7">
      <w:pPr>
        <w:pStyle w:val="NormalConseil"/>
        <w:tabs>
          <w:tab w:val="left" w:pos="567"/>
          <w:tab w:val="left" w:pos="1134"/>
          <w:tab w:val="left" w:pos="1701"/>
        </w:tabs>
        <w:spacing w:line="360" w:lineRule="auto"/>
        <w:outlineLvl w:val="0"/>
        <w:rPr>
          <w:b/>
        </w:rPr>
      </w:pPr>
      <w:r>
        <w:rPr>
          <w:b/>
        </w:rPr>
        <w:t>I.</w:t>
      </w:r>
      <w:r>
        <w:rPr>
          <w:b/>
        </w:rPr>
        <w:tab/>
      </w:r>
      <w:r w:rsidRPr="00F2794A">
        <w:rPr>
          <w:b/>
          <w:u w:val="single"/>
        </w:rPr>
        <w:t>INTRODUCTION</w:t>
      </w:r>
    </w:p>
    <w:p w:rsidR="00D501C7" w:rsidRDefault="00D501C7" w:rsidP="00D501C7">
      <w:pPr>
        <w:pStyle w:val="NormalConseil"/>
        <w:tabs>
          <w:tab w:val="left" w:pos="567"/>
          <w:tab w:val="left" w:pos="1134"/>
          <w:tab w:val="left" w:pos="1701"/>
        </w:tabs>
        <w:spacing w:line="360" w:lineRule="auto"/>
      </w:pPr>
    </w:p>
    <w:p w:rsidR="00D501C7" w:rsidRDefault="00D501C7" w:rsidP="00D501C7">
      <w:pPr>
        <w:spacing w:before="0" w:after="0"/>
        <w:ind w:left="1134" w:hanging="567"/>
        <w:outlineLvl w:val="0"/>
      </w:pPr>
      <w:r>
        <w:t>1.</w:t>
      </w:r>
      <w:r>
        <w:tab/>
        <w:t>O</w:t>
      </w:r>
      <w:r w:rsidRPr="00B33607">
        <w:t xml:space="preserve">n </w:t>
      </w:r>
      <w:r>
        <w:t>17 December</w:t>
      </w:r>
      <w:r w:rsidRPr="00B33607">
        <w:t xml:space="preserve"> 201</w:t>
      </w:r>
      <w:r>
        <w:t>4</w:t>
      </w:r>
      <w:r w:rsidRPr="00B33607">
        <w:t>,</w:t>
      </w:r>
      <w:r>
        <w:t xml:space="preserve"> the</w:t>
      </w:r>
      <w:r w:rsidRPr="00B33607">
        <w:t xml:space="preserve"> </w:t>
      </w:r>
      <w:r w:rsidRPr="00B33607">
        <w:rPr>
          <w:u w:val="single"/>
        </w:rPr>
        <w:t>C</w:t>
      </w:r>
      <w:r>
        <w:rPr>
          <w:u w:val="single"/>
        </w:rPr>
        <w:t>ouncil</w:t>
      </w:r>
      <w:r w:rsidRPr="00B33607">
        <w:t xml:space="preserve"> agreed on a </w:t>
      </w:r>
      <w:r>
        <w:t xml:space="preserve">general approach on the above mentioned proposal. The </w:t>
      </w:r>
      <w:r w:rsidRPr="00D501C7">
        <w:rPr>
          <w:u w:val="single"/>
        </w:rPr>
        <w:t>BG/CZ/EE/FI delegations</w:t>
      </w:r>
      <w:r>
        <w:t xml:space="preserve"> indicated they could not support the text.</w:t>
      </w:r>
    </w:p>
    <w:p w:rsidR="00D501C7" w:rsidRDefault="00D501C7" w:rsidP="00D501C7">
      <w:pPr>
        <w:spacing w:before="0" w:after="0"/>
        <w:ind w:left="1134" w:hanging="567"/>
        <w:outlineLvl w:val="0"/>
      </w:pPr>
    </w:p>
    <w:p w:rsidR="00D501C7" w:rsidRDefault="00D501C7" w:rsidP="00D501C7">
      <w:pPr>
        <w:spacing w:before="0" w:after="0"/>
        <w:ind w:left="1134" w:hanging="567"/>
        <w:outlineLvl w:val="0"/>
        <w:rPr>
          <w:iCs/>
          <w:noProof/>
          <w:lang w:eastAsia="fr-BE"/>
        </w:rPr>
      </w:pPr>
      <w:r>
        <w:t>2.</w:t>
      </w:r>
      <w:r>
        <w:tab/>
        <w:t xml:space="preserve">The </w:t>
      </w:r>
      <w:r>
        <w:rPr>
          <w:u w:val="single"/>
        </w:rPr>
        <w:t>European Parliament ENVI Committee</w:t>
      </w:r>
      <w:r>
        <w:t xml:space="preserve">, on 6 May 2015, voted on its report containing 86 amendments on the proposal and agreed to enter into negotiations </w:t>
      </w:r>
      <w:r w:rsidRPr="004C7114">
        <w:rPr>
          <w:iCs/>
          <w:noProof/>
          <w:lang w:eastAsia="fr-BE"/>
        </w:rPr>
        <w:t>with the Council</w:t>
      </w:r>
      <w:r w:rsidRPr="004C7114">
        <w:rPr>
          <w:color w:val="000000"/>
          <w:lang w:eastAsia="fr-BE"/>
        </w:rPr>
        <w:t xml:space="preserve"> with a view to a first reading agreement</w:t>
      </w:r>
      <w:r w:rsidRPr="004C7114">
        <w:rPr>
          <w:iCs/>
          <w:noProof/>
          <w:lang w:eastAsia="fr-BE"/>
        </w:rPr>
        <w:t xml:space="preserve">. </w:t>
      </w:r>
    </w:p>
    <w:p w:rsidR="00D501C7" w:rsidRDefault="00D501C7" w:rsidP="00D501C7">
      <w:pPr>
        <w:spacing w:before="0" w:after="0"/>
        <w:ind w:left="1134" w:hanging="567"/>
        <w:outlineLvl w:val="0"/>
        <w:rPr>
          <w:iCs/>
          <w:noProof/>
          <w:lang w:eastAsia="fr-BE"/>
        </w:rPr>
      </w:pPr>
      <w:r>
        <w:rPr>
          <w:iCs/>
          <w:noProof/>
          <w:lang w:eastAsia="fr-BE"/>
        </w:rPr>
        <w:br w:type="page"/>
      </w:r>
    </w:p>
    <w:p w:rsidR="00D501C7" w:rsidRDefault="00D501C7" w:rsidP="00D501C7">
      <w:pPr>
        <w:spacing w:before="0" w:after="0"/>
        <w:ind w:left="1134" w:hanging="567"/>
        <w:outlineLvl w:val="0"/>
      </w:pPr>
      <w:r>
        <w:rPr>
          <w:iCs/>
          <w:noProof/>
          <w:lang w:eastAsia="fr-BE"/>
        </w:rPr>
        <w:t>3.</w:t>
      </w:r>
      <w:r>
        <w:rPr>
          <w:iCs/>
          <w:noProof/>
          <w:lang w:eastAsia="fr-BE"/>
        </w:rPr>
        <w:tab/>
        <w:t>A</w:t>
      </w:r>
      <w:r w:rsidRPr="004C7114">
        <w:rPr>
          <w:color w:val="000000"/>
          <w:lang w:eastAsia="fr-BE"/>
        </w:rPr>
        <w:t xml:space="preserve"> first informal trilogue </w:t>
      </w:r>
      <w:r>
        <w:rPr>
          <w:color w:val="000000"/>
          <w:lang w:eastAsia="fr-BE"/>
        </w:rPr>
        <w:t>took place on 21 May</w:t>
      </w:r>
      <w:r w:rsidRPr="004F2757">
        <w:t xml:space="preserve"> in a positive and constructive spirit.</w:t>
      </w:r>
      <w:r w:rsidRPr="00B33607">
        <w:t xml:space="preserve"> The </w:t>
      </w:r>
      <w:r w:rsidRPr="00B33607">
        <w:rPr>
          <w:u w:val="single"/>
        </w:rPr>
        <w:t>Presidency</w:t>
      </w:r>
      <w:r w:rsidRPr="00B33607">
        <w:t xml:space="preserve"> informed delegations on the outcome at </w:t>
      </w:r>
      <w:r w:rsidRPr="00B33607">
        <w:rPr>
          <w:u w:val="single"/>
        </w:rPr>
        <w:t>COREPER</w:t>
      </w:r>
      <w:r w:rsidRPr="00B33607">
        <w:t xml:space="preserve"> </w:t>
      </w:r>
      <w:r>
        <w:t>on 22 May 2015.</w:t>
      </w:r>
    </w:p>
    <w:p w:rsidR="00D501C7" w:rsidRDefault="00D501C7" w:rsidP="00D501C7">
      <w:pPr>
        <w:spacing w:before="0" w:after="0"/>
        <w:ind w:left="1134" w:hanging="567"/>
        <w:outlineLvl w:val="0"/>
      </w:pPr>
    </w:p>
    <w:p w:rsidR="00D501C7" w:rsidRPr="00AE4174" w:rsidRDefault="00D501C7" w:rsidP="00D501C7">
      <w:pPr>
        <w:spacing w:before="0" w:after="0"/>
        <w:ind w:left="1134" w:hanging="567"/>
        <w:outlineLvl w:val="0"/>
        <w:rPr>
          <w:vertAlign w:val="superscript"/>
        </w:rPr>
      </w:pPr>
      <w:r>
        <w:t>4.</w:t>
      </w:r>
      <w:r>
        <w:tab/>
      </w:r>
      <w:r w:rsidRPr="00B33607">
        <w:t>With a view to a second informal trilogue</w:t>
      </w:r>
      <w:r>
        <w:t xml:space="preserve"> on 2 June, </w:t>
      </w:r>
      <w:r w:rsidRPr="00B33607">
        <w:t xml:space="preserve">the </w:t>
      </w:r>
      <w:r w:rsidRPr="00B33607">
        <w:rPr>
          <w:u w:val="single"/>
        </w:rPr>
        <w:t>Presidency</w:t>
      </w:r>
      <w:r w:rsidRPr="00B33607">
        <w:t xml:space="preserve"> </w:t>
      </w:r>
      <w:r>
        <w:t xml:space="preserve">suggests to adapt </w:t>
      </w:r>
      <w:r w:rsidRPr="00B33607">
        <w:t xml:space="preserve">a number of </w:t>
      </w:r>
      <w:r>
        <w:t>elements of the Council</w:t>
      </w:r>
      <w:r w:rsidR="00AD59A8">
        <w:t>'s</w:t>
      </w:r>
      <w:r>
        <w:t xml:space="preserve"> general approach according to discussions at the first trilogue</w:t>
      </w:r>
      <w:r w:rsidRPr="00B33607">
        <w:t xml:space="preserve">. These are </w:t>
      </w:r>
      <w:r>
        <w:t>outlined below in Section II of this n</w:t>
      </w:r>
      <w:r w:rsidRPr="00B33607">
        <w:t>ote</w:t>
      </w:r>
      <w:r>
        <w:t xml:space="preserve"> and in the text contained in </w:t>
      </w:r>
      <w:r w:rsidRPr="00AE4174">
        <w:t xml:space="preserve">the </w:t>
      </w:r>
      <w:r w:rsidRPr="009971E0">
        <w:rPr>
          <w:u w:val="single"/>
        </w:rPr>
        <w:t>Annex</w:t>
      </w:r>
      <w:r>
        <w:rPr>
          <w:rStyle w:val="FootnoteReference"/>
        </w:rPr>
        <w:footnoteReference w:id="1"/>
      </w:r>
      <w:r w:rsidRPr="00D501C7">
        <w:t>.</w:t>
      </w:r>
    </w:p>
    <w:p w:rsidR="00D501C7" w:rsidRDefault="00D501C7" w:rsidP="00D501C7">
      <w:pPr>
        <w:spacing w:before="0" w:after="0"/>
        <w:ind w:left="1134" w:hanging="567"/>
        <w:outlineLvl w:val="0"/>
      </w:pPr>
    </w:p>
    <w:p w:rsidR="00D501C7" w:rsidRDefault="00D501C7" w:rsidP="00D501C7">
      <w:pPr>
        <w:ind w:left="1134" w:hanging="567"/>
      </w:pPr>
      <w:r>
        <w:t>5.</w:t>
      </w:r>
      <w:r>
        <w:tab/>
      </w:r>
      <w:r w:rsidRPr="00B33607">
        <w:rPr>
          <w:u w:val="single"/>
        </w:rPr>
        <w:t>All delegations and the Commission</w:t>
      </w:r>
      <w:r w:rsidRPr="00B33607">
        <w:t xml:space="preserve"> have scrutiny reservations on the </w:t>
      </w:r>
      <w:r w:rsidRPr="00AD59A8">
        <w:t>Presidency</w:t>
      </w:r>
      <w:r w:rsidRPr="00B33607">
        <w:t xml:space="preserve"> </w:t>
      </w:r>
      <w:r>
        <w:t>c</w:t>
      </w:r>
      <w:r w:rsidRPr="00B33607">
        <w:t>ompromise suggestions.</w:t>
      </w:r>
    </w:p>
    <w:p w:rsidR="00D501C7" w:rsidRDefault="00D501C7" w:rsidP="00D501C7">
      <w:pPr>
        <w:tabs>
          <w:tab w:val="left" w:pos="3969"/>
        </w:tabs>
        <w:ind w:left="567" w:hanging="567"/>
        <w:rPr>
          <w:b/>
        </w:rPr>
      </w:pPr>
      <w:r>
        <w:rPr>
          <w:b/>
        </w:rPr>
        <w:t>II.</w:t>
      </w:r>
      <w:r>
        <w:rPr>
          <w:b/>
        </w:rPr>
        <w:tab/>
      </w:r>
      <w:r>
        <w:rPr>
          <w:b/>
          <w:u w:val="single"/>
        </w:rPr>
        <w:t>OUTSTANDING ISSUES</w:t>
      </w:r>
    </w:p>
    <w:p w:rsidR="00D501C7" w:rsidRDefault="00D501C7" w:rsidP="00D501C7">
      <w:pPr>
        <w:ind w:left="567"/>
        <w:rPr>
          <w:bCs/>
        </w:rPr>
      </w:pPr>
      <w:r>
        <w:rPr>
          <w:bCs/>
        </w:rPr>
        <w:t xml:space="preserve">The </w:t>
      </w:r>
      <w:r w:rsidRPr="009971E0">
        <w:rPr>
          <w:bCs/>
          <w:u w:val="single"/>
        </w:rPr>
        <w:t>Presidency</w:t>
      </w:r>
      <w:r>
        <w:rPr>
          <w:bCs/>
        </w:rPr>
        <w:t xml:space="preserve"> proposes to </w:t>
      </w:r>
      <w:r w:rsidRPr="009338D7">
        <w:rPr>
          <w:bCs/>
        </w:rPr>
        <w:t>maintain the Council</w:t>
      </w:r>
      <w:r w:rsidR="00AD59A8">
        <w:rPr>
          <w:bCs/>
        </w:rPr>
        <w:t>'s</w:t>
      </w:r>
      <w:r w:rsidRPr="009338D7">
        <w:rPr>
          <w:bCs/>
        </w:rPr>
        <w:t xml:space="preserve"> general approach on the main package</w:t>
      </w:r>
      <w:r>
        <w:rPr>
          <w:bCs/>
        </w:rPr>
        <w:t xml:space="preserve"> that includes dates of application, MCP categories, emission limit values and derogations. </w:t>
      </w:r>
    </w:p>
    <w:p w:rsidR="00D501C7" w:rsidRDefault="00D501C7" w:rsidP="00AD59A8">
      <w:pPr>
        <w:ind w:left="567"/>
        <w:rPr>
          <w:bCs/>
        </w:rPr>
      </w:pPr>
      <w:r>
        <w:rPr>
          <w:color w:val="000000"/>
        </w:rPr>
        <w:t xml:space="preserve">In order to take into account the EP's position and arguments raised at the trilogue on 21 May, the following </w:t>
      </w:r>
      <w:r>
        <w:rPr>
          <w:bCs/>
        </w:rPr>
        <w:t>modifications to the Council</w:t>
      </w:r>
      <w:r w:rsidR="00AD59A8">
        <w:rPr>
          <w:bCs/>
        </w:rPr>
        <w:t>'s</w:t>
      </w:r>
      <w:r>
        <w:rPr>
          <w:bCs/>
        </w:rPr>
        <w:t xml:space="preserve"> general approach could be proposed:</w:t>
      </w:r>
    </w:p>
    <w:p w:rsidR="00D501C7" w:rsidRDefault="00D501C7" w:rsidP="00D501C7">
      <w:pPr>
        <w:ind w:left="567"/>
        <w:rPr>
          <w:b/>
          <w:bCs/>
        </w:rPr>
      </w:pPr>
      <w:r>
        <w:rPr>
          <w:b/>
        </w:rPr>
        <w:t>1.</w:t>
      </w:r>
      <w:r>
        <w:rPr>
          <w:b/>
        </w:rPr>
        <w:tab/>
        <w:t>Subject matter - carbon monoxide</w:t>
      </w:r>
      <w:r w:rsidRPr="00373120">
        <w:rPr>
          <w:b/>
          <w:bCs/>
        </w:rPr>
        <w:t xml:space="preserve"> </w:t>
      </w:r>
    </w:p>
    <w:p w:rsidR="00D501C7" w:rsidRDefault="00D501C7" w:rsidP="00D501C7">
      <w:pPr>
        <w:ind w:left="1134"/>
        <w:rPr>
          <w:color w:val="000000"/>
        </w:rPr>
      </w:pPr>
      <w:r>
        <w:t xml:space="preserve">As the EP, the </w:t>
      </w:r>
      <w:r w:rsidRPr="00614B1B">
        <w:t xml:space="preserve">Council acknowledged </w:t>
      </w:r>
      <w:r>
        <w:t xml:space="preserve">in its discussions that it would be appropriate to </w:t>
      </w:r>
      <w:r w:rsidRPr="00614B1B">
        <w:t>assess whether emission limit values should be estab</w:t>
      </w:r>
      <w:r>
        <w:t>lished for other pollutants</w:t>
      </w:r>
      <w:r w:rsidRPr="00614B1B">
        <w:t xml:space="preserve">, such as carbon monoxide. This is already reflected in the recital 16a </w:t>
      </w:r>
      <w:r>
        <w:t>of</w:t>
      </w:r>
      <w:r w:rsidRPr="00614B1B">
        <w:t xml:space="preserve"> the general approach. </w:t>
      </w:r>
      <w:r>
        <w:t xml:space="preserve">In order to allow for a solid assessment, relevant monitoring data are required in respect of plants that are a particular source of such pollutants. It is therefore suggested to include in the Directive the obligation to </w:t>
      </w:r>
      <w:r w:rsidRPr="00AB4735">
        <w:rPr>
          <w:bCs/>
          <w:iCs/>
          <w:u w:val="single"/>
        </w:rPr>
        <w:t>monitor emissions of carbon monoxide for gas fired plants</w:t>
      </w:r>
      <w:r>
        <w:rPr>
          <w:bCs/>
          <w:iCs/>
        </w:rPr>
        <w:t xml:space="preserve">. </w:t>
      </w:r>
    </w:p>
    <w:p w:rsidR="00D501C7" w:rsidRDefault="00D501C7" w:rsidP="00D501C7">
      <w:pPr>
        <w:ind w:left="567"/>
        <w:rPr>
          <w:b/>
        </w:rPr>
      </w:pPr>
      <w:r>
        <w:rPr>
          <w:b/>
        </w:rPr>
        <w:br w:type="page"/>
      </w:r>
      <w:r>
        <w:rPr>
          <w:b/>
        </w:rPr>
        <w:lastRenderedPageBreak/>
        <w:t>2.</w:t>
      </w:r>
      <w:r>
        <w:rPr>
          <w:b/>
        </w:rPr>
        <w:tab/>
        <w:t>Aggregation rules</w:t>
      </w:r>
    </w:p>
    <w:p w:rsidR="00D501C7" w:rsidRPr="00AB4735" w:rsidRDefault="00D501C7" w:rsidP="00D501C7">
      <w:pPr>
        <w:ind w:left="1134"/>
        <w:rPr>
          <w:bCs/>
          <w:color w:val="000000"/>
        </w:rPr>
      </w:pPr>
      <w:r>
        <w:rPr>
          <w:color w:val="000000"/>
        </w:rPr>
        <w:t xml:space="preserve">It is proposed to agree with the EP to specify in Article 2, scope, that this Directive </w:t>
      </w:r>
      <w:r>
        <w:rPr>
          <w:bCs/>
          <w:color w:val="000000"/>
        </w:rPr>
        <w:t>applies</w:t>
      </w:r>
      <w:r w:rsidRPr="00AB4735">
        <w:rPr>
          <w:bCs/>
          <w:color w:val="000000"/>
        </w:rPr>
        <w:t xml:space="preserve"> to a combination formed by </w:t>
      </w:r>
      <w:r w:rsidRPr="00AB4735">
        <w:rPr>
          <w:bCs/>
          <w:color w:val="000000"/>
          <w:u w:val="single"/>
        </w:rPr>
        <w:t>new</w:t>
      </w:r>
      <w:r>
        <w:rPr>
          <w:bCs/>
          <w:color w:val="000000"/>
        </w:rPr>
        <w:t xml:space="preserve"> </w:t>
      </w:r>
      <w:r w:rsidRPr="00AB4735">
        <w:rPr>
          <w:bCs/>
          <w:color w:val="000000"/>
        </w:rPr>
        <w:t>medium combustion plants</w:t>
      </w:r>
      <w:r>
        <w:rPr>
          <w:bCs/>
          <w:color w:val="000000"/>
        </w:rPr>
        <w:t>, in accordance with</w:t>
      </w:r>
      <w:r w:rsidRPr="00AB4735">
        <w:rPr>
          <w:bCs/>
          <w:color w:val="000000"/>
        </w:rPr>
        <w:t xml:space="preserve"> Article 3a</w:t>
      </w:r>
      <w:r>
        <w:rPr>
          <w:bCs/>
          <w:color w:val="000000"/>
        </w:rPr>
        <w:t>.</w:t>
      </w:r>
      <w:r w:rsidRPr="00AB4735">
        <w:rPr>
          <w:bCs/>
          <w:color w:val="000000"/>
        </w:rPr>
        <w:t xml:space="preserve"> </w:t>
      </w:r>
      <w:r>
        <w:rPr>
          <w:bCs/>
          <w:color w:val="000000"/>
        </w:rPr>
        <w:t xml:space="preserve">Furthermore, paragraph 1 of the new Article 3a as proposed by the EP (AM 34) should be acceptable. On the contrary, the Council is of the view that </w:t>
      </w:r>
      <w:r w:rsidRPr="00AB4735">
        <w:rPr>
          <w:bCs/>
          <w:iCs/>
        </w:rPr>
        <w:t xml:space="preserve">plants </w:t>
      </w:r>
      <w:r>
        <w:rPr>
          <w:bCs/>
          <w:iCs/>
        </w:rPr>
        <w:t>below 1 MW shall not fall under the scope of this Directive and its aggregation rules to avoid any overlap with Directive 2009/125/EC (eco-design Directive). The second part of EP AM 34 is therefore not acceptable.</w:t>
      </w:r>
    </w:p>
    <w:p w:rsidR="00D501C7" w:rsidRDefault="00D501C7" w:rsidP="00D501C7">
      <w:pPr>
        <w:ind w:left="567"/>
        <w:rPr>
          <w:b/>
          <w:bCs/>
        </w:rPr>
      </w:pPr>
      <w:r>
        <w:rPr>
          <w:b/>
        </w:rPr>
        <w:t>3.</w:t>
      </w:r>
      <w:r>
        <w:rPr>
          <w:b/>
        </w:rPr>
        <w:tab/>
        <w:t>Energy efficiency</w:t>
      </w:r>
      <w:r w:rsidRPr="00373120">
        <w:rPr>
          <w:b/>
          <w:bCs/>
        </w:rPr>
        <w:t xml:space="preserve"> </w:t>
      </w:r>
    </w:p>
    <w:p w:rsidR="00D501C7" w:rsidRDefault="00D501C7" w:rsidP="00D501C7">
      <w:pPr>
        <w:ind w:left="1134"/>
        <w:rPr>
          <w:color w:val="000000"/>
        </w:rPr>
      </w:pPr>
      <w:r>
        <w:rPr>
          <w:color w:val="000000"/>
        </w:rPr>
        <w:t xml:space="preserve">The </w:t>
      </w:r>
      <w:r w:rsidRPr="00AD59A8">
        <w:rPr>
          <w:color w:val="000000"/>
          <w:u w:val="single"/>
        </w:rPr>
        <w:t>Presidency</w:t>
      </w:r>
      <w:r>
        <w:rPr>
          <w:color w:val="000000"/>
        </w:rPr>
        <w:t xml:space="preserve"> proposes to highlight in a recital the importance of energy efficiency considerations in particular for operators of medium combustion plants and in the case of retrofitting and </w:t>
      </w:r>
      <w:r w:rsidR="00AD59A8">
        <w:rPr>
          <w:color w:val="000000"/>
        </w:rPr>
        <w:t>investments in order to partly reflect the EP suggestions in AM 55.</w:t>
      </w:r>
    </w:p>
    <w:p w:rsidR="00D501C7" w:rsidRDefault="00D501C7" w:rsidP="00D501C7">
      <w:pPr>
        <w:ind w:left="567"/>
        <w:rPr>
          <w:b/>
        </w:rPr>
      </w:pPr>
      <w:r>
        <w:rPr>
          <w:b/>
        </w:rPr>
        <w:t>4.</w:t>
      </w:r>
      <w:r>
        <w:rPr>
          <w:b/>
        </w:rPr>
        <w:tab/>
        <w:t>Annex III</w:t>
      </w:r>
    </w:p>
    <w:p w:rsidR="00D501C7" w:rsidRPr="00CB09CE" w:rsidRDefault="00D501C7" w:rsidP="00D501C7">
      <w:pPr>
        <w:ind w:left="1134"/>
        <w:rPr>
          <w:color w:val="000000"/>
        </w:rPr>
      </w:pPr>
      <w:r>
        <w:rPr>
          <w:color w:val="000000"/>
        </w:rPr>
        <w:t xml:space="preserve">The Council recognizes the difficult situation regarding air quality in zones </w:t>
      </w:r>
      <w:r w:rsidRPr="002A14AE">
        <w:t>not complying with EU limit values la</w:t>
      </w:r>
      <w:r>
        <w:t xml:space="preserve">id down in Directive 2008/50/EC, but at the same time does not wish to introduce provisions leading to double regulation that are disproportionate and unrealistic. According to the new text for Article 5(4) set out below, Member States concerned by such a situation have the obligation to </w:t>
      </w:r>
      <w:r w:rsidRPr="00CB09CE">
        <w:rPr>
          <w:bCs/>
          <w:iCs/>
        </w:rPr>
        <w:t>assess the need to</w:t>
      </w:r>
      <w:r w:rsidRPr="00CB09CE">
        <w:t xml:space="preserve"> apply</w:t>
      </w:r>
      <w:r>
        <w:t xml:space="preserve">, </w:t>
      </w:r>
      <w:r w:rsidRPr="00CB09CE">
        <w:t>for medium combustion plants</w:t>
      </w:r>
      <w:r>
        <w:t>,</w:t>
      </w:r>
      <w:r w:rsidRPr="00CB09CE">
        <w:t xml:space="preserve"> </w:t>
      </w:r>
      <w:r>
        <w:t>stricter requirements than laid down in this Directive. They should assess</w:t>
      </w:r>
      <w:r>
        <w:rPr>
          <w:iCs/>
        </w:rPr>
        <w:t xml:space="preserve"> </w:t>
      </w:r>
      <w:r w:rsidRPr="00CB09CE">
        <w:rPr>
          <w:iCs/>
        </w:rPr>
        <w:t>possible impacts</w:t>
      </w:r>
      <w:r>
        <w:rPr>
          <w:iCs/>
        </w:rPr>
        <w:t xml:space="preserve"> of such measures as suggested by the EP in AM 9.</w:t>
      </w:r>
    </w:p>
    <w:p w:rsidR="00D501C7" w:rsidRDefault="00AD59A8" w:rsidP="00D501C7">
      <w:pPr>
        <w:ind w:left="567"/>
        <w:rPr>
          <w:color w:val="000000"/>
        </w:rPr>
      </w:pPr>
      <w:r>
        <w:rPr>
          <w:color w:val="000000"/>
        </w:rPr>
        <w:t>A full four-</w:t>
      </w:r>
      <w:r w:rsidR="00D501C7">
        <w:rPr>
          <w:color w:val="000000"/>
        </w:rPr>
        <w:t xml:space="preserve">column table will be provided to delegations after the first </w:t>
      </w:r>
      <w:r w:rsidR="00D501C7" w:rsidRPr="00AE4174">
        <w:rPr>
          <w:color w:val="000000"/>
        </w:rPr>
        <w:t xml:space="preserve">technical meeting </w:t>
      </w:r>
      <w:r w:rsidR="00D501C7">
        <w:rPr>
          <w:color w:val="000000"/>
        </w:rPr>
        <w:t xml:space="preserve">scheduled for </w:t>
      </w:r>
      <w:r w:rsidR="00D501C7" w:rsidRPr="00AE4174">
        <w:rPr>
          <w:color w:val="000000"/>
        </w:rPr>
        <w:t>26 May</w:t>
      </w:r>
      <w:r w:rsidR="00D501C7">
        <w:rPr>
          <w:color w:val="000000"/>
        </w:rPr>
        <w:t xml:space="preserve"> in order to take account of other elements, of a more technical or editorial nature, on which agreement in principle between the two co-legislators could possibly be found.  </w:t>
      </w:r>
    </w:p>
    <w:p w:rsidR="00D501C7" w:rsidRDefault="00D501C7" w:rsidP="00D501C7">
      <w:pPr>
        <w:ind w:left="567" w:hanging="567"/>
        <w:rPr>
          <w:b/>
          <w:u w:val="single"/>
        </w:rPr>
      </w:pPr>
      <w:r>
        <w:rPr>
          <w:b/>
        </w:rPr>
        <w:br w:type="page"/>
      </w:r>
      <w:r w:rsidRPr="0075018E">
        <w:rPr>
          <w:b/>
        </w:rPr>
        <w:lastRenderedPageBreak/>
        <w:t>III.</w:t>
      </w:r>
      <w:r w:rsidRPr="0075018E">
        <w:rPr>
          <w:b/>
        </w:rPr>
        <w:tab/>
      </w:r>
      <w:r w:rsidRPr="00D45D90">
        <w:rPr>
          <w:b/>
          <w:u w:val="single"/>
        </w:rPr>
        <w:t>C</w:t>
      </w:r>
      <w:r>
        <w:rPr>
          <w:b/>
          <w:u w:val="single"/>
        </w:rPr>
        <w:t>ONCLUSION</w:t>
      </w:r>
    </w:p>
    <w:p w:rsidR="00D501C7" w:rsidRDefault="00D501C7" w:rsidP="00D501C7">
      <w:pPr>
        <w:ind w:left="567"/>
      </w:pPr>
      <w:r w:rsidRPr="008A4069">
        <w:t xml:space="preserve">The </w:t>
      </w:r>
      <w:r w:rsidRPr="008A4069">
        <w:rPr>
          <w:u w:val="single"/>
        </w:rPr>
        <w:t>Permanent Representatives Committee</w:t>
      </w:r>
      <w:r w:rsidRPr="008A4069">
        <w:t xml:space="preserve"> is invited to examine the </w:t>
      </w:r>
      <w:r w:rsidRPr="00AD59A8">
        <w:t>Presidency</w:t>
      </w:r>
      <w:r w:rsidRPr="008A4069">
        <w:t xml:space="preserve"> compromise text set out in </w:t>
      </w:r>
      <w:r>
        <w:t xml:space="preserve">the </w:t>
      </w:r>
      <w:r w:rsidRPr="00612C73">
        <w:rPr>
          <w:u w:val="single"/>
        </w:rPr>
        <w:t>Annex</w:t>
      </w:r>
      <w:r>
        <w:t xml:space="preserve"> to </w:t>
      </w:r>
      <w:r w:rsidRPr="008A4069">
        <w:t xml:space="preserve">this </w:t>
      </w:r>
      <w:r>
        <w:t>n</w:t>
      </w:r>
      <w:r w:rsidRPr="008A4069">
        <w:t>ote with a view to agreeing on a revised mandate</w:t>
      </w:r>
      <w:r w:rsidR="00AD59A8">
        <w:t xml:space="preserve"> in view of the second informal trilogue</w:t>
      </w:r>
      <w:r w:rsidRPr="008A4069">
        <w:t>.</w:t>
      </w:r>
      <w:r>
        <w:t xml:space="preserve"> </w:t>
      </w:r>
      <w:r w:rsidRPr="008A4069">
        <w:t xml:space="preserve">The </w:t>
      </w:r>
      <w:r w:rsidRPr="008A4069">
        <w:rPr>
          <w:u w:val="single"/>
        </w:rPr>
        <w:t>Presidency</w:t>
      </w:r>
      <w:r w:rsidRPr="008A4069">
        <w:t xml:space="preserve"> will report on the outcome of the </w:t>
      </w:r>
      <w:r>
        <w:t xml:space="preserve">second </w:t>
      </w:r>
      <w:r w:rsidRPr="008A4069">
        <w:t>informal trilogue and propose, where necessary, adjust</w:t>
      </w:r>
      <w:r>
        <w:t>ments to the Council</w:t>
      </w:r>
      <w:r w:rsidR="00AD59A8">
        <w:t>'s</w:t>
      </w:r>
      <w:r>
        <w:t xml:space="preserve"> general approach </w:t>
      </w:r>
      <w:r w:rsidRPr="008A4069">
        <w:t>to be discussed by this Committee thereafter.</w:t>
      </w:r>
    </w:p>
    <w:p w:rsidR="00D501C7" w:rsidRDefault="00D501C7" w:rsidP="00D501C7">
      <w:pPr>
        <w:ind w:left="567"/>
      </w:pPr>
      <w:r>
        <w:t xml:space="preserve">After the second </w:t>
      </w:r>
      <w:r w:rsidR="00AD59A8">
        <w:t xml:space="preserve">informal </w:t>
      </w:r>
      <w:r>
        <w:t xml:space="preserve">trilogue, there are at least two </w:t>
      </w:r>
      <w:r w:rsidRPr="008A4069">
        <w:t>technical meeting</w:t>
      </w:r>
      <w:r>
        <w:t xml:space="preserve">s </w:t>
      </w:r>
      <w:r w:rsidRPr="008A4069">
        <w:t>scheduled</w:t>
      </w:r>
      <w:r>
        <w:t>, on 4 and 12 June 2015</w:t>
      </w:r>
      <w:r w:rsidRPr="008A4069">
        <w:t xml:space="preserve">. The third informal trilogue should take place on </w:t>
      </w:r>
      <w:r>
        <w:t xml:space="preserve">23 June </w:t>
      </w:r>
      <w:r w:rsidRPr="008A4069">
        <w:t>201</w:t>
      </w:r>
      <w:r>
        <w:t>5</w:t>
      </w:r>
      <w:r w:rsidRPr="008A4069">
        <w:t>.</w:t>
      </w:r>
    </w:p>
    <w:p w:rsidR="00D501C7" w:rsidRDefault="00D501C7" w:rsidP="00D501C7">
      <w:pPr>
        <w:ind w:left="567"/>
      </w:pPr>
    </w:p>
    <w:p w:rsidR="00D501C7" w:rsidRDefault="00D501C7" w:rsidP="00D501C7">
      <w:pPr>
        <w:ind w:left="567"/>
        <w:jc w:val="center"/>
      </w:pPr>
      <w:r>
        <w:t>________________</w:t>
      </w:r>
    </w:p>
    <w:p w:rsidR="00D501C7" w:rsidRDefault="00D501C7" w:rsidP="00644E63">
      <w:pPr>
        <w:sectPr w:rsidR="00D501C7" w:rsidSect="00284EB9">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D501C7" w:rsidRDefault="00D501C7" w:rsidP="00D501C7">
      <w:pPr>
        <w:pStyle w:val="Annex"/>
      </w:pPr>
      <w:r w:rsidRPr="00252744">
        <w:t>ANNEX</w:t>
      </w:r>
    </w:p>
    <w:p w:rsidR="00D501C7" w:rsidRPr="00672612" w:rsidRDefault="00D501C7" w:rsidP="00D501C7">
      <w:pPr>
        <w:pStyle w:val="Typedudocument"/>
        <w:spacing w:before="0"/>
        <w:rPr>
          <w:lang w:val="en-GB"/>
        </w:rPr>
      </w:pPr>
      <w:r>
        <w:rPr>
          <w:lang w:val="en-GB"/>
        </w:rPr>
        <w:t>Proposal for a Directive of the European Parliament and of t</w:t>
      </w:r>
      <w:r w:rsidRPr="00672612">
        <w:rPr>
          <w:lang w:val="en-GB"/>
        </w:rPr>
        <w:t xml:space="preserve">he Council </w:t>
      </w:r>
    </w:p>
    <w:p w:rsidR="00D501C7" w:rsidRPr="00672612" w:rsidRDefault="00D501C7" w:rsidP="00D501C7">
      <w:pPr>
        <w:pStyle w:val="Typedudocument"/>
        <w:spacing w:before="0"/>
        <w:rPr>
          <w:lang w:val="en-GB"/>
        </w:rPr>
      </w:pPr>
      <w:r w:rsidRPr="00672612">
        <w:rPr>
          <w:lang w:val="en-GB"/>
        </w:rPr>
        <w:t>on the limitation of emissions of certain pollutants into the air from medium combustion plants</w:t>
      </w:r>
    </w:p>
    <w:p w:rsidR="000A4DB5" w:rsidRDefault="000A4DB5" w:rsidP="000A4DB5">
      <w:pPr>
        <w:spacing w:before="0" w:after="0" w:line="240" w:lineRule="auto"/>
        <w:rPr>
          <w:b/>
          <w:lang w:eastAsia="en-GB"/>
        </w:rPr>
      </w:pPr>
    </w:p>
    <w:p w:rsidR="000A4DB5" w:rsidRDefault="000A4DB5" w:rsidP="000A4DB5">
      <w:pPr>
        <w:spacing w:before="0" w:after="0" w:line="240" w:lineRule="auto"/>
        <w:rPr>
          <w:lang w:eastAsia="en-GB"/>
        </w:rPr>
      </w:pPr>
      <w:r w:rsidRPr="000A4DB5">
        <w:rPr>
          <w:b/>
          <w:lang w:eastAsia="en-GB"/>
        </w:rPr>
        <w:t>1.</w:t>
      </w:r>
      <w:r w:rsidRPr="000A4DB5">
        <w:rPr>
          <w:b/>
          <w:lang w:eastAsia="en-GB"/>
        </w:rPr>
        <w:tab/>
        <w:t>Subject matter - carbon monoxide</w:t>
      </w:r>
      <w:r w:rsidRPr="000A4DB5">
        <w:rPr>
          <w:bCs/>
          <w:lang w:eastAsia="en-GB"/>
        </w:rPr>
        <w:t xml:space="preserve"> (</w:t>
      </w:r>
      <w:r w:rsidRPr="000A4DB5">
        <w:rPr>
          <w:lang w:eastAsia="en-GB"/>
        </w:rPr>
        <w:t>AM 13, AM 72, AM 74, AM 82, Council's recital 10a new, part of AM 11, part of AM 76)</w:t>
      </w:r>
    </w:p>
    <w:p w:rsidR="000A4DB5" w:rsidRDefault="000A4DB5" w:rsidP="000A4DB5">
      <w:pPr>
        <w:spacing w:before="0" w:after="0" w:line="240" w:lineRule="auto"/>
        <w:rPr>
          <w:b/>
          <w:lang w:eastAsia="en-GB"/>
        </w:rPr>
      </w:pPr>
    </w:p>
    <w:tbl>
      <w:tblPr>
        <w:tblStyle w:val="TableGrid"/>
        <w:tblW w:w="14567" w:type="dxa"/>
        <w:tblLook w:val="04A0" w:firstRow="1" w:lastRow="0" w:firstColumn="1" w:lastColumn="0" w:noHBand="0" w:noVBand="1"/>
      </w:tblPr>
      <w:tblGrid>
        <w:gridCol w:w="3485"/>
        <w:gridCol w:w="10"/>
        <w:gridCol w:w="28"/>
        <w:gridCol w:w="28"/>
        <w:gridCol w:w="3329"/>
        <w:gridCol w:w="29"/>
        <w:gridCol w:w="14"/>
        <w:gridCol w:w="9"/>
        <w:gridCol w:w="3083"/>
        <w:gridCol w:w="17"/>
        <w:gridCol w:w="10"/>
        <w:gridCol w:w="27"/>
        <w:gridCol w:w="4498"/>
      </w:tblGrid>
      <w:tr w:rsidR="000A4DB5" w:rsidRPr="00672612" w:rsidTr="00B206E9">
        <w:trPr>
          <w:tblHeader/>
        </w:trPr>
        <w:tc>
          <w:tcPr>
            <w:tcW w:w="3523" w:type="dxa"/>
            <w:gridSpan w:val="3"/>
            <w:shd w:val="clear" w:color="auto" w:fill="7F7F7F" w:themeFill="text1" w:themeFillTint="80"/>
          </w:tcPr>
          <w:p w:rsidR="000A4DB5" w:rsidRPr="00672612" w:rsidRDefault="000A4DB5" w:rsidP="00970BCD">
            <w:pPr>
              <w:widowControl w:val="0"/>
              <w:jc w:val="center"/>
              <w:rPr>
                <w:b/>
                <w:szCs w:val="20"/>
                <w:lang w:eastAsia="fr-BE"/>
              </w:rPr>
            </w:pPr>
            <w:r>
              <w:rPr>
                <w:b/>
                <w:szCs w:val="20"/>
                <w:lang w:eastAsia="fr-BE"/>
              </w:rPr>
              <w:t>Commission p</w:t>
            </w:r>
            <w:r w:rsidRPr="00672612">
              <w:rPr>
                <w:b/>
                <w:szCs w:val="20"/>
                <w:lang w:eastAsia="fr-BE"/>
              </w:rPr>
              <w:t>roposal</w:t>
            </w:r>
          </w:p>
        </w:tc>
        <w:tc>
          <w:tcPr>
            <w:tcW w:w="3386" w:type="dxa"/>
            <w:gridSpan w:val="3"/>
            <w:shd w:val="clear" w:color="auto" w:fill="7F7F7F" w:themeFill="text1" w:themeFillTint="80"/>
          </w:tcPr>
          <w:p w:rsidR="000A4DB5" w:rsidRPr="00672612" w:rsidRDefault="000A4DB5" w:rsidP="00970BCD">
            <w:pPr>
              <w:jc w:val="center"/>
            </w:pPr>
            <w:r w:rsidRPr="00672612">
              <w:rPr>
                <w:b/>
              </w:rPr>
              <w:t>EP Amendments</w:t>
            </w:r>
          </w:p>
        </w:tc>
        <w:tc>
          <w:tcPr>
            <w:tcW w:w="3133" w:type="dxa"/>
            <w:gridSpan w:val="5"/>
            <w:shd w:val="clear" w:color="auto" w:fill="7F7F7F" w:themeFill="text1" w:themeFillTint="80"/>
          </w:tcPr>
          <w:p w:rsidR="000A4DB5" w:rsidRPr="00672612" w:rsidRDefault="000A4DB5" w:rsidP="00970BCD">
            <w:pPr>
              <w:jc w:val="center"/>
            </w:pPr>
            <w:r>
              <w:rPr>
                <w:b/>
              </w:rPr>
              <w:t>Council p</w:t>
            </w:r>
            <w:r w:rsidRPr="00672612">
              <w:rPr>
                <w:b/>
              </w:rPr>
              <w:t>osition</w:t>
            </w:r>
          </w:p>
        </w:tc>
        <w:tc>
          <w:tcPr>
            <w:tcW w:w="4525" w:type="dxa"/>
            <w:gridSpan w:val="2"/>
            <w:shd w:val="clear" w:color="auto" w:fill="7F7F7F" w:themeFill="text1" w:themeFillTint="80"/>
          </w:tcPr>
          <w:p w:rsidR="000A4DB5" w:rsidRPr="00672612" w:rsidRDefault="000A4DB5" w:rsidP="00970BCD">
            <w:pPr>
              <w:jc w:val="center"/>
              <w:rPr>
                <w:b/>
                <w:bCs/>
              </w:rPr>
            </w:pPr>
            <w:r w:rsidRPr="00672612">
              <w:rPr>
                <w:b/>
                <w:bCs/>
              </w:rPr>
              <w:t>Comments</w:t>
            </w:r>
          </w:p>
        </w:tc>
      </w:tr>
      <w:tr w:rsidR="000A4DB5" w:rsidRPr="000A4DB5" w:rsidTr="00B206E9">
        <w:tc>
          <w:tcPr>
            <w:tcW w:w="14567" w:type="dxa"/>
            <w:gridSpan w:val="13"/>
          </w:tcPr>
          <w:p w:rsidR="000A4DB5" w:rsidRPr="000A4DB5" w:rsidRDefault="000A4DB5" w:rsidP="000A4DB5">
            <w:pPr>
              <w:spacing w:before="0" w:after="0" w:line="240" w:lineRule="auto"/>
              <w:jc w:val="center"/>
              <w:rPr>
                <w:b/>
                <w:bCs/>
                <w:lang w:val="de-DE" w:eastAsia="de-DE"/>
              </w:rPr>
            </w:pPr>
            <w:r w:rsidRPr="000A4DB5">
              <w:rPr>
                <w:b/>
                <w:bCs/>
                <w:lang w:val="de-DE" w:eastAsia="de-DE"/>
              </w:rPr>
              <w:t>Amendment 13</w:t>
            </w:r>
          </w:p>
          <w:p w:rsidR="000A4DB5" w:rsidRPr="000A4DB5" w:rsidRDefault="000A4DB5" w:rsidP="000A4DB5">
            <w:pPr>
              <w:spacing w:before="0" w:after="0" w:line="240" w:lineRule="auto"/>
              <w:jc w:val="center"/>
              <w:rPr>
                <w:lang w:val="de-DE" w:eastAsia="de-DE"/>
              </w:rPr>
            </w:pPr>
            <w:proofErr w:type="spellStart"/>
            <w:r w:rsidRPr="000A4DB5">
              <w:rPr>
                <w:b/>
                <w:bCs/>
                <w:lang w:val="de-DE" w:eastAsia="de-DE"/>
              </w:rPr>
              <w:t>Article</w:t>
            </w:r>
            <w:proofErr w:type="spellEnd"/>
            <w:r w:rsidRPr="000A4DB5">
              <w:rPr>
                <w:b/>
                <w:bCs/>
                <w:lang w:val="de-DE" w:eastAsia="de-DE"/>
              </w:rPr>
              <w:t xml:space="preserve"> 1 – </w:t>
            </w:r>
            <w:proofErr w:type="spellStart"/>
            <w:r w:rsidRPr="000A4DB5">
              <w:rPr>
                <w:b/>
                <w:bCs/>
                <w:lang w:val="de-DE" w:eastAsia="de-DE"/>
              </w:rPr>
              <w:t>subparagraph</w:t>
            </w:r>
            <w:proofErr w:type="spellEnd"/>
            <w:r w:rsidRPr="000A4DB5">
              <w:rPr>
                <w:b/>
                <w:bCs/>
                <w:lang w:val="de-DE" w:eastAsia="de-DE"/>
              </w:rPr>
              <w:t xml:space="preserve"> 1 a (</w:t>
            </w:r>
            <w:proofErr w:type="spellStart"/>
            <w:r w:rsidRPr="000A4DB5">
              <w:rPr>
                <w:b/>
                <w:bCs/>
                <w:lang w:val="de-DE" w:eastAsia="de-DE"/>
              </w:rPr>
              <w:t>new</w:t>
            </w:r>
            <w:proofErr w:type="spellEnd"/>
            <w:r w:rsidRPr="000A4DB5">
              <w:rPr>
                <w:b/>
                <w:bCs/>
                <w:lang w:val="de-DE" w:eastAsia="de-DE"/>
              </w:rPr>
              <w:t>)</w:t>
            </w:r>
          </w:p>
        </w:tc>
      </w:tr>
      <w:tr w:rsidR="000A4DB5" w:rsidRPr="000A4DB5" w:rsidTr="00B206E9">
        <w:tc>
          <w:tcPr>
            <w:tcW w:w="3523" w:type="dxa"/>
            <w:gridSpan w:val="3"/>
          </w:tcPr>
          <w:p w:rsidR="000A4DB5" w:rsidRPr="000A4DB5" w:rsidRDefault="000A4DB5" w:rsidP="000A4DB5">
            <w:pPr>
              <w:widowControl w:val="0"/>
              <w:spacing w:before="0" w:after="0" w:line="240" w:lineRule="auto"/>
              <w:jc w:val="center"/>
              <w:rPr>
                <w:i/>
                <w:noProof/>
                <w:szCs w:val="20"/>
                <w:lang w:val="de-DE" w:eastAsia="de-DE"/>
              </w:rPr>
            </w:pPr>
          </w:p>
        </w:tc>
        <w:tc>
          <w:tcPr>
            <w:tcW w:w="3386" w:type="dxa"/>
            <w:gridSpan w:val="3"/>
          </w:tcPr>
          <w:p w:rsidR="000A4DB5" w:rsidRPr="000A4DB5" w:rsidRDefault="000A4DB5" w:rsidP="000A4DB5">
            <w:pPr>
              <w:autoSpaceDE w:val="0"/>
              <w:autoSpaceDN w:val="0"/>
              <w:adjustRightInd w:val="0"/>
              <w:spacing w:before="0" w:after="0" w:line="240" w:lineRule="auto"/>
              <w:rPr>
                <w:b/>
                <w:bCs/>
                <w:i/>
                <w:iCs/>
                <w:lang w:eastAsia="de-DE"/>
              </w:rPr>
            </w:pPr>
            <w:r w:rsidRPr="000A4DB5">
              <w:rPr>
                <w:b/>
                <w:i/>
                <w:lang w:eastAsia="de-DE"/>
              </w:rPr>
              <w:t>This Directive lays down rules also to monitor emissions of carbon monoxide.</w:t>
            </w:r>
          </w:p>
        </w:tc>
        <w:tc>
          <w:tcPr>
            <w:tcW w:w="3106" w:type="dxa"/>
            <w:gridSpan w:val="3"/>
          </w:tcPr>
          <w:p w:rsidR="000A4DB5" w:rsidRPr="000A4DB5" w:rsidRDefault="000A4DB5" w:rsidP="000A4DB5">
            <w:pPr>
              <w:spacing w:before="0" w:after="0" w:line="240" w:lineRule="auto"/>
              <w:rPr>
                <w:i/>
                <w:szCs w:val="20"/>
                <w:lang w:eastAsia="de-DE"/>
              </w:rPr>
            </w:pPr>
          </w:p>
        </w:tc>
        <w:tc>
          <w:tcPr>
            <w:tcW w:w="4552" w:type="dxa"/>
            <w:gridSpan w:val="4"/>
          </w:tcPr>
          <w:p w:rsidR="000A4DB5" w:rsidRPr="000A4DB5" w:rsidRDefault="000A4DB5" w:rsidP="000A4DB5">
            <w:pPr>
              <w:spacing w:before="0" w:after="0" w:line="240" w:lineRule="auto"/>
              <w:rPr>
                <w:lang w:eastAsia="de-DE"/>
              </w:rPr>
            </w:pPr>
            <w:r w:rsidRPr="000A4DB5">
              <w:rPr>
                <w:b/>
                <w:i/>
                <w:lang w:eastAsia="de-DE"/>
              </w:rPr>
              <w:t xml:space="preserve">This Directive lays down rules also to monitor emissions of carbon monoxide </w:t>
            </w:r>
            <w:r w:rsidRPr="000A4DB5">
              <w:rPr>
                <w:b/>
                <w:i/>
                <w:u w:val="single"/>
                <w:lang w:eastAsia="de-DE"/>
              </w:rPr>
              <w:t>for gas fired plants</w:t>
            </w:r>
            <w:r w:rsidRPr="000A4DB5">
              <w:rPr>
                <w:b/>
                <w:i/>
                <w:lang w:eastAsia="de-DE"/>
              </w:rPr>
              <w:t>.</w:t>
            </w:r>
          </w:p>
        </w:tc>
      </w:tr>
      <w:tr w:rsidR="000A4DB5" w:rsidRPr="00284EB9" w:rsidTr="00B206E9">
        <w:tc>
          <w:tcPr>
            <w:tcW w:w="14567" w:type="dxa"/>
            <w:gridSpan w:val="13"/>
          </w:tcPr>
          <w:p w:rsidR="000A4DB5" w:rsidRPr="000A4DB5" w:rsidRDefault="000A4DB5" w:rsidP="000A4DB5">
            <w:pPr>
              <w:spacing w:before="0" w:after="0" w:line="240" w:lineRule="auto"/>
              <w:jc w:val="center"/>
              <w:rPr>
                <w:b/>
                <w:bCs/>
                <w:lang w:val="fr-BE" w:eastAsia="de-DE"/>
              </w:rPr>
            </w:pPr>
            <w:r w:rsidRPr="000A4DB5">
              <w:rPr>
                <w:b/>
                <w:bCs/>
                <w:lang w:val="fr-BE" w:eastAsia="de-DE"/>
              </w:rPr>
              <w:t>Amendment 72</w:t>
            </w:r>
          </w:p>
          <w:p w:rsidR="000A4DB5" w:rsidRPr="000A4DB5" w:rsidRDefault="000A4DB5" w:rsidP="000A4DB5">
            <w:pPr>
              <w:spacing w:before="0" w:after="0" w:line="240" w:lineRule="auto"/>
              <w:jc w:val="center"/>
              <w:rPr>
                <w:lang w:val="fr-BE" w:eastAsia="de-DE"/>
              </w:rPr>
            </w:pPr>
            <w:r w:rsidRPr="000A4DB5">
              <w:rPr>
                <w:b/>
                <w:bCs/>
                <w:lang w:val="fr-BE" w:eastAsia="de-DE"/>
              </w:rPr>
              <w:t>Article 12 - paragraph 1 a (new)</w:t>
            </w:r>
          </w:p>
        </w:tc>
      </w:tr>
      <w:tr w:rsidR="000A4DB5" w:rsidRPr="000A4DB5" w:rsidTr="00B206E9">
        <w:tc>
          <w:tcPr>
            <w:tcW w:w="3523" w:type="dxa"/>
            <w:gridSpan w:val="3"/>
          </w:tcPr>
          <w:p w:rsidR="000A4DB5" w:rsidRPr="000A4DB5" w:rsidRDefault="000A4DB5" w:rsidP="000A4DB5">
            <w:pPr>
              <w:spacing w:before="0" w:after="0" w:line="240" w:lineRule="auto"/>
              <w:rPr>
                <w:i/>
                <w:noProof/>
                <w:szCs w:val="20"/>
                <w:lang w:val="fr-BE" w:eastAsia="de-DE"/>
              </w:rPr>
            </w:pPr>
          </w:p>
        </w:tc>
        <w:tc>
          <w:tcPr>
            <w:tcW w:w="3400" w:type="dxa"/>
            <w:gridSpan w:val="4"/>
          </w:tcPr>
          <w:p w:rsidR="000A4DB5" w:rsidRPr="000A4DB5" w:rsidRDefault="000A4DB5" w:rsidP="000A4DB5">
            <w:pPr>
              <w:autoSpaceDE w:val="0"/>
              <w:autoSpaceDN w:val="0"/>
              <w:adjustRightInd w:val="0"/>
              <w:spacing w:before="0" w:after="0" w:line="240" w:lineRule="auto"/>
              <w:rPr>
                <w:b/>
                <w:bCs/>
                <w:i/>
                <w:iCs/>
                <w:lang w:eastAsia="de-DE"/>
              </w:rPr>
            </w:pPr>
            <w:r w:rsidRPr="000A4DB5">
              <w:rPr>
                <w:b/>
                <w:i/>
                <w:lang w:eastAsia="de-DE"/>
              </w:rPr>
              <w:t>1a. Member States shall also report to the Commission, by 31 December 2024, an estimate of the total annual emissions of carbon monoxide from these plants, grouped by fuel type and capacity class.</w:t>
            </w:r>
          </w:p>
        </w:tc>
        <w:tc>
          <w:tcPr>
            <w:tcW w:w="3109" w:type="dxa"/>
            <w:gridSpan w:val="3"/>
          </w:tcPr>
          <w:p w:rsidR="000A4DB5" w:rsidRPr="000A4DB5" w:rsidRDefault="000A4DB5" w:rsidP="000A4DB5">
            <w:pPr>
              <w:autoSpaceDE w:val="0"/>
              <w:autoSpaceDN w:val="0"/>
              <w:adjustRightInd w:val="0"/>
              <w:spacing w:before="0" w:after="0" w:line="240" w:lineRule="auto"/>
              <w:rPr>
                <w:b/>
                <w:bCs/>
                <w:i/>
                <w:iCs/>
                <w:lang w:eastAsia="de-DE"/>
              </w:rPr>
            </w:pPr>
          </w:p>
        </w:tc>
        <w:tc>
          <w:tcPr>
            <w:tcW w:w="4535" w:type="dxa"/>
            <w:gridSpan w:val="3"/>
          </w:tcPr>
          <w:p w:rsidR="000A4DB5" w:rsidRPr="000A4DB5" w:rsidRDefault="000A4DB5" w:rsidP="000A4DB5">
            <w:pPr>
              <w:autoSpaceDE w:val="0"/>
              <w:autoSpaceDN w:val="0"/>
              <w:adjustRightInd w:val="0"/>
              <w:spacing w:before="0" w:after="0" w:line="240" w:lineRule="auto"/>
              <w:rPr>
                <w:b/>
                <w:bCs/>
                <w:i/>
                <w:iCs/>
                <w:lang w:eastAsia="de-DE"/>
              </w:rPr>
            </w:pPr>
            <w:r w:rsidRPr="000A4DB5">
              <w:rPr>
                <w:b/>
                <w:i/>
                <w:lang w:eastAsia="de-DE"/>
              </w:rPr>
              <w:t xml:space="preserve">1a. Member States shall also report to the Commission, by [31 December 2024], an estimate of the total annual emissions of carbon monoxide from </w:t>
            </w:r>
            <w:r w:rsidRPr="000A4DB5">
              <w:rPr>
                <w:b/>
                <w:i/>
                <w:u w:val="single"/>
                <w:lang w:eastAsia="de-DE"/>
              </w:rPr>
              <w:t>gas fired</w:t>
            </w:r>
            <w:r w:rsidRPr="000A4DB5">
              <w:rPr>
                <w:b/>
                <w:i/>
                <w:lang w:eastAsia="de-DE"/>
              </w:rPr>
              <w:t xml:space="preserve"> plants, grouped by […] capacity class.</w:t>
            </w:r>
          </w:p>
        </w:tc>
      </w:tr>
      <w:tr w:rsidR="000A4DB5" w:rsidRPr="000A4DB5" w:rsidTr="00B206E9">
        <w:tc>
          <w:tcPr>
            <w:tcW w:w="14567" w:type="dxa"/>
            <w:gridSpan w:val="13"/>
          </w:tcPr>
          <w:p w:rsidR="000A4DB5" w:rsidRPr="000A4DB5" w:rsidRDefault="000A4DB5" w:rsidP="000A4DB5">
            <w:pPr>
              <w:spacing w:before="0" w:after="0" w:line="240" w:lineRule="auto"/>
              <w:jc w:val="center"/>
              <w:rPr>
                <w:b/>
                <w:bCs/>
                <w:lang w:val="de-DE" w:eastAsia="de-DE"/>
              </w:rPr>
            </w:pPr>
            <w:r w:rsidRPr="000A4DB5">
              <w:rPr>
                <w:b/>
                <w:bCs/>
                <w:lang w:val="de-DE" w:eastAsia="de-DE"/>
              </w:rPr>
              <w:t>Amendment 74</w:t>
            </w:r>
          </w:p>
          <w:p w:rsidR="000A4DB5" w:rsidRPr="000A4DB5" w:rsidRDefault="000A4DB5" w:rsidP="000A4DB5">
            <w:pPr>
              <w:spacing w:before="0" w:after="0" w:line="240" w:lineRule="auto"/>
              <w:jc w:val="center"/>
              <w:rPr>
                <w:lang w:val="de-DE" w:eastAsia="de-DE"/>
              </w:rPr>
            </w:pPr>
            <w:proofErr w:type="spellStart"/>
            <w:r w:rsidRPr="000A4DB5">
              <w:rPr>
                <w:b/>
                <w:bCs/>
                <w:lang w:val="de-DE" w:eastAsia="de-DE"/>
              </w:rPr>
              <w:t>Article</w:t>
            </w:r>
            <w:proofErr w:type="spellEnd"/>
            <w:r w:rsidRPr="000A4DB5">
              <w:rPr>
                <w:b/>
                <w:bCs/>
                <w:lang w:val="de-DE" w:eastAsia="de-DE"/>
              </w:rPr>
              <w:t xml:space="preserve"> 12 - </w:t>
            </w:r>
            <w:proofErr w:type="spellStart"/>
            <w:r w:rsidRPr="000A4DB5">
              <w:rPr>
                <w:b/>
                <w:bCs/>
                <w:lang w:val="de-DE" w:eastAsia="de-DE"/>
              </w:rPr>
              <w:t>paragraph</w:t>
            </w:r>
            <w:proofErr w:type="spellEnd"/>
            <w:r w:rsidRPr="000A4DB5">
              <w:rPr>
                <w:b/>
                <w:bCs/>
                <w:lang w:val="de-DE" w:eastAsia="de-DE"/>
              </w:rPr>
              <w:t xml:space="preserve"> 2 - </w:t>
            </w:r>
            <w:proofErr w:type="spellStart"/>
            <w:r w:rsidRPr="000A4DB5">
              <w:rPr>
                <w:b/>
                <w:bCs/>
                <w:lang w:val="de-DE" w:eastAsia="de-DE"/>
              </w:rPr>
              <w:t>subparagraph</w:t>
            </w:r>
            <w:proofErr w:type="spellEnd"/>
            <w:r w:rsidRPr="000A4DB5">
              <w:rPr>
                <w:b/>
                <w:bCs/>
                <w:lang w:val="de-DE" w:eastAsia="de-DE"/>
              </w:rPr>
              <w:t xml:space="preserve"> 2</w:t>
            </w:r>
          </w:p>
        </w:tc>
      </w:tr>
      <w:tr w:rsidR="000A4DB5" w:rsidRPr="000A4DB5" w:rsidTr="00B206E9">
        <w:tc>
          <w:tcPr>
            <w:tcW w:w="3551" w:type="dxa"/>
            <w:gridSpan w:val="4"/>
          </w:tcPr>
          <w:p w:rsidR="000A4DB5" w:rsidRPr="000A4DB5" w:rsidRDefault="000A4DB5" w:rsidP="000A4DB5">
            <w:pPr>
              <w:spacing w:before="0" w:after="0" w:line="240" w:lineRule="auto"/>
              <w:rPr>
                <w:lang w:eastAsia="de-DE"/>
              </w:rPr>
            </w:pPr>
            <w:r w:rsidRPr="000A4DB5">
              <w:rPr>
                <w:noProof/>
                <w:szCs w:val="20"/>
                <w:lang w:eastAsia="de-DE"/>
              </w:rPr>
              <w:t>The reports drawn up under the first subparagraph shall contain qualitative and quantitative information on the implementation of this Directive, any action taken to verify compliance of the operation of medium combustion plants with this Directive and any enforcement action taken for the purposes thereof.</w:t>
            </w:r>
          </w:p>
        </w:tc>
        <w:tc>
          <w:tcPr>
            <w:tcW w:w="3381" w:type="dxa"/>
            <w:gridSpan w:val="4"/>
          </w:tcPr>
          <w:p w:rsidR="000A4DB5" w:rsidRPr="000A4DB5" w:rsidRDefault="000A4DB5" w:rsidP="000A4DB5">
            <w:pPr>
              <w:autoSpaceDE w:val="0"/>
              <w:autoSpaceDN w:val="0"/>
              <w:adjustRightInd w:val="0"/>
              <w:spacing w:before="0" w:after="0" w:line="240" w:lineRule="auto"/>
              <w:rPr>
                <w:b/>
                <w:bCs/>
                <w:i/>
                <w:iCs/>
                <w:lang w:eastAsia="de-DE"/>
              </w:rPr>
            </w:pPr>
            <w:r w:rsidRPr="000A4DB5">
              <w:rPr>
                <w:lang w:eastAsia="de-DE"/>
              </w:rPr>
              <w:t xml:space="preserve">The reports drawn up under </w:t>
            </w:r>
            <w:r w:rsidRPr="000A4DB5">
              <w:rPr>
                <w:b/>
                <w:i/>
                <w:lang w:eastAsia="de-DE"/>
              </w:rPr>
              <w:t xml:space="preserve">paragraphs 1 and 1a and </w:t>
            </w:r>
            <w:r w:rsidRPr="000A4DB5">
              <w:rPr>
                <w:lang w:eastAsia="de-DE"/>
              </w:rPr>
              <w:t>the first</w:t>
            </w:r>
            <w:r w:rsidRPr="000A4DB5">
              <w:rPr>
                <w:b/>
                <w:i/>
                <w:lang w:eastAsia="de-DE"/>
              </w:rPr>
              <w:t> </w:t>
            </w:r>
            <w:r w:rsidRPr="000A4DB5">
              <w:rPr>
                <w:lang w:eastAsia="de-DE"/>
              </w:rPr>
              <w:t xml:space="preserve">subparagraph </w:t>
            </w:r>
            <w:r w:rsidRPr="000A4DB5">
              <w:rPr>
                <w:b/>
                <w:i/>
                <w:lang w:eastAsia="de-DE"/>
              </w:rPr>
              <w:t>of this paragraph </w:t>
            </w:r>
            <w:r w:rsidRPr="000A4DB5">
              <w:rPr>
                <w:lang w:eastAsia="de-DE"/>
              </w:rPr>
              <w:t>shall contain qualitative and quantitative information on the implementation of this Directive, any action taken to verify compliance of the operation of medium combustion plants with this Directive and any enforcement action taken for the purposes thereof.</w:t>
            </w:r>
          </w:p>
        </w:tc>
        <w:tc>
          <w:tcPr>
            <w:tcW w:w="3137" w:type="dxa"/>
            <w:gridSpan w:val="4"/>
          </w:tcPr>
          <w:p w:rsidR="000A4DB5" w:rsidRPr="000A4DB5" w:rsidRDefault="000A4DB5" w:rsidP="000A4DB5">
            <w:pPr>
              <w:spacing w:before="0" w:after="0" w:line="240" w:lineRule="auto"/>
              <w:rPr>
                <w:lang w:eastAsia="de-DE"/>
              </w:rPr>
            </w:pPr>
            <w:r w:rsidRPr="000A4DB5">
              <w:rPr>
                <w:noProof/>
                <w:lang w:eastAsia="de-DE"/>
              </w:rPr>
              <w:t xml:space="preserve">The reports drawn up under the first </w:t>
            </w:r>
            <w:r w:rsidRPr="000A4DB5">
              <w:rPr>
                <w:b/>
                <w:noProof/>
                <w:lang w:eastAsia="de-DE"/>
              </w:rPr>
              <w:t>paragraph</w:t>
            </w:r>
            <w:r w:rsidRPr="000A4DB5">
              <w:rPr>
                <w:noProof/>
                <w:lang w:eastAsia="de-DE"/>
              </w:rPr>
              <w:t xml:space="preserve"> </w:t>
            </w:r>
            <w:r w:rsidRPr="000A4DB5">
              <w:rPr>
                <w:b/>
                <w:noProof/>
                <w:lang w:eastAsia="de-DE"/>
              </w:rPr>
              <w:t xml:space="preserve">and the first </w:t>
            </w:r>
            <w:r w:rsidRPr="000A4DB5">
              <w:rPr>
                <w:b/>
                <w:lang w:eastAsia="de-DE"/>
              </w:rPr>
              <w:t>subparagraph</w:t>
            </w:r>
            <w:r w:rsidRPr="000A4DB5">
              <w:rPr>
                <w:b/>
                <w:noProof/>
                <w:lang w:eastAsia="de-DE"/>
              </w:rPr>
              <w:t xml:space="preserve"> of paragraph 2</w:t>
            </w:r>
            <w:r w:rsidRPr="000A4DB5">
              <w:rPr>
                <w:lang w:eastAsia="de-DE"/>
              </w:rPr>
              <w:t xml:space="preserve"> </w:t>
            </w:r>
            <w:r w:rsidRPr="000A4DB5">
              <w:rPr>
                <w:noProof/>
                <w:lang w:eastAsia="de-DE"/>
              </w:rPr>
              <w:t>shall contain qualitative and quantitative information on the implementation of this Directive, any action taken to verify compliance of the operation of medium combustion plants with this Directive and any enforcement action taken for the purposes thereof.</w:t>
            </w:r>
          </w:p>
        </w:tc>
        <w:tc>
          <w:tcPr>
            <w:tcW w:w="4498" w:type="dxa"/>
          </w:tcPr>
          <w:p w:rsidR="000A4DB5" w:rsidRPr="000A4DB5" w:rsidRDefault="000A4DB5" w:rsidP="000A4DB5">
            <w:pPr>
              <w:spacing w:before="0" w:after="0" w:line="240" w:lineRule="auto"/>
              <w:rPr>
                <w:lang w:val="de-DE" w:eastAsia="de-DE"/>
              </w:rPr>
            </w:pPr>
            <w:r w:rsidRPr="000A4DB5">
              <w:rPr>
                <w:lang w:val="de-DE" w:eastAsia="de-DE"/>
              </w:rPr>
              <w:t xml:space="preserve">EP AM </w:t>
            </w:r>
            <w:proofErr w:type="spellStart"/>
            <w:r w:rsidRPr="000A4DB5">
              <w:rPr>
                <w:lang w:val="de-DE" w:eastAsia="de-DE"/>
              </w:rPr>
              <w:t>acceptable</w:t>
            </w:r>
            <w:proofErr w:type="spellEnd"/>
          </w:p>
        </w:tc>
      </w:tr>
      <w:tr w:rsidR="000A4DB5" w:rsidRPr="00284EB9" w:rsidTr="00B206E9">
        <w:tc>
          <w:tcPr>
            <w:tcW w:w="14567" w:type="dxa"/>
            <w:gridSpan w:val="13"/>
          </w:tcPr>
          <w:p w:rsidR="000A4DB5" w:rsidRPr="000A4DB5" w:rsidRDefault="000A4DB5" w:rsidP="000A4DB5">
            <w:pPr>
              <w:spacing w:before="0" w:after="0" w:line="240" w:lineRule="auto"/>
              <w:jc w:val="center"/>
              <w:rPr>
                <w:b/>
                <w:bCs/>
                <w:lang w:val="fr-BE" w:eastAsia="de-DE"/>
              </w:rPr>
            </w:pPr>
            <w:r w:rsidRPr="000A4DB5">
              <w:rPr>
                <w:b/>
                <w:bCs/>
                <w:lang w:val="fr-BE" w:eastAsia="de-DE"/>
              </w:rPr>
              <w:t>Amendment 82</w:t>
            </w:r>
          </w:p>
          <w:p w:rsidR="000A4DB5" w:rsidRPr="000A4DB5" w:rsidRDefault="000A4DB5" w:rsidP="000A4DB5">
            <w:pPr>
              <w:spacing w:before="0" w:after="0" w:line="240" w:lineRule="auto"/>
              <w:jc w:val="center"/>
              <w:rPr>
                <w:lang w:val="fr-BE" w:eastAsia="de-DE"/>
              </w:rPr>
            </w:pPr>
            <w:proofErr w:type="spellStart"/>
            <w:r w:rsidRPr="000A4DB5">
              <w:rPr>
                <w:b/>
                <w:bCs/>
                <w:lang w:val="fr-BE" w:eastAsia="de-DE"/>
              </w:rPr>
              <w:t>Annex</w:t>
            </w:r>
            <w:proofErr w:type="spellEnd"/>
            <w:r w:rsidRPr="000A4DB5">
              <w:rPr>
                <w:b/>
                <w:bCs/>
                <w:lang w:val="fr-BE" w:eastAsia="de-DE"/>
              </w:rPr>
              <w:t xml:space="preserve"> IV – part 1 – point 2</w:t>
            </w:r>
          </w:p>
        </w:tc>
      </w:tr>
      <w:tr w:rsidR="000A4DB5" w:rsidRPr="000A4DB5" w:rsidTr="00B206E9">
        <w:tc>
          <w:tcPr>
            <w:tcW w:w="3551" w:type="dxa"/>
            <w:gridSpan w:val="4"/>
          </w:tcPr>
          <w:p w:rsidR="000A4DB5" w:rsidRPr="000A4DB5" w:rsidRDefault="000A4DB5" w:rsidP="000A4DB5">
            <w:pPr>
              <w:spacing w:before="0" w:after="0" w:line="240" w:lineRule="auto"/>
              <w:rPr>
                <w:noProof/>
                <w:szCs w:val="20"/>
                <w:lang w:eastAsia="de-DE"/>
              </w:rPr>
            </w:pPr>
            <w:r w:rsidRPr="000A4DB5">
              <w:rPr>
                <w:noProof/>
                <w:szCs w:val="20"/>
                <w:lang w:eastAsia="de-DE"/>
              </w:rPr>
              <w:t>2. Measurements are only required for pollutants for which an emission limit value is laid down in Annex II for the plant concerned.</w:t>
            </w:r>
          </w:p>
        </w:tc>
        <w:tc>
          <w:tcPr>
            <w:tcW w:w="3358" w:type="dxa"/>
            <w:gridSpan w:val="2"/>
          </w:tcPr>
          <w:p w:rsidR="000A4DB5" w:rsidRPr="000A4DB5" w:rsidRDefault="000A4DB5" w:rsidP="000A4DB5">
            <w:pPr>
              <w:autoSpaceDE w:val="0"/>
              <w:autoSpaceDN w:val="0"/>
              <w:adjustRightInd w:val="0"/>
              <w:spacing w:before="0" w:after="0" w:line="240" w:lineRule="auto"/>
              <w:rPr>
                <w:b/>
                <w:bCs/>
                <w:i/>
                <w:iCs/>
                <w:lang w:eastAsia="de-DE"/>
              </w:rPr>
            </w:pPr>
            <w:r w:rsidRPr="000A4DB5">
              <w:rPr>
                <w:lang w:eastAsia="de-DE"/>
              </w:rPr>
              <w:t xml:space="preserve">2. </w:t>
            </w:r>
            <w:r w:rsidRPr="000A4DB5">
              <w:rPr>
                <w:b/>
                <w:i/>
                <w:lang w:eastAsia="de-DE"/>
              </w:rPr>
              <w:t>Member States shall take the necessary measures to ensure that</w:t>
            </w:r>
            <w:r w:rsidRPr="000A4DB5">
              <w:rPr>
                <w:lang w:eastAsia="de-DE"/>
              </w:rPr>
              <w:t xml:space="preserve"> measurements are </w:t>
            </w:r>
            <w:r w:rsidRPr="000A4DB5">
              <w:rPr>
                <w:b/>
                <w:i/>
                <w:lang w:eastAsia="de-DE"/>
              </w:rPr>
              <w:t>carried out also for carbon monoxide (CO).</w:t>
            </w:r>
          </w:p>
        </w:tc>
        <w:tc>
          <w:tcPr>
            <w:tcW w:w="3133" w:type="dxa"/>
            <w:gridSpan w:val="5"/>
          </w:tcPr>
          <w:p w:rsidR="000A4DB5" w:rsidRPr="000A4DB5" w:rsidRDefault="000A4DB5" w:rsidP="000A4DB5">
            <w:pPr>
              <w:spacing w:before="0" w:after="0" w:line="240" w:lineRule="auto"/>
              <w:rPr>
                <w:noProof/>
                <w:szCs w:val="20"/>
                <w:lang w:eastAsia="de-DE"/>
              </w:rPr>
            </w:pPr>
            <w:r w:rsidRPr="000A4DB5">
              <w:rPr>
                <w:noProof/>
                <w:szCs w:val="20"/>
                <w:lang w:eastAsia="de-DE"/>
              </w:rPr>
              <w:t>2. Measurements are only required for pollutants for which an emission limit value is laid down in Annex II for the plant concerned.</w:t>
            </w:r>
          </w:p>
        </w:tc>
        <w:tc>
          <w:tcPr>
            <w:tcW w:w="4525" w:type="dxa"/>
            <w:gridSpan w:val="2"/>
          </w:tcPr>
          <w:p w:rsidR="000A4DB5" w:rsidRPr="000A4DB5" w:rsidRDefault="000A4DB5" w:rsidP="000A4DB5">
            <w:pPr>
              <w:spacing w:before="0" w:after="0" w:line="240" w:lineRule="auto"/>
              <w:rPr>
                <w:lang w:eastAsia="de-DE"/>
              </w:rPr>
            </w:pPr>
            <w:r w:rsidRPr="000A4DB5">
              <w:rPr>
                <w:lang w:eastAsia="de-DE"/>
              </w:rPr>
              <w:t xml:space="preserve">2. </w:t>
            </w:r>
            <w:r w:rsidRPr="000A4DB5">
              <w:rPr>
                <w:b/>
                <w:i/>
                <w:lang w:eastAsia="de-DE"/>
              </w:rPr>
              <w:t>Member States shall take the necessary measures to ensure that</w:t>
            </w:r>
            <w:r w:rsidRPr="000A4DB5">
              <w:rPr>
                <w:lang w:eastAsia="de-DE"/>
              </w:rPr>
              <w:t xml:space="preserve"> measurements are </w:t>
            </w:r>
            <w:r w:rsidRPr="000A4DB5">
              <w:rPr>
                <w:b/>
                <w:i/>
                <w:lang w:eastAsia="de-DE"/>
              </w:rPr>
              <w:t xml:space="preserve">carried out also for carbon monoxide (CO) </w:t>
            </w:r>
            <w:r w:rsidRPr="000A4DB5">
              <w:rPr>
                <w:b/>
                <w:i/>
                <w:u w:val="single"/>
                <w:lang w:eastAsia="de-DE"/>
              </w:rPr>
              <w:t>for gas fired plants</w:t>
            </w:r>
            <w:r w:rsidRPr="000A4DB5">
              <w:rPr>
                <w:b/>
                <w:i/>
                <w:lang w:eastAsia="de-DE"/>
              </w:rPr>
              <w:t>.</w:t>
            </w:r>
          </w:p>
        </w:tc>
      </w:tr>
      <w:tr w:rsidR="000A4DB5" w:rsidRPr="000A4DB5" w:rsidTr="00B206E9">
        <w:tc>
          <w:tcPr>
            <w:tcW w:w="14567" w:type="dxa"/>
            <w:gridSpan w:val="13"/>
          </w:tcPr>
          <w:p w:rsidR="000A4DB5" w:rsidRPr="000A4DB5" w:rsidRDefault="000A4DB5" w:rsidP="000A4DB5">
            <w:pPr>
              <w:spacing w:before="0" w:after="0" w:line="240" w:lineRule="auto"/>
              <w:jc w:val="center"/>
              <w:rPr>
                <w:b/>
                <w:bCs/>
                <w:lang w:val="de-DE" w:eastAsia="de-DE"/>
              </w:rPr>
            </w:pPr>
            <w:r w:rsidRPr="000A4DB5">
              <w:rPr>
                <w:b/>
                <w:bCs/>
                <w:lang w:val="de-DE" w:eastAsia="de-DE"/>
              </w:rPr>
              <w:t>Amendment 11</w:t>
            </w:r>
          </w:p>
          <w:p w:rsidR="000A4DB5" w:rsidRPr="000A4DB5" w:rsidRDefault="000A4DB5" w:rsidP="000A4DB5">
            <w:pPr>
              <w:spacing w:before="0" w:after="0" w:line="240" w:lineRule="auto"/>
              <w:jc w:val="center"/>
              <w:rPr>
                <w:lang w:val="de-DE" w:eastAsia="de-DE"/>
              </w:rPr>
            </w:pPr>
            <w:r w:rsidRPr="000A4DB5">
              <w:rPr>
                <w:b/>
                <w:bCs/>
                <w:lang w:val="de-DE" w:eastAsia="de-DE"/>
              </w:rPr>
              <w:t>Recital 16 a (</w:t>
            </w:r>
            <w:proofErr w:type="spellStart"/>
            <w:r w:rsidRPr="000A4DB5">
              <w:rPr>
                <w:b/>
                <w:bCs/>
                <w:lang w:val="de-DE" w:eastAsia="de-DE"/>
              </w:rPr>
              <w:t>new</w:t>
            </w:r>
            <w:proofErr w:type="spellEnd"/>
            <w:r w:rsidRPr="000A4DB5">
              <w:rPr>
                <w:b/>
                <w:bCs/>
                <w:lang w:val="de-DE" w:eastAsia="de-DE"/>
              </w:rPr>
              <w:t>)</w:t>
            </w:r>
          </w:p>
        </w:tc>
      </w:tr>
      <w:tr w:rsidR="000A4DB5" w:rsidRPr="000A4DB5" w:rsidTr="00B206E9">
        <w:tc>
          <w:tcPr>
            <w:tcW w:w="3495" w:type="dxa"/>
            <w:gridSpan w:val="2"/>
          </w:tcPr>
          <w:p w:rsidR="000A4DB5" w:rsidRPr="000A4DB5" w:rsidRDefault="000A4DB5" w:rsidP="000A4DB5">
            <w:pPr>
              <w:widowControl w:val="0"/>
              <w:spacing w:before="0" w:after="0" w:line="240" w:lineRule="auto"/>
              <w:jc w:val="center"/>
              <w:rPr>
                <w:i/>
                <w:noProof/>
                <w:szCs w:val="20"/>
                <w:lang w:val="de-DE" w:eastAsia="de-DE"/>
              </w:rPr>
            </w:pPr>
          </w:p>
        </w:tc>
        <w:tc>
          <w:tcPr>
            <w:tcW w:w="3385" w:type="dxa"/>
            <w:gridSpan w:val="3"/>
          </w:tcPr>
          <w:p w:rsidR="000A4DB5" w:rsidRPr="000A4DB5" w:rsidRDefault="000A4DB5" w:rsidP="000A4DB5">
            <w:pPr>
              <w:autoSpaceDE w:val="0"/>
              <w:autoSpaceDN w:val="0"/>
              <w:adjustRightInd w:val="0"/>
              <w:spacing w:before="0" w:after="0" w:line="240" w:lineRule="auto"/>
              <w:rPr>
                <w:b/>
                <w:bCs/>
                <w:i/>
                <w:iCs/>
                <w:lang w:eastAsia="de-DE"/>
              </w:rPr>
            </w:pPr>
            <w:r w:rsidRPr="000A4DB5">
              <w:rPr>
                <w:b/>
                <w:i/>
                <w:lang w:eastAsia="de-DE"/>
              </w:rPr>
              <w:t>(16a) The Commission should assess, within a reasonable period of time, the need to modify the emission limit values set out in Annex II on the basis of more advanced technologies. The Commission should also assess the need to propose specific emission limit values for other pollutants, such as carbon monoxide, on the basis of the monitoring referred to in Article 6. To that end, Member States should take the necessary measures to ensure that such monitoring is carried out.</w:t>
            </w:r>
          </w:p>
        </w:tc>
        <w:tc>
          <w:tcPr>
            <w:tcW w:w="3162" w:type="dxa"/>
            <w:gridSpan w:val="6"/>
          </w:tcPr>
          <w:p w:rsidR="000A4DB5" w:rsidRPr="000A4DB5" w:rsidRDefault="000A4DB5" w:rsidP="000A4DB5">
            <w:pPr>
              <w:spacing w:before="0" w:after="0" w:line="240" w:lineRule="auto"/>
              <w:rPr>
                <w:i/>
                <w:szCs w:val="20"/>
                <w:lang w:eastAsia="de-DE"/>
              </w:rPr>
            </w:pPr>
            <w:r w:rsidRPr="000A4DB5">
              <w:rPr>
                <w:b/>
                <w:noProof/>
                <w:szCs w:val="20"/>
                <w:lang w:eastAsia="de-DE"/>
              </w:rPr>
              <w:t xml:space="preserve">(16a) The Commission should assess the need to amend the emission limit values set out in Annex II for new medium combustion plants, </w:t>
            </w:r>
            <w:r w:rsidRPr="000A4DB5">
              <w:rPr>
                <w:b/>
                <w:noProof/>
                <w:lang w:eastAsia="de-DE"/>
              </w:rPr>
              <w:t>on the basis of the state of the art technologies</w:t>
            </w:r>
            <w:r w:rsidRPr="000A4DB5">
              <w:rPr>
                <w:b/>
                <w:noProof/>
                <w:szCs w:val="20"/>
                <w:lang w:eastAsia="de-DE"/>
              </w:rPr>
              <w:t>. In this context, the Commission should also consider the opportunity of setting out specific emission limit values for other pollutants, such as carbon monoxide (CO).</w:t>
            </w:r>
          </w:p>
        </w:tc>
        <w:tc>
          <w:tcPr>
            <w:tcW w:w="4525" w:type="dxa"/>
            <w:gridSpan w:val="2"/>
          </w:tcPr>
          <w:p w:rsidR="000A4DB5" w:rsidRPr="000A4DB5" w:rsidRDefault="000A4DB5" w:rsidP="000A4DB5">
            <w:pPr>
              <w:spacing w:before="0" w:after="0" w:line="240" w:lineRule="auto"/>
              <w:rPr>
                <w:lang w:val="de-DE" w:eastAsia="de-DE"/>
              </w:rPr>
            </w:pPr>
            <w:proofErr w:type="spellStart"/>
            <w:r w:rsidRPr="000A4DB5">
              <w:rPr>
                <w:lang w:val="de-DE" w:eastAsia="de-DE"/>
              </w:rPr>
              <w:t>No</w:t>
            </w:r>
            <w:proofErr w:type="spellEnd"/>
            <w:r w:rsidRPr="000A4DB5">
              <w:rPr>
                <w:lang w:val="de-DE" w:eastAsia="de-DE"/>
              </w:rPr>
              <w:t xml:space="preserve"> </w:t>
            </w:r>
            <w:proofErr w:type="spellStart"/>
            <w:r w:rsidRPr="000A4DB5">
              <w:rPr>
                <w:lang w:val="de-DE" w:eastAsia="de-DE"/>
              </w:rPr>
              <w:t>change</w:t>
            </w:r>
            <w:proofErr w:type="spellEnd"/>
            <w:r w:rsidRPr="000A4DB5">
              <w:rPr>
                <w:lang w:val="de-DE" w:eastAsia="de-DE"/>
              </w:rPr>
              <w:t xml:space="preserve"> </w:t>
            </w:r>
            <w:proofErr w:type="spellStart"/>
            <w:r w:rsidRPr="000A4DB5">
              <w:rPr>
                <w:lang w:val="de-DE" w:eastAsia="de-DE"/>
              </w:rPr>
              <w:t>of</w:t>
            </w:r>
            <w:proofErr w:type="spellEnd"/>
            <w:r w:rsidRPr="000A4DB5">
              <w:rPr>
                <w:lang w:val="de-DE" w:eastAsia="de-DE"/>
              </w:rPr>
              <w:t xml:space="preserve"> </w:t>
            </w:r>
            <w:proofErr w:type="spellStart"/>
            <w:r w:rsidRPr="000A4DB5">
              <w:rPr>
                <w:lang w:val="de-DE" w:eastAsia="de-DE"/>
              </w:rPr>
              <w:t>general</w:t>
            </w:r>
            <w:proofErr w:type="spellEnd"/>
            <w:r w:rsidRPr="000A4DB5">
              <w:rPr>
                <w:lang w:val="de-DE" w:eastAsia="de-DE"/>
              </w:rPr>
              <w:t xml:space="preserve"> </w:t>
            </w:r>
            <w:proofErr w:type="spellStart"/>
            <w:r w:rsidRPr="000A4DB5">
              <w:rPr>
                <w:lang w:val="de-DE" w:eastAsia="de-DE"/>
              </w:rPr>
              <w:t>approach</w:t>
            </w:r>
            <w:proofErr w:type="spellEnd"/>
          </w:p>
          <w:p w:rsidR="000A4DB5" w:rsidRPr="000A4DB5" w:rsidRDefault="000A4DB5" w:rsidP="000A4DB5">
            <w:pPr>
              <w:spacing w:before="0" w:after="0" w:line="240" w:lineRule="auto"/>
              <w:rPr>
                <w:lang w:val="de-DE" w:eastAsia="de-DE"/>
              </w:rPr>
            </w:pPr>
          </w:p>
        </w:tc>
      </w:tr>
      <w:tr w:rsidR="000A4DB5" w:rsidRPr="000A4DB5" w:rsidTr="00B206E9">
        <w:tc>
          <w:tcPr>
            <w:tcW w:w="14567" w:type="dxa"/>
            <w:gridSpan w:val="13"/>
          </w:tcPr>
          <w:p w:rsidR="000A4DB5" w:rsidRPr="000A4DB5" w:rsidRDefault="000A4DB5" w:rsidP="000A4DB5">
            <w:pPr>
              <w:spacing w:before="0" w:after="0" w:line="240" w:lineRule="auto"/>
              <w:jc w:val="center"/>
              <w:rPr>
                <w:b/>
                <w:bCs/>
                <w:lang w:val="de-DE" w:eastAsia="de-DE"/>
              </w:rPr>
            </w:pPr>
            <w:r w:rsidRPr="000A4DB5">
              <w:rPr>
                <w:b/>
                <w:bCs/>
                <w:lang w:val="de-DE" w:eastAsia="de-DE"/>
              </w:rPr>
              <w:t>Amendment 76</w:t>
            </w:r>
          </w:p>
          <w:p w:rsidR="000A4DB5" w:rsidRPr="000A4DB5" w:rsidRDefault="000A4DB5" w:rsidP="000A4DB5">
            <w:pPr>
              <w:spacing w:before="0" w:after="0" w:line="240" w:lineRule="auto"/>
              <w:jc w:val="center"/>
              <w:rPr>
                <w:lang w:val="de-DE" w:eastAsia="de-DE"/>
              </w:rPr>
            </w:pPr>
            <w:proofErr w:type="spellStart"/>
            <w:r w:rsidRPr="000A4DB5">
              <w:rPr>
                <w:b/>
                <w:bCs/>
                <w:lang w:val="de-DE" w:eastAsia="de-DE"/>
              </w:rPr>
              <w:t>Article</w:t>
            </w:r>
            <w:proofErr w:type="spellEnd"/>
            <w:r w:rsidRPr="000A4DB5">
              <w:rPr>
                <w:b/>
                <w:bCs/>
                <w:lang w:val="de-DE" w:eastAsia="de-DE"/>
              </w:rPr>
              <w:t xml:space="preserve"> 12 a (</w:t>
            </w:r>
            <w:proofErr w:type="spellStart"/>
            <w:r w:rsidRPr="000A4DB5">
              <w:rPr>
                <w:b/>
                <w:bCs/>
                <w:lang w:val="de-DE" w:eastAsia="de-DE"/>
              </w:rPr>
              <w:t>new</w:t>
            </w:r>
            <w:proofErr w:type="spellEnd"/>
            <w:r w:rsidRPr="000A4DB5">
              <w:rPr>
                <w:b/>
                <w:bCs/>
                <w:lang w:val="de-DE" w:eastAsia="de-DE"/>
              </w:rPr>
              <w:t>)</w:t>
            </w:r>
          </w:p>
        </w:tc>
      </w:tr>
      <w:tr w:rsidR="000A4DB5" w:rsidRPr="000A4DB5" w:rsidTr="00B206E9">
        <w:tc>
          <w:tcPr>
            <w:tcW w:w="3485" w:type="dxa"/>
          </w:tcPr>
          <w:p w:rsidR="000A4DB5" w:rsidRPr="000A4DB5" w:rsidRDefault="000A4DB5" w:rsidP="000A4DB5">
            <w:pPr>
              <w:spacing w:before="0" w:after="0" w:line="240" w:lineRule="auto"/>
              <w:rPr>
                <w:lang w:val="de-DE" w:eastAsia="de-DE"/>
              </w:rPr>
            </w:pPr>
          </w:p>
        </w:tc>
        <w:tc>
          <w:tcPr>
            <w:tcW w:w="3424" w:type="dxa"/>
            <w:gridSpan w:val="5"/>
          </w:tcPr>
          <w:p w:rsidR="000A4DB5" w:rsidRPr="000A4DB5" w:rsidRDefault="000A4DB5" w:rsidP="000A4DB5">
            <w:pPr>
              <w:spacing w:before="0" w:after="0" w:line="240" w:lineRule="auto"/>
              <w:jc w:val="center"/>
              <w:rPr>
                <w:b/>
                <w:bCs/>
                <w:i/>
                <w:iCs/>
                <w:lang w:eastAsia="de-DE"/>
              </w:rPr>
            </w:pPr>
            <w:r w:rsidRPr="000A4DB5">
              <w:rPr>
                <w:b/>
                <w:bCs/>
                <w:i/>
                <w:iCs/>
                <w:lang w:eastAsia="de-DE"/>
              </w:rPr>
              <w:t>Article 12a</w:t>
            </w:r>
          </w:p>
          <w:p w:rsidR="000A4DB5" w:rsidRPr="000A4DB5" w:rsidRDefault="000A4DB5" w:rsidP="000A4DB5">
            <w:pPr>
              <w:autoSpaceDE w:val="0"/>
              <w:autoSpaceDN w:val="0"/>
              <w:adjustRightInd w:val="0"/>
              <w:spacing w:before="0" w:after="0" w:line="240" w:lineRule="auto"/>
              <w:jc w:val="center"/>
              <w:rPr>
                <w:b/>
                <w:bCs/>
                <w:i/>
                <w:iCs/>
                <w:lang w:eastAsia="de-DE"/>
              </w:rPr>
            </w:pPr>
            <w:r w:rsidRPr="000A4DB5">
              <w:rPr>
                <w:b/>
                <w:bCs/>
                <w:i/>
                <w:iCs/>
                <w:lang w:eastAsia="de-DE"/>
              </w:rPr>
              <w:t>Review</w:t>
            </w:r>
          </w:p>
          <w:p w:rsidR="000A4DB5" w:rsidRPr="000A4DB5" w:rsidRDefault="000A4DB5" w:rsidP="000A4DB5">
            <w:pPr>
              <w:autoSpaceDE w:val="0"/>
              <w:autoSpaceDN w:val="0"/>
              <w:adjustRightInd w:val="0"/>
              <w:spacing w:before="0" w:after="0" w:line="240" w:lineRule="auto"/>
              <w:rPr>
                <w:b/>
                <w:bCs/>
                <w:i/>
                <w:iCs/>
                <w:lang w:eastAsia="de-DE"/>
              </w:rPr>
            </w:pPr>
          </w:p>
          <w:p w:rsidR="000A4DB5" w:rsidRPr="000A4DB5" w:rsidRDefault="000A4DB5" w:rsidP="000A4DB5">
            <w:pPr>
              <w:autoSpaceDE w:val="0"/>
              <w:autoSpaceDN w:val="0"/>
              <w:adjustRightInd w:val="0"/>
              <w:spacing w:before="0" w:after="0" w:line="240" w:lineRule="auto"/>
              <w:rPr>
                <w:b/>
                <w:bCs/>
                <w:i/>
                <w:iCs/>
                <w:lang w:eastAsia="de-DE"/>
              </w:rPr>
            </w:pPr>
            <w:r w:rsidRPr="000A4DB5">
              <w:rPr>
                <w:b/>
                <w:bCs/>
                <w:i/>
                <w:iCs/>
                <w:lang w:eastAsia="de-DE"/>
              </w:rPr>
              <w:t>1. The Commission shall review the emission limit values for new medium combustion plants by 31 December 2025 with the exception of NOx emission limit values which shall be reviewed by 31 December 2021. The emission limit values for new and existing medium combustion plants shall be reviewed by 31 December 2030.</w:t>
            </w:r>
            <w:r w:rsidRPr="000A4DB5">
              <w:rPr>
                <w:lang w:eastAsia="de-DE"/>
              </w:rPr>
              <w:t xml:space="preserve"> </w:t>
            </w:r>
            <w:r w:rsidRPr="000A4DB5">
              <w:rPr>
                <w:b/>
                <w:bCs/>
                <w:i/>
                <w:iCs/>
                <w:lang w:eastAsia="de-DE"/>
              </w:rPr>
              <w:t>Thereafter, the review shall take place every ten years. The review shall take into account the best available technologies and where possible the data collected from the monitoring referred to in Article 6.</w:t>
            </w:r>
          </w:p>
          <w:p w:rsidR="000A4DB5" w:rsidRPr="000A4DB5" w:rsidRDefault="000A4DB5" w:rsidP="000A4DB5">
            <w:pPr>
              <w:autoSpaceDE w:val="0"/>
              <w:autoSpaceDN w:val="0"/>
              <w:adjustRightInd w:val="0"/>
              <w:spacing w:before="0" w:after="0" w:line="240" w:lineRule="auto"/>
              <w:rPr>
                <w:b/>
                <w:bCs/>
                <w:i/>
                <w:iCs/>
                <w:lang w:eastAsia="de-DE"/>
              </w:rPr>
            </w:pPr>
          </w:p>
          <w:p w:rsidR="000A4DB5" w:rsidRPr="000A4DB5" w:rsidRDefault="000A4DB5" w:rsidP="000A4DB5">
            <w:pPr>
              <w:autoSpaceDE w:val="0"/>
              <w:autoSpaceDN w:val="0"/>
              <w:adjustRightInd w:val="0"/>
              <w:spacing w:before="0" w:after="0" w:line="240" w:lineRule="auto"/>
              <w:rPr>
                <w:b/>
                <w:i/>
                <w:lang w:eastAsia="de-DE"/>
              </w:rPr>
            </w:pPr>
            <w:r w:rsidRPr="000A4DB5">
              <w:rPr>
                <w:b/>
                <w:i/>
                <w:lang w:eastAsia="de-DE"/>
              </w:rPr>
              <w:t>2. The Commission shall assess whether medium combustion plants need to be regulated in terms of their carbon monoxide emissions.</w:t>
            </w:r>
          </w:p>
          <w:p w:rsidR="000A4DB5" w:rsidRPr="000A4DB5" w:rsidRDefault="000A4DB5" w:rsidP="000A4DB5">
            <w:pPr>
              <w:autoSpaceDE w:val="0"/>
              <w:autoSpaceDN w:val="0"/>
              <w:adjustRightInd w:val="0"/>
              <w:spacing w:before="0" w:after="0" w:line="240" w:lineRule="auto"/>
              <w:rPr>
                <w:b/>
                <w:i/>
                <w:lang w:eastAsia="de-DE"/>
              </w:rPr>
            </w:pPr>
          </w:p>
          <w:p w:rsidR="000A4DB5" w:rsidRPr="000A4DB5" w:rsidRDefault="000A4DB5" w:rsidP="000A4DB5">
            <w:pPr>
              <w:autoSpaceDE w:val="0"/>
              <w:autoSpaceDN w:val="0"/>
              <w:adjustRightInd w:val="0"/>
              <w:spacing w:before="0" w:after="0" w:line="240" w:lineRule="auto"/>
              <w:rPr>
                <w:b/>
                <w:bCs/>
                <w:i/>
                <w:iCs/>
                <w:lang w:eastAsia="de-DE"/>
              </w:rPr>
            </w:pPr>
            <w:r w:rsidRPr="000A4DB5">
              <w:rPr>
                <w:b/>
                <w:i/>
                <w:lang w:eastAsia="de-DE"/>
              </w:rPr>
              <w:t>3. The Commission shall submit the results of this review to the European Parliament and to the Council, accompanied, if necessary, by a legislative proposal.</w:t>
            </w:r>
          </w:p>
        </w:tc>
        <w:tc>
          <w:tcPr>
            <w:tcW w:w="3123" w:type="dxa"/>
            <w:gridSpan w:val="4"/>
          </w:tcPr>
          <w:p w:rsidR="000A4DB5" w:rsidRPr="000A4DB5" w:rsidRDefault="000A4DB5" w:rsidP="000A4DB5">
            <w:pPr>
              <w:spacing w:before="0" w:after="0" w:line="240" w:lineRule="auto"/>
              <w:jc w:val="center"/>
              <w:rPr>
                <w:b/>
                <w:i/>
                <w:noProof/>
                <w:szCs w:val="20"/>
                <w:lang w:eastAsia="de-DE"/>
              </w:rPr>
            </w:pPr>
            <w:r w:rsidRPr="000A4DB5">
              <w:rPr>
                <w:b/>
                <w:i/>
                <w:noProof/>
                <w:szCs w:val="20"/>
                <w:lang w:eastAsia="de-DE"/>
              </w:rPr>
              <w:t>Article 12a</w:t>
            </w:r>
          </w:p>
          <w:p w:rsidR="000A4DB5" w:rsidRPr="000A4DB5" w:rsidRDefault="000A4DB5" w:rsidP="000A4DB5">
            <w:pPr>
              <w:spacing w:before="0" w:after="0" w:line="240" w:lineRule="auto"/>
              <w:jc w:val="center"/>
              <w:rPr>
                <w:b/>
                <w:i/>
                <w:noProof/>
                <w:szCs w:val="20"/>
                <w:lang w:eastAsia="de-DE"/>
              </w:rPr>
            </w:pPr>
            <w:r w:rsidRPr="000A4DB5">
              <w:rPr>
                <w:b/>
                <w:i/>
                <w:noProof/>
                <w:szCs w:val="20"/>
                <w:lang w:eastAsia="de-DE"/>
              </w:rPr>
              <w:t>Review</w:t>
            </w:r>
          </w:p>
          <w:p w:rsidR="000A4DB5" w:rsidRPr="000A4DB5" w:rsidRDefault="000A4DB5" w:rsidP="000A4DB5">
            <w:pPr>
              <w:spacing w:before="0" w:after="0" w:line="240" w:lineRule="auto"/>
              <w:rPr>
                <w:b/>
                <w:lang w:eastAsia="de-DE"/>
              </w:rPr>
            </w:pPr>
          </w:p>
          <w:p w:rsidR="000A4DB5" w:rsidRPr="000A4DB5" w:rsidRDefault="000A4DB5" w:rsidP="000A4DB5">
            <w:pPr>
              <w:spacing w:before="0" w:after="0" w:line="240" w:lineRule="auto"/>
              <w:rPr>
                <w:b/>
                <w:i/>
                <w:strike/>
                <w:noProof/>
                <w:lang w:eastAsia="de-DE"/>
              </w:rPr>
            </w:pPr>
            <w:r w:rsidRPr="000A4DB5">
              <w:rPr>
                <w:b/>
                <w:lang w:eastAsia="de-DE"/>
              </w:rPr>
              <w:t xml:space="preserve">The </w:t>
            </w:r>
            <w:r w:rsidRPr="000A4DB5">
              <w:rPr>
                <w:b/>
                <w:noProof/>
                <w:lang w:eastAsia="de-DE"/>
              </w:rPr>
              <w:t xml:space="preserve">Commission shall, by 1 January 2023, assess the need to review </w:t>
            </w:r>
            <w:r w:rsidRPr="000A4DB5">
              <w:rPr>
                <w:b/>
                <w:bCs/>
                <w:noProof/>
                <w:lang w:eastAsia="de-DE"/>
              </w:rPr>
              <w:t>Part 1a, 1b and 1c as regards plants being part of SIS/MIS as well as</w:t>
            </w:r>
            <w:r w:rsidRPr="000A4DB5">
              <w:rPr>
                <w:b/>
                <w:noProof/>
                <w:lang w:eastAsia="de-DE"/>
              </w:rPr>
              <w:t xml:space="preserve"> Part 2a, 2b and 2c of Annex II and on the basis of the state of the art of technologies. It shall also assess whether for certain types of medium combustion plants there is a need to regulate carbon monoxide emissions.</w:t>
            </w: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b/>
                <w:noProof/>
                <w:lang w:eastAsia="de-DE"/>
              </w:rPr>
            </w:pPr>
          </w:p>
          <w:p w:rsidR="000A4DB5" w:rsidRPr="000A4DB5" w:rsidRDefault="000A4DB5" w:rsidP="000A4DB5">
            <w:pPr>
              <w:spacing w:before="0" w:after="0" w:line="240" w:lineRule="auto"/>
              <w:rPr>
                <w:lang w:eastAsia="de-DE"/>
              </w:rPr>
            </w:pPr>
            <w:r w:rsidRPr="000A4DB5">
              <w:rPr>
                <w:b/>
                <w:noProof/>
                <w:lang w:eastAsia="de-DE"/>
              </w:rPr>
              <w:t>The Commission shall report the results of that review to the European Parliament and to the Council accompanied by a legislative proposal where appropriate.</w:t>
            </w:r>
          </w:p>
        </w:tc>
        <w:tc>
          <w:tcPr>
            <w:tcW w:w="4535" w:type="dxa"/>
            <w:gridSpan w:val="3"/>
          </w:tcPr>
          <w:p w:rsidR="000A4DB5" w:rsidRPr="000A4DB5" w:rsidRDefault="000A4DB5" w:rsidP="000A4DB5">
            <w:pPr>
              <w:spacing w:before="0" w:after="0" w:line="240" w:lineRule="auto"/>
              <w:rPr>
                <w:lang w:eastAsia="de-DE"/>
              </w:rPr>
            </w:pPr>
            <w:r w:rsidRPr="000A4DB5">
              <w:rPr>
                <w:lang w:eastAsia="de-DE"/>
              </w:rPr>
              <w:t>No change of relevant part of general approach (1st subparagraph 2nd sentence)</w:t>
            </w:r>
          </w:p>
        </w:tc>
      </w:tr>
    </w:tbl>
    <w:p w:rsidR="000A4DB5" w:rsidRPr="000A4DB5" w:rsidRDefault="000A4DB5" w:rsidP="000A4DB5">
      <w:pPr>
        <w:spacing w:before="0" w:after="0" w:line="240" w:lineRule="auto"/>
        <w:rPr>
          <w:b/>
          <w:bCs/>
          <w:lang w:eastAsia="en-GB"/>
        </w:rPr>
      </w:pPr>
    </w:p>
    <w:p w:rsidR="00B206E9" w:rsidRDefault="00B206E9" w:rsidP="00B206E9">
      <w:pPr>
        <w:spacing w:before="0" w:after="0" w:line="240" w:lineRule="auto"/>
        <w:rPr>
          <w:lang w:eastAsia="en-GB"/>
        </w:rPr>
      </w:pPr>
      <w:r w:rsidRPr="00B206E9">
        <w:rPr>
          <w:b/>
          <w:lang w:eastAsia="en-GB"/>
        </w:rPr>
        <w:t>2.</w:t>
      </w:r>
      <w:r w:rsidRPr="00B206E9">
        <w:rPr>
          <w:b/>
          <w:lang w:eastAsia="en-GB"/>
        </w:rPr>
        <w:tab/>
        <w:t xml:space="preserve">Aggregation rules </w:t>
      </w:r>
      <w:r w:rsidRPr="00B206E9">
        <w:rPr>
          <w:bCs/>
          <w:lang w:eastAsia="en-GB"/>
        </w:rPr>
        <w:t>(</w:t>
      </w:r>
      <w:r w:rsidRPr="00B206E9">
        <w:rPr>
          <w:lang w:eastAsia="en-GB"/>
        </w:rPr>
        <w:t>AM 34, AM 14, AM 5)</w:t>
      </w:r>
    </w:p>
    <w:p w:rsidR="00B206E9" w:rsidRPr="00B206E9" w:rsidRDefault="00B206E9" w:rsidP="00B206E9">
      <w:pPr>
        <w:spacing w:before="0" w:after="0" w:line="240" w:lineRule="auto"/>
        <w:rPr>
          <w:lang w:eastAsia="en-GB"/>
        </w:rPr>
      </w:pPr>
    </w:p>
    <w:tbl>
      <w:tblPr>
        <w:tblStyle w:val="TableGrid"/>
        <w:tblW w:w="14556" w:type="dxa"/>
        <w:tblLook w:val="04A0" w:firstRow="1" w:lastRow="0" w:firstColumn="1" w:lastColumn="0" w:noHBand="0" w:noVBand="1"/>
      </w:tblPr>
      <w:tblGrid>
        <w:gridCol w:w="3473"/>
        <w:gridCol w:w="19"/>
        <w:gridCol w:w="31"/>
        <w:gridCol w:w="3386"/>
        <w:gridCol w:w="114"/>
        <w:gridCol w:w="32"/>
        <w:gridCol w:w="3685"/>
        <w:gridCol w:w="3816"/>
      </w:tblGrid>
      <w:tr w:rsidR="00B206E9" w:rsidRPr="00672612" w:rsidTr="00B206E9">
        <w:trPr>
          <w:tblHeader/>
        </w:trPr>
        <w:tc>
          <w:tcPr>
            <w:tcW w:w="3523" w:type="dxa"/>
            <w:gridSpan w:val="3"/>
            <w:shd w:val="clear" w:color="auto" w:fill="7F7F7F" w:themeFill="text1" w:themeFillTint="80"/>
          </w:tcPr>
          <w:p w:rsidR="00B206E9" w:rsidRPr="00672612" w:rsidRDefault="00B206E9" w:rsidP="00970BCD">
            <w:pPr>
              <w:widowControl w:val="0"/>
              <w:jc w:val="center"/>
              <w:rPr>
                <w:b/>
                <w:szCs w:val="20"/>
                <w:lang w:eastAsia="fr-BE"/>
              </w:rPr>
            </w:pPr>
            <w:r>
              <w:rPr>
                <w:b/>
                <w:szCs w:val="20"/>
                <w:lang w:eastAsia="fr-BE"/>
              </w:rPr>
              <w:t>Commission p</w:t>
            </w:r>
            <w:r w:rsidRPr="00672612">
              <w:rPr>
                <w:b/>
                <w:szCs w:val="20"/>
                <w:lang w:eastAsia="fr-BE"/>
              </w:rPr>
              <w:t>roposal</w:t>
            </w:r>
          </w:p>
        </w:tc>
        <w:tc>
          <w:tcPr>
            <w:tcW w:w="3386" w:type="dxa"/>
            <w:shd w:val="clear" w:color="auto" w:fill="7F7F7F" w:themeFill="text1" w:themeFillTint="80"/>
          </w:tcPr>
          <w:p w:rsidR="00B206E9" w:rsidRPr="00672612" w:rsidRDefault="00B206E9" w:rsidP="00970BCD">
            <w:pPr>
              <w:jc w:val="center"/>
            </w:pPr>
            <w:r w:rsidRPr="00672612">
              <w:rPr>
                <w:b/>
              </w:rPr>
              <w:t>EP Amendments</w:t>
            </w:r>
          </w:p>
        </w:tc>
        <w:tc>
          <w:tcPr>
            <w:tcW w:w="3831" w:type="dxa"/>
            <w:gridSpan w:val="3"/>
            <w:shd w:val="clear" w:color="auto" w:fill="7F7F7F" w:themeFill="text1" w:themeFillTint="80"/>
          </w:tcPr>
          <w:p w:rsidR="00B206E9" w:rsidRPr="00672612" w:rsidRDefault="00B206E9" w:rsidP="00970BCD">
            <w:pPr>
              <w:jc w:val="center"/>
            </w:pPr>
            <w:r>
              <w:rPr>
                <w:b/>
              </w:rPr>
              <w:t>Council p</w:t>
            </w:r>
            <w:r w:rsidRPr="00672612">
              <w:rPr>
                <w:b/>
              </w:rPr>
              <w:t>osition</w:t>
            </w:r>
          </w:p>
        </w:tc>
        <w:tc>
          <w:tcPr>
            <w:tcW w:w="3816" w:type="dxa"/>
            <w:shd w:val="clear" w:color="auto" w:fill="7F7F7F" w:themeFill="text1" w:themeFillTint="80"/>
          </w:tcPr>
          <w:p w:rsidR="00B206E9" w:rsidRPr="00672612" w:rsidRDefault="00B206E9" w:rsidP="00970BCD">
            <w:pPr>
              <w:jc w:val="center"/>
              <w:rPr>
                <w:b/>
                <w:bCs/>
              </w:rPr>
            </w:pPr>
            <w:r w:rsidRPr="00672612">
              <w:rPr>
                <w:b/>
                <w:bCs/>
              </w:rPr>
              <w:t>Comments</w:t>
            </w:r>
          </w:p>
        </w:tc>
      </w:tr>
      <w:tr w:rsidR="00B206E9" w:rsidRPr="00B206E9" w:rsidTr="00B206E9">
        <w:tc>
          <w:tcPr>
            <w:tcW w:w="14556" w:type="dxa"/>
            <w:gridSpan w:val="8"/>
          </w:tcPr>
          <w:p w:rsidR="00B206E9" w:rsidRPr="00B206E9" w:rsidRDefault="00B206E9" w:rsidP="00B206E9">
            <w:pPr>
              <w:spacing w:before="0" w:after="0" w:line="240" w:lineRule="auto"/>
              <w:jc w:val="center"/>
              <w:rPr>
                <w:b/>
                <w:bCs/>
                <w:lang w:val="de-DE" w:eastAsia="de-DE"/>
              </w:rPr>
            </w:pPr>
            <w:r w:rsidRPr="00B206E9">
              <w:rPr>
                <w:b/>
                <w:bCs/>
                <w:lang w:val="de-DE" w:eastAsia="de-DE"/>
              </w:rPr>
              <w:t>Amendment 34</w:t>
            </w:r>
          </w:p>
          <w:p w:rsidR="00B206E9" w:rsidRPr="00B206E9" w:rsidRDefault="00B206E9" w:rsidP="00B206E9">
            <w:pPr>
              <w:pageBreakBefore/>
              <w:spacing w:before="0" w:after="0" w:line="240" w:lineRule="auto"/>
              <w:jc w:val="center"/>
              <w:rPr>
                <w:lang w:val="de-DE" w:eastAsia="de-DE"/>
              </w:rPr>
            </w:pPr>
            <w:proofErr w:type="spellStart"/>
            <w:r w:rsidRPr="00B206E9">
              <w:rPr>
                <w:b/>
                <w:bCs/>
                <w:lang w:val="de-DE" w:eastAsia="de-DE"/>
              </w:rPr>
              <w:t>Article</w:t>
            </w:r>
            <w:proofErr w:type="spellEnd"/>
            <w:r w:rsidRPr="00B206E9">
              <w:rPr>
                <w:b/>
                <w:bCs/>
                <w:lang w:val="de-DE" w:eastAsia="de-DE"/>
              </w:rPr>
              <w:t xml:space="preserve"> 3 a (</w:t>
            </w:r>
            <w:proofErr w:type="spellStart"/>
            <w:r w:rsidRPr="00B206E9">
              <w:rPr>
                <w:b/>
                <w:bCs/>
                <w:lang w:val="de-DE" w:eastAsia="de-DE"/>
              </w:rPr>
              <w:t>new</w:t>
            </w:r>
            <w:proofErr w:type="spellEnd"/>
            <w:r w:rsidRPr="00B206E9">
              <w:rPr>
                <w:b/>
                <w:bCs/>
                <w:lang w:val="de-DE" w:eastAsia="de-DE"/>
              </w:rPr>
              <w:t>)</w:t>
            </w:r>
          </w:p>
        </w:tc>
      </w:tr>
      <w:tr w:rsidR="00B206E9" w:rsidRPr="00B206E9" w:rsidTr="00B206E9">
        <w:tc>
          <w:tcPr>
            <w:tcW w:w="3492" w:type="dxa"/>
            <w:gridSpan w:val="2"/>
          </w:tcPr>
          <w:p w:rsidR="00B206E9" w:rsidRPr="00B206E9" w:rsidRDefault="00B206E9" w:rsidP="00B206E9">
            <w:pPr>
              <w:spacing w:before="0" w:after="0" w:line="240" w:lineRule="auto"/>
              <w:rPr>
                <w:lang w:val="de-DE" w:eastAsia="de-DE"/>
              </w:rPr>
            </w:pPr>
          </w:p>
        </w:tc>
        <w:tc>
          <w:tcPr>
            <w:tcW w:w="3563" w:type="dxa"/>
            <w:gridSpan w:val="4"/>
          </w:tcPr>
          <w:p w:rsidR="00B206E9" w:rsidRPr="00B206E9" w:rsidRDefault="00B206E9" w:rsidP="00B206E9">
            <w:pPr>
              <w:autoSpaceDE w:val="0"/>
              <w:autoSpaceDN w:val="0"/>
              <w:adjustRightInd w:val="0"/>
              <w:spacing w:before="0" w:after="0" w:line="240" w:lineRule="auto"/>
              <w:jc w:val="center"/>
              <w:rPr>
                <w:b/>
                <w:bCs/>
                <w:i/>
                <w:iCs/>
                <w:lang w:eastAsia="de-DE"/>
              </w:rPr>
            </w:pPr>
            <w:r w:rsidRPr="00B206E9">
              <w:rPr>
                <w:b/>
                <w:bCs/>
                <w:i/>
                <w:iCs/>
                <w:lang w:eastAsia="de-DE"/>
              </w:rPr>
              <w:t>Article 3 a</w:t>
            </w:r>
          </w:p>
          <w:p w:rsidR="00B206E9" w:rsidRPr="00B206E9" w:rsidRDefault="00B206E9" w:rsidP="00B206E9">
            <w:pPr>
              <w:autoSpaceDE w:val="0"/>
              <w:autoSpaceDN w:val="0"/>
              <w:adjustRightInd w:val="0"/>
              <w:spacing w:before="0" w:after="0" w:line="240" w:lineRule="auto"/>
              <w:jc w:val="center"/>
              <w:rPr>
                <w:b/>
                <w:bCs/>
                <w:i/>
                <w:iCs/>
                <w:lang w:eastAsia="de-DE"/>
              </w:rPr>
            </w:pPr>
            <w:r w:rsidRPr="00B206E9">
              <w:rPr>
                <w:b/>
                <w:bCs/>
                <w:i/>
                <w:iCs/>
                <w:lang w:eastAsia="de-DE"/>
              </w:rPr>
              <w:t>Aggregation rules</w:t>
            </w:r>
          </w:p>
          <w:p w:rsidR="00B206E9" w:rsidRPr="00B206E9" w:rsidRDefault="00B206E9" w:rsidP="00B206E9">
            <w:pPr>
              <w:autoSpaceDE w:val="0"/>
              <w:autoSpaceDN w:val="0"/>
              <w:adjustRightInd w:val="0"/>
              <w:spacing w:before="0" w:after="0" w:line="240" w:lineRule="auto"/>
              <w:rPr>
                <w:b/>
                <w:bCs/>
                <w:i/>
                <w:iCs/>
                <w:lang w:eastAsia="de-DE"/>
              </w:rPr>
            </w:pPr>
          </w:p>
          <w:p w:rsidR="00B206E9" w:rsidRPr="00B206E9" w:rsidRDefault="00B206E9" w:rsidP="00B206E9">
            <w:pPr>
              <w:autoSpaceDE w:val="0"/>
              <w:autoSpaceDN w:val="0"/>
              <w:adjustRightInd w:val="0"/>
              <w:spacing w:before="0" w:after="0" w:line="240" w:lineRule="auto"/>
              <w:rPr>
                <w:b/>
                <w:bCs/>
                <w:i/>
                <w:iCs/>
                <w:lang w:eastAsia="de-DE"/>
              </w:rPr>
            </w:pPr>
            <w:r w:rsidRPr="00B206E9">
              <w:rPr>
                <w:b/>
                <w:i/>
                <w:lang w:eastAsia="de-DE"/>
              </w:rPr>
              <w:t>1. The combination formed by two or more new medium combustion plants shall be considered to be a single medium combustion plant for the purpose of this Directive and their rated thermal input added together for the purpose of calculating the total rated thermal input of the plant, where:</w:t>
            </w:r>
          </w:p>
          <w:p w:rsidR="00B206E9" w:rsidRPr="00B206E9" w:rsidRDefault="00B206E9" w:rsidP="00B206E9">
            <w:pPr>
              <w:autoSpaceDE w:val="0"/>
              <w:autoSpaceDN w:val="0"/>
              <w:adjustRightInd w:val="0"/>
              <w:spacing w:before="0" w:after="0" w:line="240" w:lineRule="auto"/>
              <w:rPr>
                <w:b/>
                <w:bCs/>
                <w:i/>
                <w:iCs/>
                <w:lang w:eastAsia="de-DE"/>
              </w:rPr>
            </w:pPr>
          </w:p>
          <w:p w:rsidR="00B206E9" w:rsidRPr="00B206E9" w:rsidRDefault="00B206E9" w:rsidP="00B206E9">
            <w:pPr>
              <w:autoSpaceDE w:val="0"/>
              <w:autoSpaceDN w:val="0"/>
              <w:adjustRightInd w:val="0"/>
              <w:spacing w:before="0" w:after="0" w:line="240" w:lineRule="auto"/>
              <w:rPr>
                <w:b/>
                <w:bCs/>
                <w:i/>
                <w:iCs/>
                <w:lang w:eastAsia="de-DE"/>
              </w:rPr>
            </w:pPr>
            <w:r w:rsidRPr="00B206E9">
              <w:rPr>
                <w:b/>
                <w:i/>
                <w:lang w:eastAsia="de-DE"/>
              </w:rPr>
              <w:t>- the waste gases of such medium combustion plants are discharged through a common stack; or</w:t>
            </w:r>
            <w:r w:rsidRPr="00B206E9">
              <w:rPr>
                <w:b/>
                <w:bCs/>
                <w:i/>
                <w:iCs/>
                <w:lang w:eastAsia="de-DE"/>
              </w:rPr>
              <w:t xml:space="preserve"> </w:t>
            </w:r>
          </w:p>
          <w:p w:rsidR="00B206E9" w:rsidRPr="00B206E9" w:rsidRDefault="00B206E9" w:rsidP="00B206E9">
            <w:pPr>
              <w:autoSpaceDE w:val="0"/>
              <w:autoSpaceDN w:val="0"/>
              <w:adjustRightInd w:val="0"/>
              <w:spacing w:before="0" w:after="0" w:line="240" w:lineRule="auto"/>
              <w:rPr>
                <w:b/>
                <w:bCs/>
                <w:i/>
                <w:iCs/>
                <w:lang w:eastAsia="de-DE"/>
              </w:rPr>
            </w:pPr>
          </w:p>
          <w:p w:rsidR="00B206E9" w:rsidRPr="00B206E9" w:rsidRDefault="00B206E9" w:rsidP="00B206E9">
            <w:pPr>
              <w:autoSpaceDE w:val="0"/>
              <w:autoSpaceDN w:val="0"/>
              <w:adjustRightInd w:val="0"/>
              <w:spacing w:before="0" w:after="0" w:line="240" w:lineRule="auto"/>
              <w:rPr>
                <w:b/>
                <w:bCs/>
                <w:i/>
                <w:iCs/>
                <w:lang w:eastAsia="de-DE"/>
              </w:rPr>
            </w:pPr>
            <w:r w:rsidRPr="00B206E9">
              <w:rPr>
                <w:b/>
                <w:i/>
                <w:lang w:eastAsia="de-DE"/>
              </w:rPr>
              <w:t>- taking into account technical and economic factors, the waste gases of such medium combustion plants could, in the judgment of the competent authority, be discharged through a common stack.</w:t>
            </w:r>
          </w:p>
          <w:p w:rsidR="00B206E9" w:rsidRPr="00B206E9" w:rsidRDefault="00B206E9" w:rsidP="00B206E9">
            <w:pPr>
              <w:autoSpaceDE w:val="0"/>
              <w:autoSpaceDN w:val="0"/>
              <w:adjustRightInd w:val="0"/>
              <w:spacing w:before="0" w:after="0" w:line="240" w:lineRule="auto"/>
              <w:rPr>
                <w:b/>
                <w:bCs/>
                <w:i/>
                <w:iCs/>
                <w:lang w:eastAsia="de-DE"/>
              </w:rPr>
            </w:pPr>
          </w:p>
          <w:p w:rsidR="00B206E9" w:rsidRPr="00B206E9" w:rsidRDefault="00B206E9" w:rsidP="00B206E9">
            <w:pPr>
              <w:autoSpaceDE w:val="0"/>
              <w:autoSpaceDN w:val="0"/>
              <w:adjustRightInd w:val="0"/>
              <w:spacing w:before="0" w:after="0" w:line="240" w:lineRule="auto"/>
              <w:rPr>
                <w:b/>
                <w:bCs/>
                <w:i/>
                <w:iCs/>
                <w:lang w:eastAsia="de-DE"/>
              </w:rPr>
            </w:pPr>
            <w:r w:rsidRPr="00B206E9">
              <w:rPr>
                <w:b/>
                <w:i/>
                <w:lang w:eastAsia="de-DE"/>
              </w:rPr>
              <w:t>2. For the purpose of calculating the total rated thermal input of a combination of two or more combustion plants, individual combustion plants with a rated thermal input below 1 MW shall not be considered unless more than one medium combustion plant is installed for the same purpose on a single site in a load-sharing arrangement. In this case, the load sharing combination formed by such plants shall be considered to be a single combustion plant and their capacities added together for the purpose of calculating the total rated thermal input even if each individual combustion plant has a rated thermal input below 1 MW.</w:t>
            </w:r>
          </w:p>
        </w:tc>
        <w:tc>
          <w:tcPr>
            <w:tcW w:w="3685" w:type="dxa"/>
          </w:tcPr>
          <w:p w:rsidR="00B206E9" w:rsidRPr="00B206E9" w:rsidRDefault="00B206E9" w:rsidP="00B206E9">
            <w:pPr>
              <w:autoSpaceDE w:val="0"/>
              <w:autoSpaceDN w:val="0"/>
              <w:adjustRightInd w:val="0"/>
              <w:spacing w:before="0" w:after="0" w:line="240" w:lineRule="auto"/>
              <w:jc w:val="center"/>
              <w:rPr>
                <w:b/>
                <w:bCs/>
                <w:i/>
                <w:iCs/>
                <w:noProof/>
                <w:color w:val="000000"/>
                <w:lang w:eastAsia="it-IT"/>
              </w:rPr>
            </w:pPr>
            <w:r w:rsidRPr="00B206E9">
              <w:rPr>
                <w:b/>
                <w:bCs/>
                <w:i/>
                <w:iCs/>
                <w:noProof/>
                <w:color w:val="000000"/>
                <w:lang w:eastAsia="it-IT"/>
              </w:rPr>
              <w:t>Article 3a</w:t>
            </w:r>
          </w:p>
          <w:p w:rsidR="00B206E9" w:rsidRPr="00B206E9" w:rsidRDefault="00B206E9" w:rsidP="00B206E9">
            <w:pPr>
              <w:autoSpaceDE w:val="0"/>
              <w:autoSpaceDN w:val="0"/>
              <w:adjustRightInd w:val="0"/>
              <w:spacing w:before="0" w:after="0" w:line="240" w:lineRule="auto"/>
              <w:jc w:val="center"/>
              <w:rPr>
                <w:b/>
                <w:bCs/>
                <w:i/>
                <w:iCs/>
                <w:color w:val="000000"/>
                <w:lang w:eastAsia="it-IT"/>
              </w:rPr>
            </w:pPr>
            <w:r w:rsidRPr="00B206E9">
              <w:rPr>
                <w:b/>
                <w:bCs/>
                <w:i/>
                <w:iCs/>
                <w:color w:val="000000"/>
                <w:lang w:eastAsia="it-IT"/>
              </w:rPr>
              <w:t>Aggregation rules</w:t>
            </w:r>
          </w:p>
          <w:p w:rsidR="00B206E9" w:rsidRPr="00B206E9" w:rsidRDefault="00B206E9" w:rsidP="00B206E9">
            <w:pPr>
              <w:autoSpaceDE w:val="0"/>
              <w:autoSpaceDN w:val="0"/>
              <w:adjustRightInd w:val="0"/>
              <w:spacing w:before="0" w:after="0" w:line="240" w:lineRule="auto"/>
              <w:rPr>
                <w:b/>
                <w:bCs/>
                <w:color w:val="000000"/>
                <w:lang w:eastAsia="it-IT"/>
              </w:rPr>
            </w:pPr>
          </w:p>
          <w:p w:rsidR="00B206E9" w:rsidRPr="00B206E9" w:rsidRDefault="00B206E9" w:rsidP="00B206E9">
            <w:pPr>
              <w:spacing w:before="0" w:after="0" w:line="240" w:lineRule="auto"/>
              <w:rPr>
                <w:b/>
                <w:bCs/>
                <w:color w:val="000000"/>
                <w:lang w:eastAsia="it-IT"/>
              </w:rPr>
            </w:pPr>
            <w:r w:rsidRPr="00B206E9">
              <w:rPr>
                <w:b/>
                <w:bCs/>
                <w:color w:val="000000"/>
                <w:lang w:eastAsia="it-IT"/>
              </w:rPr>
              <w:t>The combination formed by two or more new medium combustion plants shall be considered as a single medium combustion plant for the purpose of this Directive and their rated thermal input added for the purpose of calculating the total rated thermal input of the plant, where:</w:t>
            </w:r>
          </w:p>
          <w:p w:rsidR="00B206E9" w:rsidRPr="00B206E9" w:rsidRDefault="00B206E9" w:rsidP="00B206E9">
            <w:pPr>
              <w:spacing w:before="0" w:after="0" w:line="240" w:lineRule="auto"/>
              <w:ind w:left="7"/>
              <w:rPr>
                <w:b/>
                <w:bCs/>
                <w:color w:val="000000"/>
                <w:lang w:eastAsia="it-IT"/>
              </w:rPr>
            </w:pPr>
          </w:p>
          <w:p w:rsidR="00B206E9" w:rsidRPr="00B206E9" w:rsidRDefault="00B206E9" w:rsidP="00B206E9">
            <w:pPr>
              <w:spacing w:before="0" w:after="0" w:line="240" w:lineRule="auto"/>
              <w:ind w:left="7"/>
              <w:rPr>
                <w:b/>
                <w:bCs/>
                <w:color w:val="000000"/>
                <w:lang w:eastAsia="it-IT"/>
              </w:rPr>
            </w:pPr>
            <w:r w:rsidRPr="00B206E9">
              <w:rPr>
                <w:b/>
                <w:bCs/>
                <w:color w:val="000000"/>
                <w:lang w:eastAsia="it-IT"/>
              </w:rPr>
              <w:t>- the waste gases of such medium combustion plants are discharged through a common stack; or</w:t>
            </w:r>
          </w:p>
          <w:p w:rsidR="00B206E9" w:rsidRPr="00B206E9" w:rsidRDefault="00B206E9" w:rsidP="00B206E9">
            <w:pPr>
              <w:spacing w:before="0" w:after="0" w:line="240" w:lineRule="auto"/>
              <w:ind w:left="1134" w:hanging="567"/>
              <w:rPr>
                <w:b/>
                <w:bCs/>
                <w:color w:val="000000"/>
                <w:lang w:eastAsia="it-IT"/>
              </w:rPr>
            </w:pPr>
          </w:p>
          <w:p w:rsidR="00B206E9" w:rsidRPr="00B206E9" w:rsidRDefault="00B206E9" w:rsidP="00B206E9">
            <w:pPr>
              <w:spacing w:before="0" w:after="0" w:line="240" w:lineRule="auto"/>
              <w:ind w:left="7" w:hanging="7"/>
              <w:rPr>
                <w:lang w:eastAsia="de-DE"/>
              </w:rPr>
            </w:pPr>
            <w:r w:rsidRPr="00B206E9">
              <w:rPr>
                <w:b/>
                <w:bCs/>
                <w:color w:val="000000"/>
                <w:lang w:eastAsia="it-IT"/>
              </w:rPr>
              <w:t>- taking into account technical and economic factors, the waste gases of such medium combustion plants could be discharged through a common stack.</w:t>
            </w:r>
          </w:p>
        </w:tc>
        <w:tc>
          <w:tcPr>
            <w:tcW w:w="3816" w:type="dxa"/>
          </w:tcPr>
          <w:p w:rsidR="00B206E9" w:rsidRPr="00B206E9" w:rsidRDefault="00B206E9" w:rsidP="00B206E9">
            <w:pPr>
              <w:spacing w:before="0" w:after="0" w:line="240" w:lineRule="auto"/>
              <w:rPr>
                <w:lang w:eastAsia="de-DE"/>
              </w:rPr>
            </w:pPr>
            <w:r w:rsidRPr="00B206E9">
              <w:rPr>
                <w:lang w:eastAsia="de-DE"/>
              </w:rPr>
              <w:t>1st paragraph of EP AM acceptable</w:t>
            </w:r>
          </w:p>
        </w:tc>
      </w:tr>
      <w:tr w:rsidR="00B206E9" w:rsidRPr="00DA3B7F" w:rsidTr="00B206E9">
        <w:tc>
          <w:tcPr>
            <w:tcW w:w="14556" w:type="dxa"/>
            <w:gridSpan w:val="8"/>
          </w:tcPr>
          <w:p w:rsidR="00B206E9" w:rsidRPr="00B206E9" w:rsidRDefault="00B206E9" w:rsidP="00B206E9">
            <w:pPr>
              <w:spacing w:before="0" w:after="0" w:line="240" w:lineRule="auto"/>
              <w:jc w:val="center"/>
              <w:rPr>
                <w:b/>
                <w:bCs/>
                <w:lang w:val="fr-BE" w:eastAsia="de-DE"/>
              </w:rPr>
            </w:pPr>
            <w:r w:rsidRPr="00B206E9">
              <w:rPr>
                <w:b/>
                <w:bCs/>
                <w:lang w:val="fr-BE" w:eastAsia="de-DE"/>
              </w:rPr>
              <w:t>Amendment 14</w:t>
            </w:r>
          </w:p>
          <w:p w:rsidR="00B206E9" w:rsidRPr="00B206E9" w:rsidRDefault="00B206E9" w:rsidP="00B206E9">
            <w:pPr>
              <w:spacing w:before="0" w:after="0" w:line="240" w:lineRule="auto"/>
              <w:jc w:val="center"/>
              <w:rPr>
                <w:lang w:val="fr-BE" w:eastAsia="de-DE"/>
              </w:rPr>
            </w:pPr>
            <w:r w:rsidRPr="00B206E9">
              <w:rPr>
                <w:b/>
                <w:bCs/>
                <w:lang w:val="fr-BE" w:eastAsia="de-DE"/>
              </w:rPr>
              <w:t>Article 2 - paragraph 1 a (new)</w:t>
            </w:r>
          </w:p>
        </w:tc>
      </w:tr>
      <w:tr w:rsidR="00B206E9" w:rsidRPr="00B206E9" w:rsidTr="00B206E9">
        <w:tc>
          <w:tcPr>
            <w:tcW w:w="3473" w:type="dxa"/>
          </w:tcPr>
          <w:p w:rsidR="00B206E9" w:rsidRPr="00B206E9" w:rsidRDefault="00B206E9" w:rsidP="00B206E9">
            <w:pPr>
              <w:spacing w:before="0" w:after="0" w:line="240" w:lineRule="auto"/>
              <w:jc w:val="both"/>
              <w:rPr>
                <w:noProof/>
                <w:szCs w:val="20"/>
                <w:lang w:val="fr-BE" w:eastAsia="de-DE"/>
              </w:rPr>
            </w:pPr>
          </w:p>
        </w:tc>
        <w:tc>
          <w:tcPr>
            <w:tcW w:w="3550" w:type="dxa"/>
            <w:gridSpan w:val="4"/>
          </w:tcPr>
          <w:p w:rsidR="00B206E9" w:rsidRPr="00B206E9" w:rsidRDefault="00B206E9" w:rsidP="00B206E9">
            <w:pPr>
              <w:autoSpaceDE w:val="0"/>
              <w:autoSpaceDN w:val="0"/>
              <w:adjustRightInd w:val="0"/>
              <w:spacing w:before="0" w:after="0" w:line="240" w:lineRule="auto"/>
              <w:rPr>
                <w:b/>
                <w:bCs/>
                <w:i/>
                <w:iCs/>
                <w:lang w:eastAsia="de-DE"/>
              </w:rPr>
            </w:pPr>
            <w:r w:rsidRPr="00B206E9">
              <w:rPr>
                <w:b/>
                <w:i/>
                <w:lang w:eastAsia="de-DE"/>
              </w:rPr>
              <w:t>1a. This Directive shall also apply to a combination formed by new medium combustion plants pursuant to Article 3a, including where the total rated thermal input of such combination is equal to or more than 50 MW, unless the combination is a combustion plant covered by Chapter III of Directive 2010/75/EU.</w:t>
            </w:r>
          </w:p>
        </w:tc>
        <w:tc>
          <w:tcPr>
            <w:tcW w:w="3717" w:type="dxa"/>
            <w:gridSpan w:val="2"/>
          </w:tcPr>
          <w:p w:rsidR="00B206E9" w:rsidRPr="00B206E9" w:rsidRDefault="00B206E9" w:rsidP="00B206E9">
            <w:pPr>
              <w:spacing w:before="0" w:after="0" w:line="240" w:lineRule="auto"/>
              <w:ind w:left="7" w:hanging="7"/>
              <w:rPr>
                <w:lang w:eastAsia="de-DE"/>
              </w:rPr>
            </w:pPr>
            <w:r w:rsidRPr="00B206E9">
              <w:rPr>
                <w:b/>
                <w:noProof/>
                <w:lang w:eastAsia="de-DE"/>
              </w:rPr>
              <w:t>This Directive shall also apply to a combination formed by medium combustion plants according to Article 3a, including where the total rated termal input of such combination is equal to or more than 50 MW, unless this combination is a combustion plant covered by Chapter III of Directive 2010/75/EU.</w:t>
            </w:r>
          </w:p>
        </w:tc>
        <w:tc>
          <w:tcPr>
            <w:tcW w:w="3816" w:type="dxa"/>
          </w:tcPr>
          <w:p w:rsidR="00B206E9" w:rsidRPr="00B206E9" w:rsidRDefault="00B206E9" w:rsidP="00B206E9">
            <w:pPr>
              <w:spacing w:before="0" w:after="0" w:line="240" w:lineRule="auto"/>
              <w:rPr>
                <w:lang w:val="de-DE" w:eastAsia="de-DE"/>
              </w:rPr>
            </w:pPr>
            <w:r w:rsidRPr="00B206E9">
              <w:rPr>
                <w:lang w:val="de-DE" w:eastAsia="de-DE"/>
              </w:rPr>
              <w:t xml:space="preserve">EP AM </w:t>
            </w:r>
            <w:proofErr w:type="spellStart"/>
            <w:r w:rsidRPr="00B206E9">
              <w:rPr>
                <w:lang w:val="de-DE" w:eastAsia="de-DE"/>
              </w:rPr>
              <w:t>acceptable</w:t>
            </w:r>
            <w:proofErr w:type="spellEnd"/>
          </w:p>
          <w:p w:rsidR="00B206E9" w:rsidRPr="00B206E9" w:rsidRDefault="00B206E9" w:rsidP="00B206E9">
            <w:pPr>
              <w:spacing w:before="0" w:after="0" w:line="240" w:lineRule="auto"/>
              <w:rPr>
                <w:lang w:val="de-DE" w:eastAsia="de-DE"/>
              </w:rPr>
            </w:pPr>
          </w:p>
        </w:tc>
      </w:tr>
      <w:tr w:rsidR="00B206E9" w:rsidRPr="00B206E9" w:rsidTr="00B206E9">
        <w:tc>
          <w:tcPr>
            <w:tcW w:w="14556" w:type="dxa"/>
            <w:gridSpan w:val="8"/>
          </w:tcPr>
          <w:p w:rsidR="00B206E9" w:rsidRPr="00B206E9" w:rsidRDefault="00B206E9" w:rsidP="00B206E9">
            <w:pPr>
              <w:spacing w:before="0" w:after="0" w:line="240" w:lineRule="auto"/>
              <w:jc w:val="center"/>
              <w:rPr>
                <w:b/>
                <w:bCs/>
                <w:lang w:val="de-DE" w:eastAsia="de-DE"/>
              </w:rPr>
            </w:pPr>
            <w:r w:rsidRPr="00B206E9">
              <w:rPr>
                <w:b/>
                <w:bCs/>
                <w:lang w:val="de-DE" w:eastAsia="de-DE"/>
              </w:rPr>
              <w:t>Amendment 5</w:t>
            </w:r>
          </w:p>
          <w:p w:rsidR="00B206E9" w:rsidRPr="00B206E9" w:rsidRDefault="00B206E9" w:rsidP="00B206E9">
            <w:pPr>
              <w:spacing w:before="0" w:after="0" w:line="240" w:lineRule="auto"/>
              <w:jc w:val="center"/>
              <w:rPr>
                <w:lang w:val="de-DE" w:eastAsia="de-DE"/>
              </w:rPr>
            </w:pPr>
            <w:r w:rsidRPr="00B206E9">
              <w:rPr>
                <w:b/>
                <w:bCs/>
                <w:lang w:val="de-DE" w:eastAsia="de-DE"/>
              </w:rPr>
              <w:t>Recital 9 b (</w:t>
            </w:r>
            <w:proofErr w:type="spellStart"/>
            <w:r w:rsidRPr="00B206E9">
              <w:rPr>
                <w:b/>
                <w:bCs/>
                <w:lang w:val="de-DE" w:eastAsia="de-DE"/>
              </w:rPr>
              <w:t>new</w:t>
            </w:r>
            <w:proofErr w:type="spellEnd"/>
            <w:r w:rsidRPr="00B206E9">
              <w:rPr>
                <w:b/>
                <w:bCs/>
                <w:lang w:val="de-DE" w:eastAsia="de-DE"/>
              </w:rPr>
              <w:t>)</w:t>
            </w:r>
          </w:p>
        </w:tc>
      </w:tr>
      <w:tr w:rsidR="00B206E9" w:rsidRPr="00B206E9" w:rsidTr="00B206E9">
        <w:tc>
          <w:tcPr>
            <w:tcW w:w="3473" w:type="dxa"/>
          </w:tcPr>
          <w:p w:rsidR="00B206E9" w:rsidRPr="00B206E9" w:rsidRDefault="00B206E9" w:rsidP="00B206E9">
            <w:pPr>
              <w:spacing w:before="0" w:after="0" w:line="240" w:lineRule="auto"/>
              <w:rPr>
                <w:lang w:val="de-DE" w:eastAsia="de-DE"/>
              </w:rPr>
            </w:pPr>
          </w:p>
        </w:tc>
        <w:tc>
          <w:tcPr>
            <w:tcW w:w="3550" w:type="dxa"/>
            <w:gridSpan w:val="4"/>
          </w:tcPr>
          <w:p w:rsidR="00B206E9" w:rsidRPr="00B206E9" w:rsidRDefault="00B206E9" w:rsidP="00B206E9">
            <w:pPr>
              <w:spacing w:before="0" w:after="0" w:line="240" w:lineRule="auto"/>
              <w:rPr>
                <w:lang w:eastAsia="de-DE"/>
              </w:rPr>
            </w:pPr>
            <w:r w:rsidRPr="00B206E9">
              <w:rPr>
                <w:b/>
                <w:i/>
                <w:lang w:eastAsia="de-DE"/>
              </w:rPr>
              <w:t>(9b) This Directive should apply to combinations formed by two or more combustion plants having a total rated thermal input equal to or greater than 1 MW and less than 50 MW, unless the combination is a combustion plant covered by Chapter III of Directive 2010/75/EU. If more than one individual combustion plant with a rated thermal input of less than 1 MW is installed on a single site in a load-sharing arrangement, such combination should be considered as a single combustion plant for the purposes of this Directive.</w:t>
            </w:r>
          </w:p>
        </w:tc>
        <w:tc>
          <w:tcPr>
            <w:tcW w:w="3717" w:type="dxa"/>
            <w:gridSpan w:val="2"/>
          </w:tcPr>
          <w:p w:rsidR="00B206E9" w:rsidRPr="00B206E9" w:rsidRDefault="00B206E9" w:rsidP="00B206E9">
            <w:pPr>
              <w:spacing w:before="0" w:after="0" w:line="240" w:lineRule="auto"/>
              <w:rPr>
                <w:lang w:eastAsia="de-DE"/>
              </w:rPr>
            </w:pPr>
            <w:r w:rsidRPr="00B206E9">
              <w:rPr>
                <w:b/>
                <w:noProof/>
                <w:lang w:eastAsia="de-DE"/>
              </w:rPr>
              <w:t>(10b) This Directive should apply to combustion plants, including a combination formed by two or more combustion plants, with a total rated thermal input equal to or greater than 1 MW and less than 50 MW. Individual</w:t>
            </w:r>
            <w:r w:rsidRPr="00B206E9">
              <w:rPr>
                <w:b/>
                <w:bCs/>
                <w:lang w:eastAsia="de-DE"/>
              </w:rPr>
              <w:t xml:space="preserve"> combustion plants with a rated thermal input below 1 MW should not be considered for the purpose of calculating the total rated thermal input of a combination of combustion plants. </w:t>
            </w:r>
            <w:r w:rsidRPr="00B206E9">
              <w:rPr>
                <w:b/>
                <w:noProof/>
                <w:lang w:eastAsia="de-DE"/>
              </w:rPr>
              <w:t>In order to avoid regulatory gaps, the provisions of this Directive should also apply to a combination formed by medium combustion plants where the total rated termal input is equal to or more than 50 MW, without prejudice to the provisions of Chapter III of Directive 2010/75/EU.</w:t>
            </w:r>
          </w:p>
        </w:tc>
        <w:tc>
          <w:tcPr>
            <w:tcW w:w="3816" w:type="dxa"/>
          </w:tcPr>
          <w:p w:rsidR="00B206E9" w:rsidRPr="00B206E9" w:rsidRDefault="00B206E9" w:rsidP="00B206E9">
            <w:pPr>
              <w:spacing w:before="0" w:after="0" w:line="240" w:lineRule="auto"/>
              <w:rPr>
                <w:lang w:val="de-DE" w:eastAsia="de-DE"/>
              </w:rPr>
            </w:pPr>
            <w:r w:rsidRPr="00B206E9">
              <w:rPr>
                <w:lang w:val="de-DE" w:eastAsia="de-DE"/>
              </w:rPr>
              <w:t xml:space="preserve">EP AM not </w:t>
            </w:r>
            <w:proofErr w:type="spellStart"/>
            <w:r w:rsidRPr="00B206E9">
              <w:rPr>
                <w:lang w:val="de-DE" w:eastAsia="de-DE"/>
              </w:rPr>
              <w:t>acceptable</w:t>
            </w:r>
            <w:proofErr w:type="spellEnd"/>
          </w:p>
          <w:p w:rsidR="00B206E9" w:rsidRPr="00B206E9" w:rsidRDefault="00B206E9" w:rsidP="00B206E9">
            <w:pPr>
              <w:spacing w:before="0" w:after="0" w:line="240" w:lineRule="auto"/>
              <w:rPr>
                <w:lang w:val="de-DE" w:eastAsia="de-DE"/>
              </w:rPr>
            </w:pPr>
          </w:p>
        </w:tc>
      </w:tr>
    </w:tbl>
    <w:p w:rsidR="000A4DB5" w:rsidRPr="000A4DB5" w:rsidRDefault="000A4DB5" w:rsidP="000A4DB5">
      <w:pPr>
        <w:spacing w:before="0" w:after="0" w:line="240" w:lineRule="auto"/>
        <w:rPr>
          <w:lang w:eastAsia="en-GB"/>
        </w:rPr>
      </w:pPr>
    </w:p>
    <w:p w:rsidR="00DA6A08" w:rsidRDefault="00DA6A08" w:rsidP="00DA6A08">
      <w:pPr>
        <w:spacing w:before="0" w:after="0" w:line="240" w:lineRule="auto"/>
        <w:rPr>
          <w:bCs/>
          <w:lang w:eastAsia="en-GB"/>
        </w:rPr>
      </w:pPr>
      <w:r w:rsidRPr="00DA6A08">
        <w:rPr>
          <w:b/>
          <w:lang w:eastAsia="en-GB"/>
        </w:rPr>
        <w:t>3.</w:t>
      </w:r>
      <w:r w:rsidRPr="00DA6A08">
        <w:rPr>
          <w:b/>
          <w:lang w:eastAsia="en-GB"/>
        </w:rPr>
        <w:tab/>
        <w:t xml:space="preserve">Energy efficiency </w:t>
      </w:r>
      <w:r w:rsidRPr="00DA6A08">
        <w:rPr>
          <w:bCs/>
          <w:lang w:eastAsia="en-GB"/>
        </w:rPr>
        <w:t>(AM 55)</w:t>
      </w:r>
    </w:p>
    <w:p w:rsidR="008D3AC6" w:rsidRDefault="008D3AC6" w:rsidP="00DA6A08">
      <w:pPr>
        <w:spacing w:before="0" w:after="0" w:line="240" w:lineRule="auto"/>
        <w:rPr>
          <w:bCs/>
          <w:lang w:eastAsia="en-GB"/>
        </w:rPr>
      </w:pPr>
    </w:p>
    <w:tbl>
      <w:tblPr>
        <w:tblStyle w:val="TableGrid"/>
        <w:tblW w:w="14709" w:type="dxa"/>
        <w:tblLook w:val="04A0" w:firstRow="1" w:lastRow="0" w:firstColumn="1" w:lastColumn="0" w:noHBand="0" w:noVBand="1"/>
      </w:tblPr>
      <w:tblGrid>
        <w:gridCol w:w="3523"/>
        <w:gridCol w:w="177"/>
        <w:gridCol w:w="3209"/>
        <w:gridCol w:w="481"/>
        <w:gridCol w:w="3350"/>
        <w:gridCol w:w="378"/>
        <w:gridCol w:w="3591"/>
      </w:tblGrid>
      <w:tr w:rsidR="00DA6A08" w:rsidRPr="00672612" w:rsidTr="00DA6A08">
        <w:trPr>
          <w:tblHeader/>
        </w:trPr>
        <w:tc>
          <w:tcPr>
            <w:tcW w:w="3523" w:type="dxa"/>
            <w:shd w:val="clear" w:color="auto" w:fill="7F7F7F" w:themeFill="text1" w:themeFillTint="80"/>
          </w:tcPr>
          <w:p w:rsidR="00DA6A08" w:rsidRPr="00672612" w:rsidRDefault="00DA6A08" w:rsidP="00970BCD">
            <w:pPr>
              <w:widowControl w:val="0"/>
              <w:jc w:val="center"/>
              <w:rPr>
                <w:b/>
                <w:szCs w:val="20"/>
                <w:lang w:eastAsia="fr-BE"/>
              </w:rPr>
            </w:pPr>
            <w:r>
              <w:rPr>
                <w:b/>
                <w:szCs w:val="20"/>
                <w:lang w:eastAsia="fr-BE"/>
              </w:rPr>
              <w:t>Commission p</w:t>
            </w:r>
            <w:r w:rsidRPr="00672612">
              <w:rPr>
                <w:b/>
                <w:szCs w:val="20"/>
                <w:lang w:eastAsia="fr-BE"/>
              </w:rPr>
              <w:t>roposal</w:t>
            </w:r>
          </w:p>
        </w:tc>
        <w:tc>
          <w:tcPr>
            <w:tcW w:w="3386" w:type="dxa"/>
            <w:gridSpan w:val="2"/>
            <w:shd w:val="clear" w:color="auto" w:fill="7F7F7F" w:themeFill="text1" w:themeFillTint="80"/>
          </w:tcPr>
          <w:p w:rsidR="00DA6A08" w:rsidRPr="00672612" w:rsidRDefault="00DA6A08" w:rsidP="00970BCD">
            <w:pPr>
              <w:jc w:val="center"/>
            </w:pPr>
            <w:r w:rsidRPr="00672612">
              <w:rPr>
                <w:b/>
              </w:rPr>
              <w:t>EP Amendments</w:t>
            </w:r>
          </w:p>
        </w:tc>
        <w:tc>
          <w:tcPr>
            <w:tcW w:w="3831" w:type="dxa"/>
            <w:gridSpan w:val="2"/>
            <w:shd w:val="clear" w:color="auto" w:fill="7F7F7F" w:themeFill="text1" w:themeFillTint="80"/>
          </w:tcPr>
          <w:p w:rsidR="00DA6A08" w:rsidRPr="00672612" w:rsidRDefault="00DA6A08" w:rsidP="00970BCD">
            <w:pPr>
              <w:jc w:val="center"/>
            </w:pPr>
            <w:r>
              <w:rPr>
                <w:b/>
              </w:rPr>
              <w:t>Council p</w:t>
            </w:r>
            <w:r w:rsidRPr="00672612">
              <w:rPr>
                <w:b/>
              </w:rPr>
              <w:t>osition</w:t>
            </w:r>
          </w:p>
        </w:tc>
        <w:tc>
          <w:tcPr>
            <w:tcW w:w="3969" w:type="dxa"/>
            <w:gridSpan w:val="2"/>
            <w:shd w:val="clear" w:color="auto" w:fill="7F7F7F" w:themeFill="text1" w:themeFillTint="80"/>
          </w:tcPr>
          <w:p w:rsidR="00DA6A08" w:rsidRPr="00672612" w:rsidRDefault="00DA6A08" w:rsidP="00970BCD">
            <w:pPr>
              <w:jc w:val="center"/>
              <w:rPr>
                <w:b/>
                <w:bCs/>
              </w:rPr>
            </w:pPr>
            <w:r w:rsidRPr="00672612">
              <w:rPr>
                <w:b/>
                <w:bCs/>
              </w:rPr>
              <w:t>Comments</w:t>
            </w:r>
          </w:p>
        </w:tc>
      </w:tr>
      <w:tr w:rsidR="00DA6A08" w:rsidRPr="00DA6A08" w:rsidTr="00DA6A08">
        <w:tc>
          <w:tcPr>
            <w:tcW w:w="14709" w:type="dxa"/>
            <w:gridSpan w:val="7"/>
          </w:tcPr>
          <w:p w:rsidR="00DA6A08" w:rsidRPr="00DA6A08" w:rsidRDefault="00DA6A08" w:rsidP="00DA6A08">
            <w:pPr>
              <w:spacing w:before="0" w:after="0" w:line="240" w:lineRule="auto"/>
              <w:jc w:val="center"/>
              <w:rPr>
                <w:b/>
                <w:bCs/>
                <w:lang w:val="de-DE" w:eastAsia="de-DE"/>
              </w:rPr>
            </w:pPr>
            <w:r w:rsidRPr="00DA6A08">
              <w:rPr>
                <w:b/>
                <w:bCs/>
                <w:lang w:val="de-DE" w:eastAsia="de-DE"/>
              </w:rPr>
              <w:t>Amendment 55</w:t>
            </w:r>
          </w:p>
          <w:p w:rsidR="00DA6A08" w:rsidRPr="00DA6A08" w:rsidRDefault="00DA6A08" w:rsidP="00DA6A08">
            <w:pPr>
              <w:pageBreakBefore/>
              <w:spacing w:before="0" w:after="0" w:line="240" w:lineRule="auto"/>
              <w:jc w:val="center"/>
              <w:rPr>
                <w:lang w:val="de-DE" w:eastAsia="de-DE"/>
              </w:rPr>
            </w:pPr>
            <w:proofErr w:type="spellStart"/>
            <w:r w:rsidRPr="00DA6A08">
              <w:rPr>
                <w:b/>
                <w:bCs/>
                <w:lang w:val="de-DE" w:eastAsia="de-DE"/>
              </w:rPr>
              <w:t>Article</w:t>
            </w:r>
            <w:proofErr w:type="spellEnd"/>
            <w:r w:rsidRPr="00DA6A08">
              <w:rPr>
                <w:b/>
                <w:bCs/>
                <w:lang w:val="de-DE" w:eastAsia="de-DE"/>
              </w:rPr>
              <w:t xml:space="preserve"> 5 a (</w:t>
            </w:r>
            <w:proofErr w:type="spellStart"/>
            <w:r w:rsidRPr="00DA6A08">
              <w:rPr>
                <w:b/>
                <w:bCs/>
                <w:lang w:val="de-DE" w:eastAsia="de-DE"/>
              </w:rPr>
              <w:t>new</w:t>
            </w:r>
            <w:proofErr w:type="spellEnd"/>
            <w:r w:rsidRPr="00DA6A08">
              <w:rPr>
                <w:b/>
                <w:bCs/>
                <w:lang w:val="de-DE" w:eastAsia="de-DE"/>
              </w:rPr>
              <w:t>)</w:t>
            </w:r>
          </w:p>
        </w:tc>
      </w:tr>
      <w:tr w:rsidR="00DA6A08" w:rsidRPr="00DA6A08" w:rsidTr="00DA6A08">
        <w:tc>
          <w:tcPr>
            <w:tcW w:w="3700" w:type="dxa"/>
            <w:gridSpan w:val="2"/>
          </w:tcPr>
          <w:p w:rsidR="00DA6A08" w:rsidRPr="00DA6A08" w:rsidRDefault="00DA6A08" w:rsidP="00DA6A08">
            <w:pPr>
              <w:spacing w:before="0" w:after="0" w:line="240" w:lineRule="auto"/>
              <w:rPr>
                <w:lang w:val="de-DE" w:eastAsia="de-DE"/>
              </w:rPr>
            </w:pPr>
          </w:p>
        </w:tc>
        <w:tc>
          <w:tcPr>
            <w:tcW w:w="3690" w:type="dxa"/>
            <w:gridSpan w:val="2"/>
          </w:tcPr>
          <w:p w:rsidR="00DA6A08" w:rsidRPr="00DA6A08" w:rsidRDefault="00DA6A08" w:rsidP="00DA6A08">
            <w:pPr>
              <w:autoSpaceDE w:val="0"/>
              <w:autoSpaceDN w:val="0"/>
              <w:adjustRightInd w:val="0"/>
              <w:spacing w:before="0" w:after="0" w:line="240" w:lineRule="auto"/>
              <w:jc w:val="center"/>
              <w:rPr>
                <w:b/>
                <w:bCs/>
                <w:i/>
                <w:iCs/>
                <w:lang w:eastAsia="de-DE"/>
              </w:rPr>
            </w:pPr>
            <w:r w:rsidRPr="00DA6A08">
              <w:rPr>
                <w:b/>
                <w:bCs/>
                <w:i/>
                <w:iCs/>
                <w:lang w:eastAsia="de-DE"/>
              </w:rPr>
              <w:t>Article 5a</w:t>
            </w:r>
          </w:p>
          <w:p w:rsidR="00DA6A08" w:rsidRPr="00DA6A08" w:rsidRDefault="00DA6A08" w:rsidP="00DA6A08">
            <w:pPr>
              <w:autoSpaceDE w:val="0"/>
              <w:autoSpaceDN w:val="0"/>
              <w:adjustRightInd w:val="0"/>
              <w:spacing w:before="0" w:after="0" w:line="240" w:lineRule="auto"/>
              <w:jc w:val="center"/>
              <w:rPr>
                <w:b/>
                <w:bCs/>
                <w:i/>
                <w:iCs/>
                <w:lang w:eastAsia="de-DE"/>
              </w:rPr>
            </w:pPr>
            <w:r w:rsidRPr="00DA6A08">
              <w:rPr>
                <w:b/>
                <w:bCs/>
                <w:i/>
                <w:iCs/>
                <w:lang w:eastAsia="de-DE"/>
              </w:rPr>
              <w:t>Energy Efficiency</w:t>
            </w:r>
          </w:p>
          <w:p w:rsidR="00DA6A08" w:rsidRPr="00DA6A08" w:rsidRDefault="00DA6A08" w:rsidP="00DA6A08">
            <w:pPr>
              <w:autoSpaceDE w:val="0"/>
              <w:autoSpaceDN w:val="0"/>
              <w:adjustRightInd w:val="0"/>
              <w:spacing w:before="0" w:after="0" w:line="240" w:lineRule="auto"/>
              <w:rPr>
                <w:lang w:eastAsia="de-DE"/>
              </w:rPr>
            </w:pPr>
          </w:p>
          <w:p w:rsidR="00DA6A08" w:rsidRPr="00DA6A08" w:rsidRDefault="00DA6A08" w:rsidP="00DA6A08">
            <w:pPr>
              <w:autoSpaceDE w:val="0"/>
              <w:autoSpaceDN w:val="0"/>
              <w:adjustRightInd w:val="0"/>
              <w:spacing w:before="0" w:after="0" w:line="240" w:lineRule="auto"/>
              <w:rPr>
                <w:b/>
                <w:bCs/>
                <w:i/>
                <w:iCs/>
                <w:lang w:eastAsia="de-DE"/>
              </w:rPr>
            </w:pPr>
            <w:r w:rsidRPr="00DA6A08">
              <w:rPr>
                <w:b/>
                <w:bCs/>
                <w:i/>
                <w:iCs/>
                <w:lang w:eastAsia="de-DE"/>
              </w:rPr>
              <w:t>1. Member States shall take measures to promote increased energy efficiency of medium combustion plants.</w:t>
            </w:r>
          </w:p>
          <w:p w:rsidR="00DA6A08" w:rsidRPr="00DA6A08" w:rsidRDefault="00DA6A08" w:rsidP="00DA6A08">
            <w:pPr>
              <w:autoSpaceDE w:val="0"/>
              <w:autoSpaceDN w:val="0"/>
              <w:adjustRightInd w:val="0"/>
              <w:spacing w:before="0" w:after="0" w:line="240" w:lineRule="auto"/>
              <w:rPr>
                <w:b/>
                <w:bCs/>
                <w:i/>
                <w:iCs/>
                <w:lang w:eastAsia="de-DE"/>
              </w:rPr>
            </w:pPr>
          </w:p>
          <w:p w:rsidR="00DA6A08" w:rsidRPr="00DA6A08" w:rsidRDefault="00DA6A08" w:rsidP="00DA6A08">
            <w:pPr>
              <w:autoSpaceDE w:val="0"/>
              <w:autoSpaceDN w:val="0"/>
              <w:adjustRightInd w:val="0"/>
              <w:spacing w:before="0" w:after="0" w:line="240" w:lineRule="auto"/>
              <w:rPr>
                <w:b/>
                <w:bCs/>
                <w:i/>
                <w:iCs/>
                <w:lang w:eastAsia="de-DE"/>
              </w:rPr>
            </w:pPr>
            <w:r w:rsidRPr="00DA6A08">
              <w:rPr>
                <w:b/>
                <w:i/>
                <w:lang w:eastAsia="de-DE"/>
              </w:rPr>
              <w:t>2. By 31 December 2016, the Commission shall assess the minimum energy efficiency standards for medium combustion plants in line with best available techniques.</w:t>
            </w:r>
          </w:p>
          <w:p w:rsidR="00DA6A08" w:rsidRPr="00DA6A08" w:rsidRDefault="00DA6A08" w:rsidP="00DA6A08">
            <w:pPr>
              <w:autoSpaceDE w:val="0"/>
              <w:autoSpaceDN w:val="0"/>
              <w:adjustRightInd w:val="0"/>
              <w:spacing w:before="0" w:after="0" w:line="240" w:lineRule="auto"/>
              <w:rPr>
                <w:b/>
                <w:bCs/>
                <w:i/>
                <w:iCs/>
                <w:lang w:eastAsia="de-DE"/>
              </w:rPr>
            </w:pPr>
          </w:p>
          <w:p w:rsidR="00DA6A08" w:rsidRPr="00DA6A08" w:rsidRDefault="00DA6A08" w:rsidP="00DA6A08">
            <w:pPr>
              <w:autoSpaceDE w:val="0"/>
              <w:autoSpaceDN w:val="0"/>
              <w:adjustRightInd w:val="0"/>
              <w:spacing w:before="0" w:after="0" w:line="240" w:lineRule="auto"/>
              <w:rPr>
                <w:b/>
                <w:bCs/>
                <w:i/>
                <w:iCs/>
                <w:lang w:eastAsia="de-DE"/>
              </w:rPr>
            </w:pPr>
            <w:r w:rsidRPr="00DA6A08">
              <w:rPr>
                <w:b/>
                <w:i/>
                <w:lang w:eastAsia="de-DE"/>
              </w:rPr>
              <w:t>3. The Commission shall report the results of that assessment to the European Parliament and to the Council accompanied by a legislative proposal, where appropriate, setting efficiency performance levels for new medium combustion plants that will apply from 1 January 2020.</w:t>
            </w:r>
          </w:p>
        </w:tc>
        <w:tc>
          <w:tcPr>
            <w:tcW w:w="3728" w:type="dxa"/>
            <w:gridSpan w:val="2"/>
          </w:tcPr>
          <w:p w:rsidR="00DA6A08" w:rsidRPr="00DA6A08" w:rsidRDefault="00DA6A08" w:rsidP="00DA6A08">
            <w:pPr>
              <w:spacing w:before="0" w:after="0" w:line="240" w:lineRule="auto"/>
              <w:rPr>
                <w:b/>
                <w:i/>
                <w:lang w:eastAsia="de-DE"/>
              </w:rPr>
            </w:pPr>
          </w:p>
        </w:tc>
        <w:tc>
          <w:tcPr>
            <w:tcW w:w="3591" w:type="dxa"/>
          </w:tcPr>
          <w:p w:rsidR="00DA6A08" w:rsidRPr="00DA6A08" w:rsidRDefault="00DA6A08" w:rsidP="00DA6A08">
            <w:pPr>
              <w:spacing w:before="0" w:after="0" w:line="240" w:lineRule="auto"/>
              <w:rPr>
                <w:lang w:eastAsia="de-DE"/>
              </w:rPr>
            </w:pPr>
            <w:r w:rsidRPr="00DA6A08">
              <w:rPr>
                <w:lang w:eastAsia="de-DE"/>
              </w:rPr>
              <w:t>New recital 10d:</w:t>
            </w:r>
          </w:p>
          <w:p w:rsidR="00DA6A08" w:rsidRPr="00DA6A08" w:rsidRDefault="00DA6A08" w:rsidP="00DA6A08">
            <w:pPr>
              <w:spacing w:before="0" w:after="0" w:line="240" w:lineRule="auto"/>
              <w:rPr>
                <w:lang w:eastAsia="de-DE"/>
              </w:rPr>
            </w:pPr>
          </w:p>
          <w:p w:rsidR="00DA6A08" w:rsidRPr="00DA6A08" w:rsidRDefault="00DA6A08" w:rsidP="00DA6A08">
            <w:pPr>
              <w:spacing w:before="0" w:after="0" w:line="240" w:lineRule="auto"/>
              <w:rPr>
                <w:b/>
                <w:bCs/>
                <w:lang w:eastAsia="de-DE"/>
              </w:rPr>
            </w:pPr>
            <w:r w:rsidRPr="00DA6A08">
              <w:rPr>
                <w:b/>
                <w:bCs/>
                <w:lang w:eastAsia="de-DE"/>
              </w:rPr>
              <w:t xml:space="preserve">(10d) Medium combustion plants should be developed and operated in such a way to promote energy efficiency and such considerations should in particular be taken into account when retrofitting or deciding on major investments. </w:t>
            </w:r>
          </w:p>
          <w:p w:rsidR="00DA6A08" w:rsidRPr="00DA6A08" w:rsidRDefault="00DA6A08" w:rsidP="00DA6A08">
            <w:pPr>
              <w:spacing w:before="0" w:after="0" w:line="240" w:lineRule="auto"/>
              <w:rPr>
                <w:lang w:eastAsia="de-DE"/>
              </w:rPr>
            </w:pPr>
          </w:p>
          <w:p w:rsidR="00DA6A08" w:rsidRPr="00DA6A08" w:rsidRDefault="00DA6A08" w:rsidP="00DA6A08">
            <w:pPr>
              <w:autoSpaceDE w:val="0"/>
              <w:autoSpaceDN w:val="0"/>
              <w:adjustRightInd w:val="0"/>
              <w:spacing w:before="0" w:after="0" w:line="240" w:lineRule="auto"/>
              <w:rPr>
                <w:lang w:eastAsia="de-DE"/>
              </w:rPr>
            </w:pPr>
          </w:p>
        </w:tc>
      </w:tr>
    </w:tbl>
    <w:p w:rsidR="00DA6A08" w:rsidRDefault="00DA6A08" w:rsidP="00DA6A08">
      <w:pPr>
        <w:spacing w:before="0" w:after="0" w:line="240" w:lineRule="auto"/>
        <w:ind w:left="567"/>
        <w:rPr>
          <w:b/>
          <w:lang w:eastAsia="en-GB"/>
        </w:rPr>
      </w:pPr>
    </w:p>
    <w:p w:rsidR="00DA6A08" w:rsidRDefault="008D3AC6" w:rsidP="00DA6A08">
      <w:pPr>
        <w:spacing w:before="0" w:after="0" w:line="240" w:lineRule="auto"/>
        <w:rPr>
          <w:lang w:eastAsia="en-GB"/>
        </w:rPr>
      </w:pPr>
      <w:r>
        <w:rPr>
          <w:b/>
          <w:lang w:eastAsia="en-GB"/>
        </w:rPr>
        <w:br w:type="page"/>
      </w:r>
      <w:r w:rsidR="00DA6A08" w:rsidRPr="00DA6A08">
        <w:rPr>
          <w:b/>
          <w:lang w:eastAsia="en-GB"/>
        </w:rPr>
        <w:t>4.</w:t>
      </w:r>
      <w:r w:rsidR="00DA6A08" w:rsidRPr="00DA6A08">
        <w:rPr>
          <w:b/>
          <w:lang w:eastAsia="en-GB"/>
        </w:rPr>
        <w:tab/>
        <w:t xml:space="preserve">Annex III </w:t>
      </w:r>
      <w:r w:rsidR="00DA6A08" w:rsidRPr="00DA6A08">
        <w:rPr>
          <w:bCs/>
          <w:lang w:eastAsia="en-GB"/>
        </w:rPr>
        <w:t>(</w:t>
      </w:r>
      <w:r w:rsidR="00DA6A08" w:rsidRPr="00DA6A08">
        <w:rPr>
          <w:lang w:eastAsia="en-GB"/>
        </w:rPr>
        <w:t>AM 54, A</w:t>
      </w:r>
      <w:r w:rsidR="00AD59A8">
        <w:rPr>
          <w:lang w:eastAsia="en-GB"/>
        </w:rPr>
        <w:t>rticle 5</w:t>
      </w:r>
      <w:r w:rsidR="00DA6A08" w:rsidRPr="00DA6A08">
        <w:rPr>
          <w:lang w:eastAsia="en-GB"/>
        </w:rPr>
        <w:t>(5), Annex III, AM 9)</w:t>
      </w:r>
    </w:p>
    <w:p w:rsidR="008D3AC6" w:rsidRDefault="008D3AC6" w:rsidP="00DA6A08">
      <w:pPr>
        <w:spacing w:before="0" w:after="0" w:line="240" w:lineRule="auto"/>
        <w:rPr>
          <w:lang w:eastAsia="en-GB"/>
        </w:rPr>
      </w:pPr>
    </w:p>
    <w:tbl>
      <w:tblPr>
        <w:tblStyle w:val="TableGrid"/>
        <w:tblW w:w="14179" w:type="dxa"/>
        <w:tblLook w:val="04A0" w:firstRow="1" w:lastRow="0" w:firstColumn="1" w:lastColumn="0" w:noHBand="0" w:noVBand="1"/>
      </w:tblPr>
      <w:tblGrid>
        <w:gridCol w:w="3523"/>
        <w:gridCol w:w="21"/>
        <w:gridCol w:w="22"/>
        <w:gridCol w:w="7"/>
        <w:gridCol w:w="79"/>
        <w:gridCol w:w="3257"/>
        <w:gridCol w:w="180"/>
        <w:gridCol w:w="35"/>
        <w:gridCol w:w="146"/>
        <w:gridCol w:w="3364"/>
        <w:gridCol w:w="13"/>
        <w:gridCol w:w="17"/>
        <w:gridCol w:w="76"/>
        <w:gridCol w:w="7"/>
        <w:gridCol w:w="3432"/>
      </w:tblGrid>
      <w:tr w:rsidR="008D3AC6" w:rsidRPr="00672612" w:rsidTr="008D3AC6">
        <w:trPr>
          <w:tblHeader/>
        </w:trPr>
        <w:tc>
          <w:tcPr>
            <w:tcW w:w="3523" w:type="dxa"/>
            <w:shd w:val="clear" w:color="auto" w:fill="7F7F7F" w:themeFill="text1" w:themeFillTint="80"/>
          </w:tcPr>
          <w:p w:rsidR="008D3AC6" w:rsidRPr="00672612" w:rsidRDefault="008D3AC6" w:rsidP="00970BCD">
            <w:pPr>
              <w:widowControl w:val="0"/>
              <w:jc w:val="center"/>
              <w:rPr>
                <w:b/>
                <w:szCs w:val="20"/>
                <w:lang w:eastAsia="fr-BE"/>
              </w:rPr>
            </w:pPr>
            <w:r>
              <w:rPr>
                <w:b/>
                <w:szCs w:val="20"/>
                <w:lang w:eastAsia="fr-BE"/>
              </w:rPr>
              <w:t>Commission p</w:t>
            </w:r>
            <w:r w:rsidRPr="00672612">
              <w:rPr>
                <w:b/>
                <w:szCs w:val="20"/>
                <w:lang w:eastAsia="fr-BE"/>
              </w:rPr>
              <w:t>roposal</w:t>
            </w:r>
          </w:p>
        </w:tc>
        <w:tc>
          <w:tcPr>
            <w:tcW w:w="3386" w:type="dxa"/>
            <w:gridSpan w:val="5"/>
            <w:shd w:val="clear" w:color="auto" w:fill="7F7F7F" w:themeFill="text1" w:themeFillTint="80"/>
          </w:tcPr>
          <w:p w:rsidR="008D3AC6" w:rsidRPr="00672612" w:rsidRDefault="008D3AC6" w:rsidP="00970BCD">
            <w:pPr>
              <w:jc w:val="center"/>
            </w:pPr>
            <w:r w:rsidRPr="00672612">
              <w:rPr>
                <w:b/>
              </w:rPr>
              <w:t>EP Amendments</w:t>
            </w:r>
          </w:p>
        </w:tc>
        <w:tc>
          <w:tcPr>
            <w:tcW w:w="3831" w:type="dxa"/>
            <w:gridSpan w:val="7"/>
            <w:shd w:val="clear" w:color="auto" w:fill="7F7F7F" w:themeFill="text1" w:themeFillTint="80"/>
          </w:tcPr>
          <w:p w:rsidR="008D3AC6" w:rsidRPr="00672612" w:rsidRDefault="008D3AC6" w:rsidP="00970BCD">
            <w:pPr>
              <w:jc w:val="center"/>
            </w:pPr>
            <w:r>
              <w:rPr>
                <w:b/>
              </w:rPr>
              <w:t>Council p</w:t>
            </w:r>
            <w:r w:rsidRPr="00672612">
              <w:rPr>
                <w:b/>
              </w:rPr>
              <w:t>osition</w:t>
            </w:r>
          </w:p>
        </w:tc>
        <w:tc>
          <w:tcPr>
            <w:tcW w:w="3439" w:type="dxa"/>
            <w:gridSpan w:val="2"/>
            <w:shd w:val="clear" w:color="auto" w:fill="7F7F7F" w:themeFill="text1" w:themeFillTint="80"/>
          </w:tcPr>
          <w:p w:rsidR="008D3AC6" w:rsidRPr="00672612" w:rsidRDefault="008D3AC6" w:rsidP="00970BCD">
            <w:pPr>
              <w:jc w:val="center"/>
              <w:rPr>
                <w:b/>
                <w:bCs/>
              </w:rPr>
            </w:pPr>
            <w:r w:rsidRPr="00672612">
              <w:rPr>
                <w:b/>
                <w:bCs/>
              </w:rPr>
              <w:t>Comments</w:t>
            </w:r>
          </w:p>
        </w:tc>
      </w:tr>
      <w:tr w:rsidR="00DA6A08" w:rsidRPr="00DA6A08" w:rsidTr="008D3AC6">
        <w:tc>
          <w:tcPr>
            <w:tcW w:w="14179" w:type="dxa"/>
            <w:gridSpan w:val="15"/>
          </w:tcPr>
          <w:p w:rsidR="00DA6A08" w:rsidRPr="00DA6A08" w:rsidRDefault="00DA6A08" w:rsidP="00DA6A08">
            <w:pPr>
              <w:spacing w:before="0" w:after="0" w:line="240" w:lineRule="auto"/>
              <w:jc w:val="center"/>
              <w:rPr>
                <w:b/>
                <w:bCs/>
                <w:lang w:val="de-DE" w:eastAsia="de-DE"/>
              </w:rPr>
            </w:pPr>
            <w:r w:rsidRPr="00DA6A08">
              <w:rPr>
                <w:b/>
                <w:bCs/>
                <w:lang w:eastAsia="de-DE"/>
              </w:rPr>
              <w:t>Amendments</w:t>
            </w:r>
            <w:r w:rsidRPr="00DA6A08">
              <w:rPr>
                <w:b/>
                <w:bCs/>
                <w:lang w:val="de-DE" w:eastAsia="de-DE"/>
              </w:rPr>
              <w:t xml:space="preserve"> 54</w:t>
            </w:r>
          </w:p>
          <w:p w:rsidR="00DA6A08" w:rsidRPr="00DA6A08" w:rsidRDefault="00DA6A08" w:rsidP="00DA6A08">
            <w:pPr>
              <w:spacing w:before="0" w:after="0" w:line="240" w:lineRule="auto"/>
              <w:jc w:val="center"/>
              <w:rPr>
                <w:lang w:val="de-DE" w:eastAsia="de-DE"/>
              </w:rPr>
            </w:pPr>
            <w:proofErr w:type="spellStart"/>
            <w:r w:rsidRPr="00DA6A08">
              <w:rPr>
                <w:b/>
                <w:bCs/>
                <w:lang w:val="de-DE" w:eastAsia="de-DE"/>
              </w:rPr>
              <w:t>Article</w:t>
            </w:r>
            <w:proofErr w:type="spellEnd"/>
            <w:r w:rsidRPr="00DA6A08">
              <w:rPr>
                <w:b/>
                <w:bCs/>
                <w:lang w:val="de-DE" w:eastAsia="de-DE"/>
              </w:rPr>
              <w:t xml:space="preserve"> 5 - </w:t>
            </w:r>
            <w:proofErr w:type="spellStart"/>
            <w:r w:rsidRPr="00DA6A08">
              <w:rPr>
                <w:b/>
                <w:bCs/>
                <w:lang w:val="de-DE" w:eastAsia="de-DE"/>
              </w:rPr>
              <w:t>paragraph</w:t>
            </w:r>
            <w:proofErr w:type="spellEnd"/>
            <w:r w:rsidRPr="00DA6A08">
              <w:rPr>
                <w:b/>
                <w:bCs/>
                <w:lang w:val="de-DE" w:eastAsia="de-DE"/>
              </w:rPr>
              <w:t xml:space="preserve"> 4</w:t>
            </w:r>
          </w:p>
        </w:tc>
      </w:tr>
      <w:tr w:rsidR="00DA6A08" w:rsidRPr="00DA6A08" w:rsidTr="008D3AC6">
        <w:tc>
          <w:tcPr>
            <w:tcW w:w="3573" w:type="dxa"/>
            <w:gridSpan w:val="4"/>
          </w:tcPr>
          <w:p w:rsidR="00DA6A08" w:rsidRPr="00DA6A08" w:rsidRDefault="00DA6A08" w:rsidP="00DA6A08">
            <w:pPr>
              <w:spacing w:before="0" w:after="0" w:line="240" w:lineRule="auto"/>
              <w:rPr>
                <w:lang w:eastAsia="de-DE"/>
              </w:rPr>
            </w:pPr>
            <w:r w:rsidRPr="00DA6A08">
              <w:rPr>
                <w:noProof/>
                <w:lang w:eastAsia="de-DE"/>
              </w:rPr>
              <w:t>4. In zones not complying with EU air quality limit values laid down in Directive 2008/50/EC, Member States shall apply, for individual medium combustion plants in those zones, emission limit values based on the benchmark values laid down in Annex III or on stricter values established by the Member States, unless it is demonstrated to the Commission that applying such emission limit values would entail disproportionate costs and that other measures ensuring compliance with the air quality limit values have been included in the air quality plans required under Article 23 of Directive 2008/50/EC.</w:t>
            </w:r>
          </w:p>
        </w:tc>
        <w:tc>
          <w:tcPr>
            <w:tcW w:w="3551" w:type="dxa"/>
            <w:gridSpan w:val="4"/>
          </w:tcPr>
          <w:p w:rsidR="00DA6A08" w:rsidRPr="00DA6A08" w:rsidRDefault="00DA6A08" w:rsidP="00DA6A08">
            <w:pPr>
              <w:autoSpaceDE w:val="0"/>
              <w:autoSpaceDN w:val="0"/>
              <w:adjustRightInd w:val="0"/>
              <w:spacing w:before="0" w:after="0" w:line="240" w:lineRule="auto"/>
              <w:rPr>
                <w:lang w:eastAsia="de-DE"/>
              </w:rPr>
            </w:pPr>
            <w:r w:rsidRPr="00DA6A08">
              <w:rPr>
                <w:lang w:eastAsia="de-DE"/>
              </w:rPr>
              <w:t>4. In zones not complying with EU air quality limit values laid down in Directive 2008/50/EC, Member States shall</w:t>
            </w:r>
            <w:r w:rsidRPr="00DA6A08">
              <w:rPr>
                <w:b/>
                <w:i/>
                <w:lang w:eastAsia="de-DE"/>
              </w:rPr>
              <w:t xml:space="preserve"> assess the need to</w:t>
            </w:r>
            <w:r w:rsidRPr="00DA6A08">
              <w:rPr>
                <w:lang w:eastAsia="de-DE"/>
              </w:rPr>
              <w:t xml:space="preserve"> apply, for individual medium combustion plants in those zones, </w:t>
            </w:r>
            <w:r w:rsidRPr="00DA6A08">
              <w:rPr>
                <w:b/>
                <w:i/>
                <w:lang w:eastAsia="de-DE"/>
              </w:rPr>
              <w:t>stricter</w:t>
            </w:r>
            <w:r w:rsidRPr="00DA6A08">
              <w:rPr>
                <w:lang w:eastAsia="de-DE"/>
              </w:rPr>
              <w:t xml:space="preserve"> emission limit values based on the benchmark values laid down in Annex III.</w:t>
            </w:r>
          </w:p>
        </w:tc>
        <w:tc>
          <w:tcPr>
            <w:tcW w:w="3523" w:type="dxa"/>
            <w:gridSpan w:val="3"/>
          </w:tcPr>
          <w:p w:rsidR="00DA6A08" w:rsidRPr="00DA6A08" w:rsidRDefault="00DA6A08" w:rsidP="00DA6A08">
            <w:pPr>
              <w:spacing w:before="0" w:after="0" w:line="240" w:lineRule="auto"/>
              <w:rPr>
                <w:bCs/>
                <w:noProof/>
                <w:szCs w:val="20"/>
                <w:lang w:val="de-DE" w:eastAsia="de-DE"/>
              </w:rPr>
            </w:pPr>
            <w:r w:rsidRPr="00DA6A08">
              <w:rPr>
                <w:bCs/>
                <w:noProof/>
                <w:szCs w:val="20"/>
                <w:lang w:val="de-DE" w:eastAsia="de-DE"/>
              </w:rPr>
              <w:t>4. […]</w:t>
            </w:r>
          </w:p>
          <w:p w:rsidR="00DA6A08" w:rsidRPr="00DA6A08" w:rsidRDefault="00DA6A08" w:rsidP="00DA6A08">
            <w:pPr>
              <w:spacing w:before="0" w:after="0" w:line="240" w:lineRule="auto"/>
              <w:rPr>
                <w:lang w:val="de-DE" w:eastAsia="de-DE"/>
              </w:rPr>
            </w:pPr>
          </w:p>
        </w:tc>
        <w:tc>
          <w:tcPr>
            <w:tcW w:w="3532" w:type="dxa"/>
            <w:gridSpan w:val="4"/>
          </w:tcPr>
          <w:p w:rsidR="00DA6A08" w:rsidRPr="00DA6A08" w:rsidRDefault="00DA6A08" w:rsidP="00DA6A08">
            <w:pPr>
              <w:spacing w:before="0" w:after="0" w:line="240" w:lineRule="auto"/>
              <w:rPr>
                <w:u w:val="single"/>
                <w:lang w:eastAsia="de-DE"/>
              </w:rPr>
            </w:pPr>
            <w:r w:rsidRPr="00DA6A08">
              <w:rPr>
                <w:u w:val="single"/>
                <w:lang w:eastAsia="de-DE"/>
              </w:rPr>
              <w:t>4. In zones not complying with EU air quality limit values laid down in Directive 2008/50/EC, Member States shall</w:t>
            </w:r>
            <w:r w:rsidRPr="00DA6A08">
              <w:rPr>
                <w:b/>
                <w:i/>
                <w:u w:val="single"/>
                <w:lang w:eastAsia="de-DE"/>
              </w:rPr>
              <w:t xml:space="preserve"> </w:t>
            </w:r>
            <w:r w:rsidRPr="00DA6A08">
              <w:rPr>
                <w:b/>
                <w:iCs/>
                <w:u w:val="single"/>
                <w:lang w:eastAsia="de-DE"/>
              </w:rPr>
              <w:t>assess the need to</w:t>
            </w:r>
            <w:r w:rsidRPr="00DA6A08">
              <w:rPr>
                <w:u w:val="single"/>
                <w:lang w:eastAsia="de-DE"/>
              </w:rPr>
              <w:t xml:space="preserve"> apply, for […] medium combustion plants […], </w:t>
            </w:r>
            <w:r w:rsidRPr="00DA6A08">
              <w:rPr>
                <w:b/>
                <w:iCs/>
                <w:u w:val="single"/>
                <w:lang w:eastAsia="de-DE"/>
              </w:rPr>
              <w:t>stricter</w:t>
            </w:r>
            <w:r w:rsidRPr="00DA6A08">
              <w:rPr>
                <w:u w:val="single"/>
                <w:lang w:eastAsia="de-DE"/>
              </w:rPr>
              <w:t xml:space="preserve"> </w:t>
            </w:r>
            <w:r w:rsidRPr="00DA6A08">
              <w:rPr>
                <w:b/>
                <w:bCs/>
                <w:u w:val="single"/>
                <w:lang w:eastAsia="de-DE"/>
              </w:rPr>
              <w:t>requirements than those set out in this Directive</w:t>
            </w:r>
            <w:r w:rsidRPr="00DA6A08">
              <w:rPr>
                <w:u w:val="single"/>
                <w:lang w:eastAsia="de-DE"/>
              </w:rPr>
              <w:t>.</w:t>
            </w:r>
          </w:p>
          <w:p w:rsidR="00DA6A08" w:rsidRPr="00DA6A08" w:rsidRDefault="00DA6A08" w:rsidP="00DA6A08">
            <w:pPr>
              <w:spacing w:before="0" w:after="0" w:line="240" w:lineRule="auto"/>
              <w:rPr>
                <w:lang w:eastAsia="de-DE"/>
              </w:rPr>
            </w:pPr>
          </w:p>
          <w:p w:rsidR="00DA6A08" w:rsidRPr="00DA6A08" w:rsidRDefault="00DA6A08" w:rsidP="00DA6A08">
            <w:pPr>
              <w:spacing w:before="0" w:after="0" w:line="240" w:lineRule="auto"/>
              <w:rPr>
                <w:b/>
                <w:lang w:eastAsia="de-DE"/>
              </w:rPr>
            </w:pPr>
          </w:p>
        </w:tc>
      </w:tr>
      <w:tr w:rsidR="00DA6A08" w:rsidRPr="00DA6A08" w:rsidTr="008D3AC6">
        <w:tc>
          <w:tcPr>
            <w:tcW w:w="14179" w:type="dxa"/>
            <w:gridSpan w:val="15"/>
          </w:tcPr>
          <w:p w:rsidR="00DA6A08" w:rsidRPr="00DA6A08" w:rsidRDefault="00DA6A08" w:rsidP="00A5132D">
            <w:pPr>
              <w:pageBreakBefore/>
              <w:spacing w:before="0" w:after="0" w:line="240" w:lineRule="auto"/>
              <w:jc w:val="center"/>
              <w:rPr>
                <w:lang w:val="de-DE" w:eastAsia="de-DE"/>
              </w:rPr>
            </w:pPr>
            <w:proofErr w:type="spellStart"/>
            <w:r w:rsidRPr="00DA6A08">
              <w:rPr>
                <w:b/>
                <w:bCs/>
                <w:lang w:val="de-DE" w:eastAsia="de-DE"/>
              </w:rPr>
              <w:t>Article</w:t>
            </w:r>
            <w:proofErr w:type="spellEnd"/>
            <w:r w:rsidRPr="00DA6A08">
              <w:rPr>
                <w:b/>
                <w:bCs/>
                <w:lang w:val="de-DE" w:eastAsia="de-DE"/>
              </w:rPr>
              <w:t xml:space="preserve"> 5 - </w:t>
            </w:r>
            <w:proofErr w:type="spellStart"/>
            <w:r w:rsidRPr="00DA6A08">
              <w:rPr>
                <w:b/>
                <w:bCs/>
                <w:lang w:val="de-DE" w:eastAsia="de-DE"/>
              </w:rPr>
              <w:t>paragraph</w:t>
            </w:r>
            <w:proofErr w:type="spellEnd"/>
            <w:r w:rsidRPr="00DA6A08">
              <w:rPr>
                <w:b/>
                <w:bCs/>
                <w:lang w:val="de-DE" w:eastAsia="de-DE"/>
              </w:rPr>
              <w:t xml:space="preserve"> 5</w:t>
            </w:r>
          </w:p>
        </w:tc>
      </w:tr>
      <w:tr w:rsidR="00DA6A08" w:rsidRPr="00DA6A08" w:rsidTr="008D3AC6">
        <w:tc>
          <w:tcPr>
            <w:tcW w:w="3566" w:type="dxa"/>
            <w:gridSpan w:val="3"/>
          </w:tcPr>
          <w:p w:rsidR="00DA6A08" w:rsidRPr="00DA6A08" w:rsidRDefault="00DA6A08" w:rsidP="00DA6A08">
            <w:pPr>
              <w:spacing w:before="0" w:after="0" w:line="240" w:lineRule="auto"/>
              <w:rPr>
                <w:lang w:eastAsia="de-DE"/>
              </w:rPr>
            </w:pPr>
            <w:r w:rsidRPr="00DA6A08">
              <w:rPr>
                <w:noProof/>
                <w:lang w:eastAsia="de-DE"/>
              </w:rPr>
              <w:t>5. The Commission shall organise an exchange of information with Member States and stakeholders on the benchmark values for more stringent emission limit values referred to in paragraph 4.</w:t>
            </w:r>
          </w:p>
        </w:tc>
        <w:tc>
          <w:tcPr>
            <w:tcW w:w="3558" w:type="dxa"/>
            <w:gridSpan w:val="5"/>
          </w:tcPr>
          <w:p w:rsidR="00DA6A08" w:rsidRPr="00DA6A08" w:rsidRDefault="00DA6A08" w:rsidP="00DA6A08">
            <w:pPr>
              <w:spacing w:before="0" w:after="0" w:line="240" w:lineRule="auto"/>
              <w:rPr>
                <w:lang w:eastAsia="de-DE"/>
              </w:rPr>
            </w:pPr>
            <w:r w:rsidRPr="00DA6A08">
              <w:rPr>
                <w:noProof/>
                <w:lang w:eastAsia="de-DE"/>
              </w:rPr>
              <w:t>5. The Commission shall organise an exchange of information with Member States and stakeholders on the benchmark values for more stringent emission limit values referred to in paragraph 4.</w:t>
            </w:r>
          </w:p>
        </w:tc>
        <w:tc>
          <w:tcPr>
            <w:tcW w:w="3540" w:type="dxa"/>
            <w:gridSpan w:val="4"/>
          </w:tcPr>
          <w:p w:rsidR="00DA6A08" w:rsidRPr="00DA6A08" w:rsidRDefault="00DA6A08" w:rsidP="00DA6A08">
            <w:pPr>
              <w:spacing w:before="0" w:after="0" w:line="240" w:lineRule="auto"/>
              <w:rPr>
                <w:bCs/>
                <w:noProof/>
                <w:szCs w:val="20"/>
                <w:lang w:val="de-DE" w:eastAsia="de-DE"/>
              </w:rPr>
            </w:pPr>
            <w:r w:rsidRPr="00DA6A08">
              <w:rPr>
                <w:bCs/>
                <w:noProof/>
                <w:szCs w:val="20"/>
                <w:lang w:val="de-DE" w:eastAsia="de-DE"/>
              </w:rPr>
              <w:t>5. […]</w:t>
            </w:r>
          </w:p>
          <w:p w:rsidR="00DA6A08" w:rsidRPr="00DA6A08" w:rsidRDefault="00DA6A08" w:rsidP="00DA6A08">
            <w:pPr>
              <w:spacing w:before="0" w:after="0" w:line="240" w:lineRule="auto"/>
              <w:rPr>
                <w:lang w:val="de-DE" w:eastAsia="de-DE"/>
              </w:rPr>
            </w:pPr>
          </w:p>
        </w:tc>
        <w:tc>
          <w:tcPr>
            <w:tcW w:w="3515" w:type="dxa"/>
            <w:gridSpan w:val="3"/>
          </w:tcPr>
          <w:p w:rsidR="00DA6A08" w:rsidRPr="00DA6A08" w:rsidRDefault="00DA6A08" w:rsidP="00DA6A08">
            <w:pPr>
              <w:spacing w:before="0" w:after="0" w:line="240" w:lineRule="auto"/>
              <w:rPr>
                <w:lang w:eastAsia="de-DE"/>
              </w:rPr>
            </w:pPr>
            <w:r w:rsidRPr="00DA6A08">
              <w:rPr>
                <w:lang w:eastAsia="de-DE"/>
              </w:rPr>
              <w:t>No change to general approach</w:t>
            </w:r>
          </w:p>
        </w:tc>
      </w:tr>
      <w:tr w:rsidR="00DA6A08" w:rsidRPr="00DA6A08" w:rsidTr="008D3AC6">
        <w:tc>
          <w:tcPr>
            <w:tcW w:w="14179" w:type="dxa"/>
            <w:gridSpan w:val="15"/>
          </w:tcPr>
          <w:p w:rsidR="00DA6A08" w:rsidRPr="00DA6A08" w:rsidRDefault="00DA6A08" w:rsidP="000D2944">
            <w:pPr>
              <w:spacing w:before="0" w:after="0" w:line="240" w:lineRule="auto"/>
              <w:jc w:val="center"/>
              <w:rPr>
                <w:b/>
                <w:lang w:val="de-DE" w:eastAsia="de-DE"/>
              </w:rPr>
            </w:pPr>
            <w:r w:rsidRPr="00DA6A08">
              <w:rPr>
                <w:b/>
                <w:lang w:val="de-DE" w:eastAsia="de-DE"/>
              </w:rPr>
              <w:t>ANNEX III</w:t>
            </w:r>
          </w:p>
        </w:tc>
      </w:tr>
      <w:tr w:rsidR="00DA6A08" w:rsidRPr="00DA6A08" w:rsidTr="008D3AC6">
        <w:tc>
          <w:tcPr>
            <w:tcW w:w="3652" w:type="dxa"/>
            <w:gridSpan w:val="5"/>
          </w:tcPr>
          <w:p w:rsidR="00DA6A08" w:rsidRPr="00DA6A08" w:rsidRDefault="00DA6A08" w:rsidP="00DA6A08">
            <w:pPr>
              <w:spacing w:before="0" w:after="0" w:line="240" w:lineRule="auto"/>
              <w:jc w:val="center"/>
              <w:rPr>
                <w:b/>
                <w:i/>
                <w:noProof/>
                <w:szCs w:val="20"/>
                <w:u w:val="single"/>
                <w:lang w:eastAsia="de-DE"/>
              </w:rPr>
            </w:pPr>
            <w:r w:rsidRPr="00DA6A08">
              <w:rPr>
                <w:b/>
                <w:noProof/>
                <w:szCs w:val="20"/>
                <w:u w:val="single"/>
                <w:lang w:eastAsia="de-DE"/>
              </w:rPr>
              <w:t>ANNEX III</w:t>
            </w:r>
          </w:p>
          <w:p w:rsidR="00DA6A08" w:rsidRPr="00DA6A08" w:rsidRDefault="00DA6A08" w:rsidP="00DA6A08">
            <w:pPr>
              <w:spacing w:before="0" w:after="0" w:line="240" w:lineRule="auto"/>
              <w:jc w:val="center"/>
              <w:rPr>
                <w:b/>
                <w:noProof/>
                <w:szCs w:val="20"/>
                <w:lang w:eastAsia="de-DE"/>
              </w:rPr>
            </w:pPr>
            <w:r w:rsidRPr="00DA6A08">
              <w:rPr>
                <w:b/>
                <w:noProof/>
                <w:szCs w:val="20"/>
                <w:lang w:eastAsia="de-DE"/>
              </w:rPr>
              <w:t>Benchmark values for more stringent emission limit values referred to in Article 5(4)</w:t>
            </w:r>
          </w:p>
          <w:p w:rsidR="00DA6A08" w:rsidRPr="00DA6A08" w:rsidRDefault="00DA6A08" w:rsidP="00DA6A08">
            <w:pPr>
              <w:spacing w:before="0" w:after="0" w:line="240" w:lineRule="auto"/>
              <w:rPr>
                <w:lang w:eastAsia="de-DE"/>
              </w:rPr>
            </w:pPr>
            <w:r w:rsidRPr="00DA6A08">
              <w:rPr>
                <w:noProof/>
                <w:szCs w:val="20"/>
                <w:lang w:eastAsia="de-DE"/>
              </w:rPr>
              <w:t>All emission limit values set out in this Annex are defined at a temperature of 273,15 K, a pressure of 101,3 kPa and after correction for the water vapour content of the waste gases and at a standardised O</w:t>
            </w:r>
            <w:r w:rsidRPr="00DA6A08">
              <w:rPr>
                <w:noProof/>
                <w:szCs w:val="20"/>
                <w:vertAlign w:val="subscript"/>
                <w:lang w:eastAsia="de-DE"/>
              </w:rPr>
              <w:t>2</w:t>
            </w:r>
            <w:r w:rsidRPr="00DA6A08">
              <w:rPr>
                <w:noProof/>
                <w:szCs w:val="20"/>
                <w:lang w:eastAsia="de-DE"/>
              </w:rPr>
              <w:t xml:space="preserve"> content of 6 % for combustion plants using solid fuels, 3 % for combustion plants, other than engines and gas turbines, using liquid and gaseous fuels and 15 % for engines and gas turbines.</w:t>
            </w:r>
          </w:p>
        </w:tc>
        <w:tc>
          <w:tcPr>
            <w:tcW w:w="3618" w:type="dxa"/>
            <w:gridSpan w:val="4"/>
          </w:tcPr>
          <w:p w:rsidR="00DA6A08" w:rsidRPr="00DA6A08" w:rsidRDefault="00DA6A08" w:rsidP="00DA6A08">
            <w:pPr>
              <w:spacing w:before="0" w:after="0" w:line="240" w:lineRule="auto"/>
              <w:rPr>
                <w:lang w:eastAsia="de-DE"/>
              </w:rPr>
            </w:pPr>
          </w:p>
        </w:tc>
        <w:tc>
          <w:tcPr>
            <w:tcW w:w="3477" w:type="dxa"/>
            <w:gridSpan w:val="5"/>
          </w:tcPr>
          <w:p w:rsidR="00DA6A08" w:rsidRPr="00DA6A08" w:rsidRDefault="00DA6A08" w:rsidP="00DA6A08">
            <w:pPr>
              <w:spacing w:before="0" w:after="0" w:line="240" w:lineRule="auto"/>
              <w:jc w:val="center"/>
              <w:rPr>
                <w:b/>
                <w:i/>
                <w:noProof/>
                <w:szCs w:val="20"/>
                <w:u w:val="single"/>
                <w:lang w:val="de-DE" w:eastAsia="de-DE"/>
              </w:rPr>
            </w:pPr>
            <w:r w:rsidRPr="00DA6A08">
              <w:rPr>
                <w:b/>
                <w:noProof/>
                <w:szCs w:val="20"/>
                <w:u w:val="single"/>
                <w:lang w:val="de-DE" w:eastAsia="de-DE"/>
              </w:rPr>
              <w:t>ANNEX III</w:t>
            </w:r>
          </w:p>
          <w:p w:rsidR="00DA6A08" w:rsidRPr="00DA6A08" w:rsidRDefault="00DA6A08" w:rsidP="00DA6A08">
            <w:pPr>
              <w:spacing w:before="0" w:after="0" w:line="240" w:lineRule="auto"/>
              <w:rPr>
                <w:lang w:val="de-DE" w:eastAsia="de-DE"/>
              </w:rPr>
            </w:pPr>
            <w:r w:rsidRPr="00DA6A08">
              <w:rPr>
                <w:lang w:val="de-DE" w:eastAsia="de-DE"/>
              </w:rPr>
              <w:t>[…]</w:t>
            </w:r>
          </w:p>
          <w:p w:rsidR="00DA6A08" w:rsidRPr="00DA6A08" w:rsidRDefault="00DA6A08" w:rsidP="00DA6A08">
            <w:pPr>
              <w:spacing w:before="0" w:after="0" w:line="240" w:lineRule="auto"/>
              <w:rPr>
                <w:lang w:val="de-DE" w:eastAsia="de-DE"/>
              </w:rPr>
            </w:pPr>
          </w:p>
        </w:tc>
        <w:tc>
          <w:tcPr>
            <w:tcW w:w="3432" w:type="dxa"/>
          </w:tcPr>
          <w:p w:rsidR="00DA6A08" w:rsidRPr="00DA6A08" w:rsidRDefault="00DA6A08" w:rsidP="00DA6A08">
            <w:pPr>
              <w:spacing w:before="0" w:after="0" w:line="240" w:lineRule="auto"/>
              <w:rPr>
                <w:lang w:eastAsia="de-DE"/>
              </w:rPr>
            </w:pPr>
            <w:r w:rsidRPr="00DA6A08">
              <w:rPr>
                <w:lang w:eastAsia="de-DE"/>
              </w:rPr>
              <w:t>No change to general approach</w:t>
            </w:r>
          </w:p>
        </w:tc>
      </w:tr>
      <w:tr w:rsidR="00DA6A08" w:rsidRPr="00DA6A08" w:rsidTr="008D3AC6">
        <w:tc>
          <w:tcPr>
            <w:tcW w:w="7270" w:type="dxa"/>
            <w:gridSpan w:val="9"/>
          </w:tcPr>
          <w:p w:rsidR="00DA6A08" w:rsidRPr="00DA6A08" w:rsidRDefault="00DA6A08" w:rsidP="00DA6A08">
            <w:pPr>
              <w:spacing w:before="0" w:after="0" w:line="240" w:lineRule="auto"/>
              <w:rPr>
                <w:lang w:eastAsia="de-DE"/>
              </w:rPr>
            </w:pPr>
            <w:r w:rsidRPr="00DA6A08">
              <w:rPr>
                <w:noProof/>
                <w:lang w:eastAsia="de-DE"/>
              </w:rPr>
              <w:t>Emission limit value benchmarks (mg/Nm³) for medium</w:t>
            </w:r>
            <w:r w:rsidRPr="00DA6A08">
              <w:rPr>
                <w:i/>
                <w:noProof/>
                <w:lang w:eastAsia="de-DE"/>
              </w:rPr>
              <w:t xml:space="preserve"> </w:t>
            </w:r>
            <w:r w:rsidRPr="00DA6A08">
              <w:rPr>
                <w:noProof/>
                <w:lang w:eastAsia="de-DE"/>
              </w:rPr>
              <w:t>combustion plants other than engines and gas turbines</w:t>
            </w:r>
          </w:p>
          <w:tbl>
            <w:tblPr>
              <w:tblStyle w:val="TableGrid"/>
              <w:tblW w:w="0" w:type="auto"/>
              <w:tblLook w:val="04A0" w:firstRow="1" w:lastRow="0" w:firstColumn="1" w:lastColumn="0" w:noHBand="0" w:noVBand="1"/>
            </w:tblPr>
            <w:tblGrid>
              <w:gridCol w:w="1072"/>
              <w:gridCol w:w="1000"/>
              <w:gridCol w:w="1012"/>
              <w:gridCol w:w="962"/>
              <w:gridCol w:w="981"/>
              <w:gridCol w:w="999"/>
              <w:gridCol w:w="1018"/>
            </w:tblGrid>
            <w:tr w:rsidR="00DA6A08" w:rsidRPr="00DA6A08" w:rsidTr="00970BCD">
              <w:tc>
                <w:tcPr>
                  <w:tcW w:w="1072"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Pollutant</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Rated thermal input (MW)</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Solid biomass</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Other solid fuels</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 xml:space="preserve">Liquid fuels </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Natural gas</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Gaseous fuels other than natural gas</w:t>
                  </w:r>
                </w:p>
              </w:tc>
            </w:tr>
            <w:tr w:rsidR="00DA6A08" w:rsidRPr="00DA6A08" w:rsidTr="00970BCD">
              <w:tc>
                <w:tcPr>
                  <w:tcW w:w="1072" w:type="dxa"/>
                  <w:vMerge w:val="restart"/>
                </w:tcPr>
                <w:p w:rsidR="00DA6A08" w:rsidRPr="00DA6A08" w:rsidRDefault="00DA6A08" w:rsidP="00DA6A08">
                  <w:pPr>
                    <w:autoSpaceDE w:val="0"/>
                    <w:autoSpaceDN w:val="0"/>
                    <w:adjustRightInd w:val="0"/>
                    <w:spacing w:before="0" w:after="0" w:line="240" w:lineRule="auto"/>
                    <w:rPr>
                      <w:noProof/>
                      <w:sz w:val="20"/>
                      <w:szCs w:val="20"/>
                      <w:lang w:eastAsia="de-DE"/>
                    </w:rPr>
                  </w:pPr>
                  <w:r w:rsidRPr="00DA6A08">
                    <w:rPr>
                      <w:noProof/>
                      <w:sz w:val="20"/>
                      <w:szCs w:val="20"/>
                      <w:lang w:eastAsia="de-DE"/>
                    </w:rPr>
                    <w:t>NO</w:t>
                  </w:r>
                  <w:r w:rsidRPr="00DA6A08">
                    <w:rPr>
                      <w:noProof/>
                      <w:sz w:val="20"/>
                      <w:szCs w:val="20"/>
                      <w:vertAlign w:val="subscript"/>
                      <w:lang w:eastAsia="de-DE"/>
                    </w:rPr>
                    <w:t>X</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1 - 5</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200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100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120</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70</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120</w:t>
                  </w:r>
                </w:p>
              </w:tc>
            </w:tr>
            <w:tr w:rsidR="00DA6A08" w:rsidRPr="00DA6A08" w:rsidTr="00970BCD">
              <w:tc>
                <w:tcPr>
                  <w:tcW w:w="1072" w:type="dxa"/>
                  <w:vMerge/>
                </w:tcPr>
                <w:p w:rsidR="00DA6A08" w:rsidRPr="00DA6A08" w:rsidRDefault="00DA6A08" w:rsidP="00DA6A08">
                  <w:pPr>
                    <w:autoSpaceDE w:val="0"/>
                    <w:autoSpaceDN w:val="0"/>
                    <w:adjustRightInd w:val="0"/>
                    <w:spacing w:before="0" w:after="0" w:line="240" w:lineRule="auto"/>
                    <w:rPr>
                      <w:noProof/>
                      <w:sz w:val="20"/>
                      <w:szCs w:val="20"/>
                      <w:lang w:eastAsia="de-DE"/>
                    </w:rPr>
                  </w:pP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&gt; 5 - 50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145</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100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120</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70</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120</w:t>
                  </w:r>
                </w:p>
              </w:tc>
            </w:tr>
            <w:tr w:rsidR="00DA6A08" w:rsidRPr="00DA6A08" w:rsidTr="00970BCD">
              <w:tc>
                <w:tcPr>
                  <w:tcW w:w="1072" w:type="dxa"/>
                </w:tcPr>
                <w:p w:rsidR="00DA6A08" w:rsidRPr="00DA6A08" w:rsidRDefault="00DA6A08" w:rsidP="00DA6A08">
                  <w:pPr>
                    <w:autoSpaceDE w:val="0"/>
                    <w:autoSpaceDN w:val="0"/>
                    <w:adjustRightInd w:val="0"/>
                    <w:spacing w:before="0" w:after="0" w:line="240" w:lineRule="auto"/>
                    <w:rPr>
                      <w:noProof/>
                      <w:sz w:val="20"/>
                      <w:szCs w:val="20"/>
                      <w:lang w:eastAsia="de-DE"/>
                    </w:rPr>
                  </w:pPr>
                  <w:r w:rsidRPr="00DA6A08">
                    <w:rPr>
                      <w:noProof/>
                      <w:sz w:val="20"/>
                      <w:szCs w:val="20"/>
                      <w:lang w:eastAsia="de-DE"/>
                    </w:rPr>
                    <w:t>Particulate matter</w:t>
                  </w:r>
                  <w:r w:rsidRPr="00DA6A08">
                    <w:rPr>
                      <w:b/>
                      <w:noProof/>
                      <w:sz w:val="20"/>
                      <w:szCs w:val="20"/>
                      <w:vertAlign w:val="superscript"/>
                      <w:lang w:val="de-DE" w:eastAsia="de-DE"/>
                    </w:rPr>
                    <w:footnoteReference w:id="2"/>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1 - 5</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10</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w:t>
                  </w:r>
                </w:p>
              </w:tc>
            </w:tr>
            <w:tr w:rsidR="00DA6A08" w:rsidRPr="00DA6A08" w:rsidTr="00970BCD">
              <w:tc>
                <w:tcPr>
                  <w:tcW w:w="1072" w:type="dxa"/>
                </w:tcPr>
                <w:p w:rsidR="00DA6A08" w:rsidRPr="00DA6A08" w:rsidRDefault="00DA6A08" w:rsidP="00DA6A08">
                  <w:pPr>
                    <w:autoSpaceDE w:val="0"/>
                    <w:autoSpaceDN w:val="0"/>
                    <w:adjustRightInd w:val="0"/>
                    <w:spacing w:before="0" w:after="0" w:line="240" w:lineRule="auto"/>
                    <w:rPr>
                      <w:noProof/>
                      <w:sz w:val="20"/>
                      <w:szCs w:val="20"/>
                      <w:lang w:eastAsia="de-DE"/>
                    </w:rPr>
                  </w:pP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&gt; 5 - 50</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5</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5</w:t>
                  </w:r>
                </w:p>
              </w:tc>
              <w:tc>
                <w:tcPr>
                  <w:tcW w:w="1058"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5</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w:t>
                  </w:r>
                </w:p>
              </w:tc>
              <w:tc>
                <w:tcPr>
                  <w:tcW w:w="1059"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w:t>
                  </w:r>
                </w:p>
              </w:tc>
            </w:tr>
          </w:tbl>
          <w:p w:rsidR="00DA6A08" w:rsidRPr="00DA6A08" w:rsidRDefault="00DA6A08" w:rsidP="00DA6A08">
            <w:pPr>
              <w:spacing w:before="0" w:after="0" w:line="240" w:lineRule="auto"/>
              <w:rPr>
                <w:lang w:eastAsia="de-DE"/>
              </w:rPr>
            </w:pPr>
          </w:p>
          <w:p w:rsidR="00DA6A08" w:rsidRPr="00DA6A08" w:rsidRDefault="00DA6A08" w:rsidP="00DA6A08">
            <w:pPr>
              <w:spacing w:before="0" w:after="0" w:line="240" w:lineRule="auto"/>
              <w:rPr>
                <w:lang w:eastAsia="de-DE"/>
              </w:rPr>
            </w:pPr>
          </w:p>
          <w:p w:rsidR="00DA6A08" w:rsidRPr="00DA6A08" w:rsidRDefault="00DA6A08" w:rsidP="00DA6A08">
            <w:pPr>
              <w:spacing w:before="0" w:after="0" w:line="240" w:lineRule="auto"/>
              <w:rPr>
                <w:lang w:eastAsia="de-DE"/>
              </w:rPr>
            </w:pPr>
            <w:r w:rsidRPr="00DA6A08">
              <w:rPr>
                <w:noProof/>
                <w:lang w:eastAsia="de-DE"/>
              </w:rPr>
              <w:t>Emission limit value benchmarks (mg/Nm³) for engines and gas turbines</w:t>
            </w:r>
          </w:p>
          <w:tbl>
            <w:tblPr>
              <w:tblStyle w:val="TableGrid"/>
              <w:tblW w:w="0" w:type="auto"/>
              <w:tblLook w:val="04A0" w:firstRow="1" w:lastRow="0" w:firstColumn="1" w:lastColumn="0" w:noHBand="0" w:noVBand="1"/>
            </w:tblPr>
            <w:tblGrid>
              <w:gridCol w:w="1413"/>
              <w:gridCol w:w="1439"/>
              <w:gridCol w:w="1388"/>
              <w:gridCol w:w="1397"/>
              <w:gridCol w:w="1407"/>
            </w:tblGrid>
            <w:tr w:rsidR="00DA6A08" w:rsidRPr="00DA6A08" w:rsidTr="00970BCD">
              <w:tc>
                <w:tcPr>
                  <w:tcW w:w="1483" w:type="dxa"/>
                </w:tcPr>
                <w:p w:rsidR="00DA6A08" w:rsidRPr="00DA6A08" w:rsidRDefault="00DA6A08" w:rsidP="00DA6A08">
                  <w:pPr>
                    <w:spacing w:before="0" w:after="0" w:line="240" w:lineRule="auto"/>
                    <w:rPr>
                      <w:lang w:eastAsia="de-DE"/>
                    </w:rPr>
                  </w:pPr>
                </w:p>
              </w:tc>
              <w:tc>
                <w:tcPr>
                  <w:tcW w:w="1483" w:type="dxa"/>
                </w:tcPr>
                <w:p w:rsidR="00DA6A08" w:rsidRPr="00DA6A08" w:rsidRDefault="00DA6A08" w:rsidP="00DA6A08">
                  <w:pPr>
                    <w:spacing w:before="0" w:after="0" w:line="240" w:lineRule="auto"/>
                    <w:rPr>
                      <w:lang w:eastAsia="de-DE"/>
                    </w:rPr>
                  </w:pPr>
                </w:p>
              </w:tc>
              <w:tc>
                <w:tcPr>
                  <w:tcW w:w="1483" w:type="dxa"/>
                </w:tcPr>
                <w:p w:rsidR="00DA6A08" w:rsidRPr="00DA6A08" w:rsidRDefault="00DA6A08" w:rsidP="00DA6A08">
                  <w:pPr>
                    <w:spacing w:before="0" w:after="0" w:line="240" w:lineRule="auto"/>
                    <w:rPr>
                      <w:lang w:eastAsia="de-DE"/>
                    </w:rPr>
                  </w:pPr>
                </w:p>
              </w:tc>
              <w:tc>
                <w:tcPr>
                  <w:tcW w:w="1484" w:type="dxa"/>
                </w:tcPr>
                <w:p w:rsidR="00DA6A08" w:rsidRPr="00DA6A08" w:rsidRDefault="00DA6A08" w:rsidP="00DA6A08">
                  <w:pPr>
                    <w:spacing w:before="0" w:after="0" w:line="240" w:lineRule="auto"/>
                    <w:rPr>
                      <w:lang w:eastAsia="de-DE"/>
                    </w:rPr>
                  </w:pPr>
                </w:p>
              </w:tc>
              <w:tc>
                <w:tcPr>
                  <w:tcW w:w="1484" w:type="dxa"/>
                </w:tcPr>
                <w:p w:rsidR="00DA6A08" w:rsidRPr="00DA6A08" w:rsidRDefault="00DA6A08" w:rsidP="00DA6A08">
                  <w:pPr>
                    <w:spacing w:before="0" w:after="0" w:line="240" w:lineRule="auto"/>
                    <w:rPr>
                      <w:lang w:eastAsia="de-DE"/>
                    </w:rPr>
                  </w:pPr>
                </w:p>
              </w:tc>
            </w:tr>
            <w:tr w:rsidR="00DA6A08" w:rsidRPr="00DA6A08" w:rsidTr="00970BCD">
              <w:tc>
                <w:tcPr>
                  <w:tcW w:w="1483"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Pollutant</w:t>
                  </w:r>
                </w:p>
              </w:tc>
              <w:tc>
                <w:tcPr>
                  <w:tcW w:w="1483"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Type of installation</w:t>
                  </w:r>
                </w:p>
              </w:tc>
              <w:tc>
                <w:tcPr>
                  <w:tcW w:w="1483"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Liquid fuels</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val="de-DE" w:eastAsia="de-DE"/>
                    </w:rPr>
                  </w:pPr>
                  <w:r w:rsidRPr="00DA6A08">
                    <w:rPr>
                      <w:noProof/>
                      <w:sz w:val="20"/>
                      <w:szCs w:val="20"/>
                      <w:lang w:val="de-DE" w:eastAsia="de-DE"/>
                    </w:rPr>
                    <w:t>Natural gas</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Gaseous fuels other than natural gas</w:t>
                  </w:r>
                </w:p>
              </w:tc>
            </w:tr>
            <w:tr w:rsidR="00DA6A08" w:rsidRPr="00DA6A08" w:rsidTr="00970BCD">
              <w:tc>
                <w:tcPr>
                  <w:tcW w:w="1483" w:type="dxa"/>
                  <w:vMerge w:val="restart"/>
                </w:tcPr>
                <w:p w:rsidR="00DA6A08" w:rsidRPr="00DA6A08" w:rsidRDefault="00DA6A08" w:rsidP="00DA6A08">
                  <w:pPr>
                    <w:autoSpaceDE w:val="0"/>
                    <w:autoSpaceDN w:val="0"/>
                    <w:adjustRightInd w:val="0"/>
                    <w:spacing w:before="0" w:after="0" w:line="240" w:lineRule="auto"/>
                    <w:rPr>
                      <w:noProof/>
                      <w:sz w:val="20"/>
                      <w:szCs w:val="20"/>
                      <w:lang w:eastAsia="de-DE"/>
                    </w:rPr>
                  </w:pPr>
                  <w:r w:rsidRPr="00DA6A08">
                    <w:rPr>
                      <w:noProof/>
                      <w:sz w:val="20"/>
                      <w:szCs w:val="20"/>
                      <w:lang w:eastAsia="de-DE"/>
                    </w:rPr>
                    <w:t>NO</w:t>
                  </w:r>
                  <w:r w:rsidRPr="00DA6A08">
                    <w:rPr>
                      <w:noProof/>
                      <w:sz w:val="20"/>
                      <w:szCs w:val="20"/>
                      <w:vertAlign w:val="subscript"/>
                      <w:lang w:eastAsia="de-DE"/>
                    </w:rPr>
                    <w:t>X</w:t>
                  </w:r>
                </w:p>
              </w:tc>
              <w:tc>
                <w:tcPr>
                  <w:tcW w:w="1483" w:type="dxa"/>
                </w:tcPr>
                <w:p w:rsidR="00DA6A08" w:rsidRPr="00DA6A08" w:rsidRDefault="00DA6A08" w:rsidP="00DA6A08">
                  <w:pPr>
                    <w:autoSpaceDE w:val="0"/>
                    <w:autoSpaceDN w:val="0"/>
                    <w:adjustRightInd w:val="0"/>
                    <w:spacing w:before="0" w:after="0" w:line="240" w:lineRule="auto"/>
                    <w:ind w:left="284"/>
                    <w:rPr>
                      <w:noProof/>
                      <w:sz w:val="20"/>
                      <w:szCs w:val="20"/>
                      <w:lang w:eastAsia="de-DE"/>
                    </w:rPr>
                  </w:pPr>
                  <w:r w:rsidRPr="00DA6A08">
                    <w:rPr>
                      <w:noProof/>
                      <w:sz w:val="20"/>
                      <w:szCs w:val="20"/>
                      <w:lang w:eastAsia="de-DE"/>
                    </w:rPr>
                    <w:t>Engines</w:t>
                  </w:r>
                </w:p>
              </w:tc>
              <w:tc>
                <w:tcPr>
                  <w:tcW w:w="1483"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150</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35</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35</w:t>
                  </w:r>
                </w:p>
              </w:tc>
            </w:tr>
            <w:tr w:rsidR="00DA6A08" w:rsidRPr="00DA6A08" w:rsidTr="00970BCD">
              <w:tc>
                <w:tcPr>
                  <w:tcW w:w="1483" w:type="dxa"/>
                  <w:vMerge/>
                </w:tcPr>
                <w:p w:rsidR="00DA6A08" w:rsidRPr="00DA6A08" w:rsidRDefault="00DA6A08" w:rsidP="00DA6A08">
                  <w:pPr>
                    <w:autoSpaceDE w:val="0"/>
                    <w:autoSpaceDN w:val="0"/>
                    <w:adjustRightInd w:val="0"/>
                    <w:spacing w:before="0" w:after="0" w:line="240" w:lineRule="auto"/>
                    <w:rPr>
                      <w:noProof/>
                      <w:sz w:val="20"/>
                      <w:szCs w:val="20"/>
                      <w:lang w:eastAsia="de-DE"/>
                    </w:rPr>
                  </w:pPr>
                </w:p>
              </w:tc>
              <w:tc>
                <w:tcPr>
                  <w:tcW w:w="1483" w:type="dxa"/>
                </w:tcPr>
                <w:p w:rsidR="00DA6A08" w:rsidRPr="00DA6A08" w:rsidRDefault="00DA6A08" w:rsidP="00DA6A08">
                  <w:pPr>
                    <w:autoSpaceDE w:val="0"/>
                    <w:autoSpaceDN w:val="0"/>
                    <w:adjustRightInd w:val="0"/>
                    <w:spacing w:before="0" w:after="0" w:line="240" w:lineRule="auto"/>
                    <w:ind w:left="284"/>
                    <w:rPr>
                      <w:noProof/>
                      <w:sz w:val="20"/>
                      <w:szCs w:val="20"/>
                      <w:lang w:eastAsia="de-DE"/>
                    </w:rPr>
                  </w:pPr>
                  <w:r w:rsidRPr="00DA6A08">
                    <w:rPr>
                      <w:noProof/>
                      <w:sz w:val="20"/>
                      <w:szCs w:val="20"/>
                      <w:lang w:eastAsia="de-DE"/>
                    </w:rPr>
                    <w:t>Gas turbines (</w:t>
                  </w:r>
                  <w:r w:rsidRPr="00DA6A08">
                    <w:rPr>
                      <w:noProof/>
                      <w:sz w:val="20"/>
                      <w:szCs w:val="20"/>
                      <w:vertAlign w:val="superscript"/>
                      <w:lang w:eastAsia="de-DE"/>
                    </w:rPr>
                    <w:t>1</w:t>
                  </w:r>
                  <w:r w:rsidRPr="00DA6A08">
                    <w:rPr>
                      <w:noProof/>
                      <w:sz w:val="20"/>
                      <w:szCs w:val="20"/>
                      <w:lang w:eastAsia="de-DE"/>
                    </w:rPr>
                    <w:t>)</w:t>
                  </w:r>
                </w:p>
              </w:tc>
              <w:tc>
                <w:tcPr>
                  <w:tcW w:w="1483"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50</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20</w:t>
                  </w:r>
                </w:p>
              </w:tc>
              <w:tc>
                <w:tcPr>
                  <w:tcW w:w="1484" w:type="dxa"/>
                </w:tcPr>
                <w:p w:rsidR="00DA6A08" w:rsidRPr="00DA6A08" w:rsidRDefault="00DA6A08" w:rsidP="00DA6A08">
                  <w:pPr>
                    <w:autoSpaceDE w:val="0"/>
                    <w:autoSpaceDN w:val="0"/>
                    <w:adjustRightInd w:val="0"/>
                    <w:spacing w:before="0" w:after="0" w:line="240" w:lineRule="auto"/>
                    <w:jc w:val="center"/>
                    <w:rPr>
                      <w:noProof/>
                      <w:sz w:val="20"/>
                      <w:szCs w:val="20"/>
                      <w:lang w:eastAsia="de-DE"/>
                    </w:rPr>
                  </w:pPr>
                  <w:r w:rsidRPr="00DA6A08">
                    <w:rPr>
                      <w:noProof/>
                      <w:sz w:val="20"/>
                      <w:szCs w:val="20"/>
                      <w:lang w:eastAsia="de-DE"/>
                    </w:rPr>
                    <w:t>50</w:t>
                  </w:r>
                </w:p>
              </w:tc>
            </w:tr>
          </w:tbl>
          <w:p w:rsidR="00DA6A08" w:rsidRPr="00DA6A08" w:rsidRDefault="00DA6A08" w:rsidP="00DA6A08">
            <w:pPr>
              <w:spacing w:before="0" w:after="0" w:line="240" w:lineRule="auto"/>
              <w:rPr>
                <w:sz w:val="20"/>
                <w:szCs w:val="20"/>
                <w:lang w:eastAsia="de-DE"/>
              </w:rPr>
            </w:pPr>
            <w:r w:rsidRPr="00DA6A08">
              <w:rPr>
                <w:noProof/>
                <w:sz w:val="20"/>
                <w:szCs w:val="20"/>
                <w:lang w:eastAsia="de-DE"/>
              </w:rPr>
              <w:t>(</w:t>
            </w:r>
            <w:r w:rsidRPr="00DA6A08">
              <w:rPr>
                <w:noProof/>
                <w:sz w:val="20"/>
                <w:szCs w:val="20"/>
                <w:vertAlign w:val="superscript"/>
                <w:lang w:eastAsia="de-DE"/>
              </w:rPr>
              <w:t>1</w:t>
            </w:r>
            <w:r w:rsidRPr="00DA6A08">
              <w:rPr>
                <w:noProof/>
                <w:sz w:val="20"/>
                <w:szCs w:val="20"/>
                <w:lang w:eastAsia="de-DE"/>
              </w:rPr>
              <w:t>) benchmark is only applicable above 70 % load.</w:t>
            </w:r>
          </w:p>
          <w:p w:rsidR="00DA6A08" w:rsidRPr="00DA6A08" w:rsidRDefault="00DA6A08" w:rsidP="00DA6A08">
            <w:pPr>
              <w:spacing w:before="0" w:after="0" w:line="240" w:lineRule="auto"/>
              <w:rPr>
                <w:lang w:eastAsia="de-DE"/>
              </w:rPr>
            </w:pPr>
          </w:p>
        </w:tc>
        <w:tc>
          <w:tcPr>
            <w:tcW w:w="3477" w:type="dxa"/>
            <w:gridSpan w:val="5"/>
          </w:tcPr>
          <w:p w:rsidR="00DA6A08" w:rsidRPr="00DA6A08" w:rsidRDefault="00DA6A08" w:rsidP="00DA6A08">
            <w:pPr>
              <w:spacing w:before="0" w:after="0" w:line="240" w:lineRule="auto"/>
              <w:rPr>
                <w:lang w:eastAsia="de-DE"/>
              </w:rPr>
            </w:pPr>
          </w:p>
        </w:tc>
        <w:tc>
          <w:tcPr>
            <w:tcW w:w="3432" w:type="dxa"/>
          </w:tcPr>
          <w:p w:rsidR="00DA6A08" w:rsidRPr="00DA6A08" w:rsidRDefault="00DA6A08" w:rsidP="00DA6A08">
            <w:pPr>
              <w:spacing w:before="0" w:after="0" w:line="240" w:lineRule="auto"/>
              <w:rPr>
                <w:lang w:eastAsia="de-DE"/>
              </w:rPr>
            </w:pPr>
          </w:p>
        </w:tc>
      </w:tr>
      <w:tr w:rsidR="008D3AC6" w:rsidRPr="00DA6A08" w:rsidTr="00C47C2A">
        <w:tc>
          <w:tcPr>
            <w:tcW w:w="14179" w:type="dxa"/>
            <w:gridSpan w:val="15"/>
          </w:tcPr>
          <w:p w:rsidR="008D3AC6" w:rsidRPr="00DA6A08" w:rsidRDefault="008D3AC6" w:rsidP="00A5132D">
            <w:pPr>
              <w:pageBreakBefore/>
              <w:spacing w:before="0" w:after="0" w:line="240" w:lineRule="auto"/>
              <w:jc w:val="center"/>
              <w:rPr>
                <w:b/>
                <w:bCs/>
                <w:lang w:val="de-DE" w:eastAsia="de-DE"/>
              </w:rPr>
            </w:pPr>
            <w:r w:rsidRPr="00DA6A08">
              <w:rPr>
                <w:b/>
                <w:bCs/>
                <w:lang w:val="de-DE" w:eastAsia="de-DE"/>
              </w:rPr>
              <w:t>Amendment 9</w:t>
            </w:r>
          </w:p>
          <w:p w:rsidR="008D3AC6" w:rsidRPr="00DA6A08" w:rsidRDefault="008D3AC6" w:rsidP="008D3AC6">
            <w:pPr>
              <w:spacing w:before="0" w:after="0" w:line="240" w:lineRule="auto"/>
              <w:jc w:val="center"/>
              <w:rPr>
                <w:lang w:eastAsia="de-DE"/>
              </w:rPr>
            </w:pPr>
            <w:r w:rsidRPr="00DA6A08">
              <w:rPr>
                <w:b/>
                <w:bCs/>
                <w:lang w:val="de-DE" w:eastAsia="de-DE"/>
              </w:rPr>
              <w:t>Recital 13</w:t>
            </w:r>
          </w:p>
        </w:tc>
      </w:tr>
      <w:tr w:rsidR="008D3AC6" w:rsidRPr="00DA6A08" w:rsidTr="00146FE0">
        <w:tc>
          <w:tcPr>
            <w:tcW w:w="3544" w:type="dxa"/>
            <w:gridSpan w:val="2"/>
          </w:tcPr>
          <w:p w:rsidR="008D3AC6" w:rsidRPr="00DA6A08" w:rsidRDefault="008D3AC6" w:rsidP="00970BCD">
            <w:pPr>
              <w:spacing w:before="0" w:after="0" w:line="240" w:lineRule="auto"/>
              <w:rPr>
                <w:lang w:eastAsia="de-DE"/>
              </w:rPr>
            </w:pPr>
            <w:r w:rsidRPr="00DA6A08">
              <w:rPr>
                <w:noProof/>
                <w:lang w:eastAsia="de-DE"/>
              </w:rPr>
              <w:t>(13) In accordance with Article 193 of the Treaty on the Functioning of the European Union (TFEU), this Directive does not prevent Member States from maintaining or introducing more stringent protective measures, for example for the purposes to comply with environmental quality standards. In particular, in zones not complying with air quality limit values, more stringent emission limit values, which would also promote eco-innovation in the Union, facilitating in particular market access of small and medium enterprises, should be applied by Member States, such as the benchmark values set out in Annex III to this Directive.</w:t>
            </w:r>
          </w:p>
        </w:tc>
        <w:tc>
          <w:tcPr>
            <w:tcW w:w="3545" w:type="dxa"/>
            <w:gridSpan w:val="5"/>
          </w:tcPr>
          <w:p w:rsidR="008D3AC6" w:rsidRPr="00DA6A08" w:rsidRDefault="008D3AC6" w:rsidP="00970BCD">
            <w:pPr>
              <w:autoSpaceDE w:val="0"/>
              <w:autoSpaceDN w:val="0"/>
              <w:adjustRightInd w:val="0"/>
              <w:spacing w:before="0" w:after="0" w:line="240" w:lineRule="auto"/>
              <w:ind w:left="6" w:hanging="6"/>
              <w:rPr>
                <w:lang w:eastAsia="de-DE"/>
              </w:rPr>
            </w:pPr>
            <w:r w:rsidRPr="00DA6A08">
              <w:rPr>
                <w:lang w:eastAsia="de-DE"/>
              </w:rPr>
              <w:t xml:space="preserve">(13) In accordance with Article 193 of the Treaty on the Functioning of the European Union (TFEU), this Directive does not prevent Member States from maintaining or introducing more stringent protective measures, for example for the purposes to comply with environmental quality standards. In particular, in zones not complying with air quality limit values, more stringent emission limit values, which would also promote eco-innovation in the Union, facilitating in particular market access of small and medium enterprises, should be </w:t>
            </w:r>
            <w:r w:rsidRPr="00DA6A08">
              <w:rPr>
                <w:b/>
                <w:i/>
                <w:lang w:eastAsia="de-DE"/>
              </w:rPr>
              <w:t>considered</w:t>
            </w:r>
            <w:r w:rsidRPr="00DA6A08">
              <w:rPr>
                <w:lang w:eastAsia="de-DE"/>
              </w:rPr>
              <w:t xml:space="preserve"> by Member States, such as the benchmark values set out in Annex III to this Directive. </w:t>
            </w:r>
            <w:r w:rsidRPr="00DA6A08">
              <w:rPr>
                <w:b/>
                <w:i/>
                <w:lang w:eastAsia="de-DE"/>
              </w:rPr>
              <w:t>Member States should conduct an assessment of possible impacts where they decide to take such measures.</w:t>
            </w:r>
          </w:p>
        </w:tc>
        <w:tc>
          <w:tcPr>
            <w:tcW w:w="3545" w:type="dxa"/>
            <w:gridSpan w:val="3"/>
          </w:tcPr>
          <w:p w:rsidR="008D3AC6" w:rsidRPr="00DA6A08" w:rsidRDefault="008D3AC6" w:rsidP="00970BCD">
            <w:pPr>
              <w:spacing w:before="0" w:after="0" w:line="240" w:lineRule="auto"/>
              <w:rPr>
                <w:lang w:eastAsia="de-DE"/>
              </w:rPr>
            </w:pPr>
            <w:r w:rsidRPr="00DA6A08">
              <w:rPr>
                <w:lang w:eastAsia="de-DE"/>
              </w:rPr>
              <w:t>(13) In accordance with Article 193 of the Treaty on the Functioning of the European Union (TFEU), this Directive does not prevent Member States from maintaining or introducing more stringent protective measures, […]</w:t>
            </w:r>
            <w:r w:rsidRPr="00DA6A08">
              <w:rPr>
                <w:noProof/>
                <w:lang w:eastAsia="de-DE"/>
              </w:rPr>
              <w:t xml:space="preserve"> </w:t>
            </w:r>
            <w:r w:rsidRPr="00DA6A08">
              <w:rPr>
                <w:b/>
                <w:bCs/>
                <w:lang w:eastAsia="de-DE"/>
              </w:rPr>
              <w:t>including stricter emission limit values, than the requirements set in this Directive.</w:t>
            </w:r>
          </w:p>
        </w:tc>
        <w:tc>
          <w:tcPr>
            <w:tcW w:w="3545" w:type="dxa"/>
            <w:gridSpan w:val="5"/>
          </w:tcPr>
          <w:p w:rsidR="008D3AC6" w:rsidRPr="00DA6A08" w:rsidRDefault="008D3AC6" w:rsidP="00970BCD">
            <w:pPr>
              <w:spacing w:before="0" w:after="0" w:line="240" w:lineRule="auto"/>
              <w:rPr>
                <w:lang w:eastAsia="de-DE"/>
              </w:rPr>
            </w:pPr>
            <w:r w:rsidRPr="00DA6A08">
              <w:rPr>
                <w:lang w:eastAsia="de-DE"/>
              </w:rPr>
              <w:t xml:space="preserve">(13) In accordance with Article 193 of the Treaty on the Functioning of the European Union (TFEU), this Directive does not prevent Member States from maintaining or introducing more stringent protective measures, </w:t>
            </w:r>
            <w:r w:rsidRPr="00DA6A08">
              <w:rPr>
                <w:u w:val="single"/>
                <w:lang w:eastAsia="de-DE"/>
              </w:rPr>
              <w:t>for example</w:t>
            </w:r>
            <w:r w:rsidRPr="00DA6A08">
              <w:rPr>
                <w:lang w:eastAsia="de-DE"/>
              </w:rPr>
              <w:t xml:space="preserve"> […] </w:t>
            </w:r>
            <w:r w:rsidRPr="00DA6A08">
              <w:rPr>
                <w:u w:val="single"/>
                <w:lang w:eastAsia="de-DE"/>
              </w:rPr>
              <w:t>in zones not complying with air quality limit values,</w:t>
            </w:r>
            <w:r w:rsidRPr="00DA6A08">
              <w:rPr>
                <w:b/>
                <w:bCs/>
                <w:lang w:eastAsia="de-DE"/>
              </w:rPr>
              <w:t xml:space="preserve"> including stricter emission limit values than the requirements set in this Directive. </w:t>
            </w:r>
            <w:r w:rsidRPr="00DA6A08">
              <w:rPr>
                <w:b/>
                <w:bCs/>
                <w:iCs/>
                <w:u w:val="single"/>
                <w:lang w:eastAsia="de-DE"/>
              </w:rPr>
              <w:t>Member States should conduct an assessment of possible impacts where they decide to take such measures.</w:t>
            </w:r>
          </w:p>
        </w:tc>
      </w:tr>
    </w:tbl>
    <w:p w:rsidR="00FC4670" w:rsidRPr="00644E63" w:rsidRDefault="00FC4670" w:rsidP="00644E63">
      <w:pPr>
        <w:pStyle w:val="FinalLine"/>
      </w:pPr>
    </w:p>
    <w:sectPr w:rsidR="00FC4670" w:rsidRPr="00644E63" w:rsidSect="00284EB9">
      <w:headerReference w:type="default" r:id="rId15"/>
      <w:footerReference w:type="default" r:id="rId16"/>
      <w:pgSz w:w="16840" w:h="11907"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63" w:rsidRDefault="00644E63" w:rsidP="00644E63">
      <w:pPr>
        <w:spacing w:before="0" w:after="0" w:line="240" w:lineRule="auto"/>
      </w:pPr>
      <w:r>
        <w:separator/>
      </w:r>
    </w:p>
  </w:endnote>
  <w:endnote w:type="continuationSeparator" w:id="0">
    <w:p w:rsidR="00644E63" w:rsidRDefault="00644E63" w:rsidP="00644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63" w:rsidRPr="00284EB9" w:rsidRDefault="00644E63" w:rsidP="00284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84EB9" w:rsidRPr="00D94637" w:rsidTr="00284EB9">
      <w:trPr>
        <w:jc w:val="center"/>
      </w:trPr>
      <w:tc>
        <w:tcPr>
          <w:tcW w:w="5000" w:type="pct"/>
          <w:gridSpan w:val="7"/>
          <w:shd w:val="clear" w:color="auto" w:fill="auto"/>
          <w:tcMar>
            <w:top w:w="57" w:type="dxa"/>
          </w:tcMar>
        </w:tcPr>
        <w:p w:rsidR="00284EB9" w:rsidRPr="00D94637" w:rsidRDefault="00284EB9" w:rsidP="00D94637">
          <w:pPr>
            <w:pStyle w:val="FooterText"/>
            <w:pBdr>
              <w:top w:val="single" w:sz="4" w:space="1" w:color="auto"/>
            </w:pBdr>
            <w:spacing w:before="200"/>
            <w:rPr>
              <w:sz w:val="2"/>
              <w:szCs w:val="2"/>
            </w:rPr>
          </w:pPr>
          <w:bookmarkStart w:id="2" w:name="FOOTER_STANDARD"/>
        </w:p>
      </w:tc>
    </w:tr>
    <w:tr w:rsidR="00284EB9" w:rsidRPr="00B310DC" w:rsidTr="00284EB9">
      <w:trPr>
        <w:jc w:val="center"/>
      </w:trPr>
      <w:tc>
        <w:tcPr>
          <w:tcW w:w="2500" w:type="pct"/>
          <w:gridSpan w:val="2"/>
          <w:shd w:val="clear" w:color="auto" w:fill="auto"/>
          <w:tcMar>
            <w:top w:w="0" w:type="dxa"/>
          </w:tcMar>
        </w:tcPr>
        <w:p w:rsidR="00284EB9" w:rsidRPr="00AD7BF2" w:rsidRDefault="00284EB9" w:rsidP="004F54B2">
          <w:pPr>
            <w:pStyle w:val="FooterText"/>
          </w:pPr>
          <w:r>
            <w:t>9057/15</w:t>
          </w:r>
          <w:r w:rsidRPr="002511D8">
            <w:t xml:space="preserve"> </w:t>
          </w:r>
        </w:p>
      </w:tc>
      <w:tc>
        <w:tcPr>
          <w:tcW w:w="625" w:type="pct"/>
          <w:shd w:val="clear" w:color="auto" w:fill="auto"/>
          <w:tcMar>
            <w:top w:w="0" w:type="dxa"/>
          </w:tcMar>
        </w:tcPr>
        <w:p w:rsidR="00284EB9" w:rsidRPr="00AD7BF2" w:rsidRDefault="00284EB9" w:rsidP="00D94637">
          <w:pPr>
            <w:pStyle w:val="FooterText"/>
            <w:jc w:val="center"/>
          </w:pPr>
        </w:p>
      </w:tc>
      <w:tc>
        <w:tcPr>
          <w:tcW w:w="1287" w:type="pct"/>
          <w:gridSpan w:val="3"/>
          <w:shd w:val="clear" w:color="auto" w:fill="auto"/>
          <w:tcMar>
            <w:top w:w="0" w:type="dxa"/>
          </w:tcMar>
        </w:tcPr>
        <w:p w:rsidR="00284EB9" w:rsidRPr="002511D8" w:rsidRDefault="00284EB9" w:rsidP="00D94637">
          <w:pPr>
            <w:pStyle w:val="FooterText"/>
            <w:jc w:val="center"/>
          </w:pPr>
          <w:r>
            <w:t>KS/am</w:t>
          </w:r>
        </w:p>
      </w:tc>
      <w:tc>
        <w:tcPr>
          <w:tcW w:w="588" w:type="pct"/>
          <w:shd w:val="clear" w:color="auto" w:fill="auto"/>
          <w:tcMar>
            <w:top w:w="0" w:type="dxa"/>
          </w:tcMar>
        </w:tcPr>
        <w:p w:rsidR="00284EB9" w:rsidRPr="00B310DC" w:rsidRDefault="00284EB9"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284EB9" w:rsidRPr="00D94637" w:rsidTr="00284EB9">
      <w:trPr>
        <w:jc w:val="center"/>
      </w:trPr>
      <w:tc>
        <w:tcPr>
          <w:tcW w:w="1774" w:type="pct"/>
          <w:shd w:val="clear" w:color="auto" w:fill="auto"/>
        </w:tcPr>
        <w:p w:rsidR="00284EB9" w:rsidRPr="00AD7BF2" w:rsidRDefault="00284EB9" w:rsidP="00D94637">
          <w:pPr>
            <w:pStyle w:val="FooterText"/>
            <w:spacing w:before="40"/>
          </w:pPr>
        </w:p>
      </w:tc>
      <w:tc>
        <w:tcPr>
          <w:tcW w:w="1455" w:type="pct"/>
          <w:gridSpan w:val="3"/>
          <w:shd w:val="clear" w:color="auto" w:fill="auto"/>
        </w:tcPr>
        <w:p w:rsidR="00284EB9" w:rsidRPr="00AD7BF2" w:rsidRDefault="00284EB9" w:rsidP="00D204D6">
          <w:pPr>
            <w:pStyle w:val="FooterText"/>
            <w:spacing w:before="40"/>
            <w:jc w:val="center"/>
          </w:pPr>
          <w:r>
            <w:t>DG E 1A</w:t>
          </w:r>
        </w:p>
      </w:tc>
      <w:tc>
        <w:tcPr>
          <w:tcW w:w="1147" w:type="pct"/>
          <w:shd w:val="clear" w:color="auto" w:fill="auto"/>
        </w:tcPr>
        <w:p w:rsidR="00284EB9" w:rsidRPr="00D94637" w:rsidRDefault="00284EB9" w:rsidP="00D94637">
          <w:pPr>
            <w:pStyle w:val="FooterText"/>
            <w:jc w:val="right"/>
            <w:rPr>
              <w:b/>
              <w:position w:val="-4"/>
              <w:sz w:val="36"/>
            </w:rPr>
          </w:pPr>
          <w:r>
            <w:rPr>
              <w:b/>
              <w:position w:val="-4"/>
              <w:sz w:val="36"/>
            </w:rPr>
            <w:t>LIMITE</w:t>
          </w:r>
        </w:p>
      </w:tc>
      <w:tc>
        <w:tcPr>
          <w:tcW w:w="625" w:type="pct"/>
          <w:gridSpan w:val="2"/>
          <w:shd w:val="clear" w:color="auto" w:fill="auto"/>
        </w:tcPr>
        <w:p w:rsidR="00284EB9" w:rsidRPr="00D94637" w:rsidRDefault="00284EB9" w:rsidP="00D94637">
          <w:pPr>
            <w:pStyle w:val="FooterText"/>
            <w:jc w:val="right"/>
            <w:rPr>
              <w:sz w:val="16"/>
            </w:rPr>
          </w:pPr>
          <w:r>
            <w:rPr>
              <w:b/>
              <w:position w:val="-4"/>
              <w:sz w:val="36"/>
            </w:rPr>
            <w:t>EN</w:t>
          </w:r>
        </w:p>
      </w:tc>
    </w:tr>
    <w:bookmarkEnd w:id="2"/>
  </w:tbl>
  <w:p w:rsidR="00644E63" w:rsidRPr="00284EB9" w:rsidRDefault="00644E63" w:rsidP="00284EB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84EB9" w:rsidRPr="00D94637" w:rsidTr="00284EB9">
      <w:trPr>
        <w:jc w:val="center"/>
      </w:trPr>
      <w:tc>
        <w:tcPr>
          <w:tcW w:w="5000" w:type="pct"/>
          <w:gridSpan w:val="7"/>
          <w:shd w:val="clear" w:color="auto" w:fill="auto"/>
          <w:tcMar>
            <w:top w:w="57" w:type="dxa"/>
          </w:tcMar>
        </w:tcPr>
        <w:p w:rsidR="00284EB9" w:rsidRPr="00D94637" w:rsidRDefault="00284EB9" w:rsidP="00D94637">
          <w:pPr>
            <w:pStyle w:val="FooterText"/>
            <w:pBdr>
              <w:top w:val="single" w:sz="4" w:space="1" w:color="auto"/>
            </w:pBdr>
            <w:spacing w:before="200"/>
            <w:rPr>
              <w:sz w:val="2"/>
              <w:szCs w:val="2"/>
            </w:rPr>
          </w:pPr>
        </w:p>
      </w:tc>
    </w:tr>
    <w:tr w:rsidR="00284EB9" w:rsidRPr="00B310DC" w:rsidTr="00284EB9">
      <w:trPr>
        <w:jc w:val="center"/>
      </w:trPr>
      <w:tc>
        <w:tcPr>
          <w:tcW w:w="2500" w:type="pct"/>
          <w:gridSpan w:val="2"/>
          <w:shd w:val="clear" w:color="auto" w:fill="auto"/>
          <w:tcMar>
            <w:top w:w="0" w:type="dxa"/>
          </w:tcMar>
        </w:tcPr>
        <w:p w:rsidR="00284EB9" w:rsidRPr="00AD7BF2" w:rsidRDefault="00284EB9" w:rsidP="004F54B2">
          <w:pPr>
            <w:pStyle w:val="FooterText"/>
          </w:pPr>
          <w:r>
            <w:t>9057/15</w:t>
          </w:r>
          <w:r w:rsidRPr="002511D8">
            <w:t xml:space="preserve"> </w:t>
          </w:r>
        </w:p>
      </w:tc>
      <w:tc>
        <w:tcPr>
          <w:tcW w:w="625" w:type="pct"/>
          <w:shd w:val="clear" w:color="auto" w:fill="auto"/>
          <w:tcMar>
            <w:top w:w="0" w:type="dxa"/>
          </w:tcMar>
        </w:tcPr>
        <w:p w:rsidR="00284EB9" w:rsidRPr="00AD7BF2" w:rsidRDefault="00284EB9" w:rsidP="00D94637">
          <w:pPr>
            <w:pStyle w:val="FooterText"/>
            <w:jc w:val="center"/>
          </w:pPr>
        </w:p>
      </w:tc>
      <w:tc>
        <w:tcPr>
          <w:tcW w:w="1287" w:type="pct"/>
          <w:gridSpan w:val="3"/>
          <w:shd w:val="clear" w:color="auto" w:fill="auto"/>
          <w:tcMar>
            <w:top w:w="0" w:type="dxa"/>
          </w:tcMar>
        </w:tcPr>
        <w:p w:rsidR="00284EB9" w:rsidRPr="002511D8" w:rsidRDefault="00284EB9" w:rsidP="00D94637">
          <w:pPr>
            <w:pStyle w:val="FooterText"/>
            <w:jc w:val="center"/>
          </w:pPr>
          <w:r>
            <w:t>KS/am</w:t>
          </w:r>
        </w:p>
      </w:tc>
      <w:tc>
        <w:tcPr>
          <w:tcW w:w="588" w:type="pct"/>
          <w:shd w:val="clear" w:color="auto" w:fill="auto"/>
          <w:tcMar>
            <w:top w:w="0" w:type="dxa"/>
          </w:tcMar>
        </w:tcPr>
        <w:p w:rsidR="00284EB9" w:rsidRPr="00B310DC" w:rsidRDefault="00284EB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84EB9" w:rsidRPr="00D94637" w:rsidTr="00284EB9">
      <w:trPr>
        <w:jc w:val="center"/>
      </w:trPr>
      <w:tc>
        <w:tcPr>
          <w:tcW w:w="1774" w:type="pct"/>
          <w:shd w:val="clear" w:color="auto" w:fill="auto"/>
        </w:tcPr>
        <w:p w:rsidR="00284EB9" w:rsidRPr="00AD7BF2" w:rsidRDefault="00284EB9" w:rsidP="00D94637">
          <w:pPr>
            <w:pStyle w:val="FooterText"/>
            <w:spacing w:before="40"/>
          </w:pPr>
        </w:p>
      </w:tc>
      <w:tc>
        <w:tcPr>
          <w:tcW w:w="1455" w:type="pct"/>
          <w:gridSpan w:val="3"/>
          <w:shd w:val="clear" w:color="auto" w:fill="auto"/>
        </w:tcPr>
        <w:p w:rsidR="00284EB9" w:rsidRPr="00AD7BF2" w:rsidRDefault="00284EB9" w:rsidP="00D204D6">
          <w:pPr>
            <w:pStyle w:val="FooterText"/>
            <w:spacing w:before="40"/>
            <w:jc w:val="center"/>
          </w:pPr>
          <w:r>
            <w:t>DG E 1A</w:t>
          </w:r>
        </w:p>
      </w:tc>
      <w:tc>
        <w:tcPr>
          <w:tcW w:w="1147" w:type="pct"/>
          <w:shd w:val="clear" w:color="auto" w:fill="auto"/>
        </w:tcPr>
        <w:p w:rsidR="00284EB9" w:rsidRPr="00D94637" w:rsidRDefault="00284EB9" w:rsidP="00D94637">
          <w:pPr>
            <w:pStyle w:val="FooterText"/>
            <w:jc w:val="right"/>
            <w:rPr>
              <w:b/>
              <w:position w:val="-4"/>
              <w:sz w:val="36"/>
            </w:rPr>
          </w:pPr>
          <w:r>
            <w:rPr>
              <w:b/>
              <w:position w:val="-4"/>
              <w:sz w:val="36"/>
            </w:rPr>
            <w:t>LIMITE</w:t>
          </w:r>
        </w:p>
      </w:tc>
      <w:tc>
        <w:tcPr>
          <w:tcW w:w="625" w:type="pct"/>
          <w:gridSpan w:val="2"/>
          <w:shd w:val="clear" w:color="auto" w:fill="auto"/>
        </w:tcPr>
        <w:p w:rsidR="00284EB9" w:rsidRPr="00D94637" w:rsidRDefault="00284EB9" w:rsidP="00D94637">
          <w:pPr>
            <w:pStyle w:val="FooterText"/>
            <w:jc w:val="right"/>
            <w:rPr>
              <w:sz w:val="16"/>
            </w:rPr>
          </w:pPr>
          <w:r>
            <w:rPr>
              <w:b/>
              <w:position w:val="-4"/>
              <w:sz w:val="36"/>
            </w:rPr>
            <w:t>EN</w:t>
          </w:r>
        </w:p>
      </w:tc>
    </w:tr>
  </w:tbl>
  <w:p w:rsidR="00644E63" w:rsidRPr="00284EB9" w:rsidRDefault="00644E63" w:rsidP="00284EB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69"/>
      <w:gridCol w:w="2116"/>
      <w:gridCol w:w="1822"/>
      <w:gridCol w:w="303"/>
      <w:gridCol w:w="3343"/>
      <w:gridCol w:w="105"/>
      <w:gridCol w:w="1714"/>
    </w:tblGrid>
    <w:tr w:rsidR="00284EB9" w:rsidRPr="00D94637" w:rsidTr="00284EB9">
      <w:trPr>
        <w:jc w:val="center"/>
      </w:trPr>
      <w:tc>
        <w:tcPr>
          <w:tcW w:w="5000" w:type="pct"/>
          <w:gridSpan w:val="7"/>
          <w:shd w:val="clear" w:color="auto" w:fill="auto"/>
          <w:tcMar>
            <w:top w:w="57" w:type="dxa"/>
          </w:tcMar>
        </w:tcPr>
        <w:p w:rsidR="00284EB9" w:rsidRPr="00D94637" w:rsidRDefault="00284EB9" w:rsidP="00D94637">
          <w:pPr>
            <w:pStyle w:val="FooterText"/>
            <w:pBdr>
              <w:top w:val="single" w:sz="4" w:space="1" w:color="auto"/>
            </w:pBdr>
            <w:spacing w:before="200"/>
            <w:rPr>
              <w:sz w:val="2"/>
              <w:szCs w:val="2"/>
            </w:rPr>
          </w:pPr>
        </w:p>
      </w:tc>
    </w:tr>
    <w:tr w:rsidR="00284EB9" w:rsidRPr="00B310DC" w:rsidTr="00284EB9">
      <w:trPr>
        <w:jc w:val="center"/>
      </w:trPr>
      <w:tc>
        <w:tcPr>
          <w:tcW w:w="2500" w:type="pct"/>
          <w:gridSpan w:val="2"/>
          <w:shd w:val="clear" w:color="auto" w:fill="auto"/>
          <w:tcMar>
            <w:top w:w="0" w:type="dxa"/>
          </w:tcMar>
        </w:tcPr>
        <w:p w:rsidR="00284EB9" w:rsidRPr="00AD7BF2" w:rsidRDefault="00284EB9" w:rsidP="004F54B2">
          <w:pPr>
            <w:pStyle w:val="FooterText"/>
          </w:pPr>
          <w:r>
            <w:t>9057/15</w:t>
          </w:r>
          <w:r w:rsidRPr="002511D8">
            <w:t xml:space="preserve"> </w:t>
          </w:r>
        </w:p>
      </w:tc>
      <w:tc>
        <w:tcPr>
          <w:tcW w:w="625" w:type="pct"/>
          <w:shd w:val="clear" w:color="auto" w:fill="auto"/>
          <w:tcMar>
            <w:top w:w="0" w:type="dxa"/>
          </w:tcMar>
        </w:tcPr>
        <w:p w:rsidR="00284EB9" w:rsidRPr="00AD7BF2" w:rsidRDefault="00284EB9" w:rsidP="00D94637">
          <w:pPr>
            <w:pStyle w:val="FooterText"/>
            <w:jc w:val="center"/>
          </w:pPr>
        </w:p>
      </w:tc>
      <w:tc>
        <w:tcPr>
          <w:tcW w:w="1287" w:type="pct"/>
          <w:gridSpan w:val="3"/>
          <w:shd w:val="clear" w:color="auto" w:fill="auto"/>
          <w:tcMar>
            <w:top w:w="0" w:type="dxa"/>
          </w:tcMar>
        </w:tcPr>
        <w:p w:rsidR="00284EB9" w:rsidRPr="002511D8" w:rsidRDefault="00284EB9" w:rsidP="00D94637">
          <w:pPr>
            <w:pStyle w:val="FooterText"/>
            <w:jc w:val="center"/>
          </w:pPr>
          <w:r>
            <w:t>KS/am</w:t>
          </w:r>
        </w:p>
      </w:tc>
      <w:tc>
        <w:tcPr>
          <w:tcW w:w="588" w:type="pct"/>
          <w:shd w:val="clear" w:color="auto" w:fill="auto"/>
          <w:tcMar>
            <w:top w:w="0" w:type="dxa"/>
          </w:tcMar>
        </w:tcPr>
        <w:p w:rsidR="00284EB9" w:rsidRPr="00B310DC" w:rsidRDefault="00284EB9" w:rsidP="00D94637">
          <w:pPr>
            <w:pStyle w:val="FooterText"/>
            <w:jc w:val="right"/>
          </w:pPr>
          <w:r>
            <w:fldChar w:fldCharType="begin"/>
          </w:r>
          <w:r>
            <w:instrText xml:space="preserve"> PAGE  \* MERGEFORMAT </w:instrText>
          </w:r>
          <w:r>
            <w:fldChar w:fldCharType="separate"/>
          </w:r>
          <w:r>
            <w:rPr>
              <w:noProof/>
            </w:rPr>
            <w:t>16</w:t>
          </w:r>
          <w:r>
            <w:fldChar w:fldCharType="end"/>
          </w:r>
        </w:p>
      </w:tc>
    </w:tr>
    <w:tr w:rsidR="00284EB9" w:rsidRPr="00D94637" w:rsidTr="00284EB9">
      <w:trPr>
        <w:jc w:val="center"/>
      </w:trPr>
      <w:tc>
        <w:tcPr>
          <w:tcW w:w="1774" w:type="pct"/>
          <w:shd w:val="clear" w:color="auto" w:fill="auto"/>
        </w:tcPr>
        <w:p w:rsidR="00284EB9" w:rsidRPr="00AD7BF2" w:rsidRDefault="00284EB9" w:rsidP="00D94637">
          <w:pPr>
            <w:pStyle w:val="FooterText"/>
            <w:spacing w:before="40"/>
          </w:pPr>
          <w:r>
            <w:t>ANNEX</w:t>
          </w:r>
        </w:p>
      </w:tc>
      <w:tc>
        <w:tcPr>
          <w:tcW w:w="1455" w:type="pct"/>
          <w:gridSpan w:val="3"/>
          <w:shd w:val="clear" w:color="auto" w:fill="auto"/>
        </w:tcPr>
        <w:p w:rsidR="00284EB9" w:rsidRPr="00AD7BF2" w:rsidRDefault="00284EB9" w:rsidP="00D204D6">
          <w:pPr>
            <w:pStyle w:val="FooterText"/>
            <w:spacing w:before="40"/>
            <w:jc w:val="center"/>
          </w:pPr>
          <w:r>
            <w:t>DG E 1A</w:t>
          </w:r>
        </w:p>
      </w:tc>
      <w:tc>
        <w:tcPr>
          <w:tcW w:w="1147" w:type="pct"/>
          <w:shd w:val="clear" w:color="auto" w:fill="auto"/>
        </w:tcPr>
        <w:p w:rsidR="00284EB9" w:rsidRPr="00D94637" w:rsidRDefault="00284EB9" w:rsidP="00D94637">
          <w:pPr>
            <w:pStyle w:val="FooterText"/>
            <w:jc w:val="right"/>
            <w:rPr>
              <w:b/>
              <w:position w:val="-4"/>
              <w:sz w:val="36"/>
            </w:rPr>
          </w:pPr>
          <w:r>
            <w:rPr>
              <w:b/>
              <w:position w:val="-4"/>
              <w:sz w:val="36"/>
            </w:rPr>
            <w:t>LIMITE</w:t>
          </w:r>
        </w:p>
      </w:tc>
      <w:tc>
        <w:tcPr>
          <w:tcW w:w="625" w:type="pct"/>
          <w:gridSpan w:val="2"/>
          <w:shd w:val="clear" w:color="auto" w:fill="auto"/>
        </w:tcPr>
        <w:p w:rsidR="00284EB9" w:rsidRPr="00D94637" w:rsidRDefault="00284EB9" w:rsidP="00D94637">
          <w:pPr>
            <w:pStyle w:val="FooterText"/>
            <w:jc w:val="right"/>
            <w:rPr>
              <w:sz w:val="16"/>
            </w:rPr>
          </w:pPr>
          <w:r>
            <w:rPr>
              <w:b/>
              <w:position w:val="-4"/>
              <w:sz w:val="36"/>
            </w:rPr>
            <w:t>EN</w:t>
          </w:r>
        </w:p>
      </w:tc>
    </w:tr>
  </w:tbl>
  <w:p w:rsidR="000A4DB5" w:rsidRPr="00284EB9" w:rsidRDefault="000A4DB5" w:rsidP="00284EB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63" w:rsidRDefault="00644E63" w:rsidP="00644E63">
      <w:pPr>
        <w:spacing w:before="0" w:after="0" w:line="240" w:lineRule="auto"/>
      </w:pPr>
      <w:r>
        <w:separator/>
      </w:r>
    </w:p>
  </w:footnote>
  <w:footnote w:type="continuationSeparator" w:id="0">
    <w:p w:rsidR="00644E63" w:rsidRDefault="00644E63" w:rsidP="00644E63">
      <w:pPr>
        <w:spacing w:before="0" w:after="0" w:line="240" w:lineRule="auto"/>
      </w:pPr>
      <w:r>
        <w:continuationSeparator/>
      </w:r>
    </w:p>
  </w:footnote>
  <w:footnote w:id="1">
    <w:p w:rsidR="00D501C7" w:rsidRPr="00AE4174" w:rsidRDefault="00D501C7" w:rsidP="00AD59A8">
      <w:pPr>
        <w:pStyle w:val="FootnoteText"/>
      </w:pPr>
      <w:r>
        <w:rPr>
          <w:rStyle w:val="FootnoteReference"/>
        </w:rPr>
        <w:footnoteRef/>
      </w:r>
      <w:r w:rsidRPr="00AE4174">
        <w:tab/>
        <w:t xml:space="preserve">Given the short deadlines, only those parts of the draft Directive </w:t>
      </w:r>
      <w:r w:rsidR="00AD59A8" w:rsidRPr="00AE4174">
        <w:t>where modifications are suggested</w:t>
      </w:r>
      <w:r w:rsidR="00AD59A8">
        <w:t>,</w:t>
      </w:r>
      <w:r w:rsidR="00AD59A8" w:rsidRPr="00AE4174">
        <w:t xml:space="preserve"> </w:t>
      </w:r>
      <w:r w:rsidRPr="00AE4174">
        <w:t>are included in the Annex</w:t>
      </w:r>
      <w:r w:rsidR="00AD59A8">
        <w:t>.</w:t>
      </w:r>
    </w:p>
  </w:footnote>
  <w:footnote w:id="2">
    <w:p w:rsidR="00DA6A08" w:rsidRPr="00026B02" w:rsidRDefault="00DA6A08" w:rsidP="00DA6A08">
      <w:pPr>
        <w:pStyle w:val="FootnoteText"/>
        <w:ind w:left="567" w:hanging="567"/>
      </w:pPr>
      <w:r>
        <w:rPr>
          <w:rStyle w:val="FootnoteReference"/>
        </w:rPr>
        <w:footnoteRef/>
      </w:r>
      <w:r>
        <w:t xml:space="preserve"> </w:t>
      </w:r>
      <w:r w:rsidRPr="00026B02">
        <w:tab/>
      </w:r>
      <w:r>
        <w:t xml:space="preserve">According to AM 27, </w:t>
      </w:r>
      <w:r w:rsidRPr="00576A42">
        <w:t xml:space="preserve">"particulate matter" </w:t>
      </w:r>
      <w:r>
        <w:t xml:space="preserve">is to be replaced </w:t>
      </w:r>
      <w:r w:rsidRPr="00576A42">
        <w:t xml:space="preserve">by "dust" throughout the text. </w:t>
      </w:r>
      <w:r>
        <w:t>This applies therefore also to this Annex. For reasons of presentation it cannot be shown in this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63" w:rsidRPr="00284EB9" w:rsidRDefault="00644E63" w:rsidP="00284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63" w:rsidRPr="00284EB9" w:rsidRDefault="00644E63" w:rsidP="00284EB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63" w:rsidRPr="00284EB9" w:rsidRDefault="00644E63" w:rsidP="00284EB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B5" w:rsidRPr="00284EB9" w:rsidRDefault="000A4DB5" w:rsidP="00284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6cada25-ccbf-401b-a1a6-a4527cc2da7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2&lt;/text&gt;_x000d__x000a_  &lt;/metadata&gt;_x000d__x000a_  &lt;metadata key=&quot;md_Prefix&quot;&gt;_x000d__x000a_    &lt;text&gt;&lt;/text&gt;_x000d__x000a_  &lt;/metadata&gt;_x000d__x000a_  &lt;metadata key=&quot;md_DocumentNumber&quot;&gt;_x000d__x000a_    &lt;text&gt;905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ENV 321&lt;/text&gt;_x000d__x000a_      &lt;text&gt;ENER 183&lt;/text&gt;_x000d__x000a_      &lt;text&gt;IND 85&lt;/text&gt;_x000d__x000a_      &lt;text&gt;TRANS 172&lt;/text&gt;_x000d__x000a_      &lt;text&gt;ENT 89&lt;/text&gt;_x000d__x000a_      &lt;text&gt;SAN 148&lt;/text&gt;_x000d__x000a_      &lt;text&gt;PARLNAT 46&lt;/text&gt;_x000d__x000a_      &lt;text&gt;CODEC 7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42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8&quot; text=&quot;Permanent Representatives Committee&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18170/13 ENV 1236 IND 389 TRANS 694 ENT 357 SAN 557 PARLANT 326 CODEC 3089 - COM(2013) 919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Directive of the European Parliament and of the Council on the limitation of emissions of certain pollutants into the air from medium combution plants - Preparation for the informal trilogu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amp;gt;Proposal for a Directive of the European Parliament and of the Council on the limitation of emissions of certain pollutants into the air from medium combution plants&amp;lt;/Run&amp;gt;&amp;lt;/Paragraph&amp;gt;&amp;lt;Paragraph&amp;gt;&amp;lt;Run xml:lang=&quot;en-gb&quot; xml:space=&quot;preserve&quot;&amp;gt;-_x0009_Preparation for the informal trilogue&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KS/a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644E63"/>
    <w:rsid w:val="00096B04"/>
    <w:rsid w:val="000A4DB5"/>
    <w:rsid w:val="000D2944"/>
    <w:rsid w:val="00130CD9"/>
    <w:rsid w:val="00182F2F"/>
    <w:rsid w:val="002345D5"/>
    <w:rsid w:val="00284EB9"/>
    <w:rsid w:val="00356F5F"/>
    <w:rsid w:val="00414945"/>
    <w:rsid w:val="004A5CE6"/>
    <w:rsid w:val="00625999"/>
    <w:rsid w:val="006351BB"/>
    <w:rsid w:val="00644E63"/>
    <w:rsid w:val="007161AD"/>
    <w:rsid w:val="008D3AC6"/>
    <w:rsid w:val="00901450"/>
    <w:rsid w:val="009B07D1"/>
    <w:rsid w:val="00A30641"/>
    <w:rsid w:val="00A5132D"/>
    <w:rsid w:val="00A93207"/>
    <w:rsid w:val="00AD59A8"/>
    <w:rsid w:val="00AF3113"/>
    <w:rsid w:val="00B206E9"/>
    <w:rsid w:val="00B54F86"/>
    <w:rsid w:val="00BA4ABC"/>
    <w:rsid w:val="00BE6E3D"/>
    <w:rsid w:val="00D13316"/>
    <w:rsid w:val="00D501C7"/>
    <w:rsid w:val="00DA3B7F"/>
    <w:rsid w:val="00DA6A08"/>
    <w:rsid w:val="00DC5EF5"/>
    <w:rsid w:val="00E23EA4"/>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
    <w:basedOn w:val="Normal"/>
    <w:link w:val="FootnoteTextChar1"/>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 BVI fnr,Footnotes refss,number,Ref,no..."/>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84EB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644E63"/>
    <w:pPr>
      <w:spacing w:before="0" w:after="440"/>
      <w:ind w:left="-1134" w:right="-1134"/>
    </w:pPr>
    <w:rPr>
      <w:sz w:val="2"/>
    </w:rPr>
  </w:style>
  <w:style w:type="character" w:customStyle="1" w:styleId="TechnicalBlockChar">
    <w:name w:val="Technical Block Char"/>
    <w:basedOn w:val="DefaultParagraphFont"/>
    <w:link w:val="TechnicalBlock"/>
    <w:rsid w:val="00644E63"/>
    <w:rPr>
      <w:sz w:val="24"/>
      <w:szCs w:val="24"/>
      <w:lang w:val="en-GB" w:eastAsia="en-US"/>
    </w:rPr>
  </w:style>
  <w:style w:type="character" w:customStyle="1" w:styleId="HeaderCouncilLargeChar">
    <w:name w:val="Header Council Large Char"/>
    <w:basedOn w:val="TechnicalBlockChar"/>
    <w:link w:val="HeaderCouncilLarge"/>
    <w:rsid w:val="00644E63"/>
    <w:rPr>
      <w:sz w:val="2"/>
      <w:szCs w:val="24"/>
      <w:lang w:val="en-GB" w:eastAsia="en-US"/>
    </w:rPr>
  </w:style>
  <w:style w:type="paragraph" w:customStyle="1" w:styleId="FooterText">
    <w:name w:val="Footer Text"/>
    <w:basedOn w:val="Normal"/>
    <w:rsid w:val="00644E63"/>
    <w:pPr>
      <w:spacing w:before="0" w:after="0" w:line="240" w:lineRule="auto"/>
    </w:pPr>
  </w:style>
  <w:style w:type="character" w:customStyle="1" w:styleId="FootnoteTextChar1">
    <w:name w:val="Footnote Text Char1"/>
    <w:aliases w:val="Fußnotentextf Char,Footnote text Char,fn Char,Schriftart: 9 pt Char,Schriftart: 10 pt Char,Schriftart: 8 pt Char,WB-Fußnotentext Char,o Char,Podrozdział Char,Schriftart: 8 p Char,Char Char,Tekst przypisu Char,WB-Fuﬂnotentext Char"/>
    <w:link w:val="FootnoteText"/>
    <w:locked/>
    <w:rsid w:val="00D501C7"/>
    <w:rPr>
      <w:sz w:val="24"/>
      <w:lang w:val="en-GB" w:eastAsia="en-US"/>
    </w:rPr>
  </w:style>
  <w:style w:type="paragraph" w:customStyle="1" w:styleId="NormalConseil">
    <w:name w:val="NormalConseil"/>
    <w:basedOn w:val="Normal"/>
    <w:rsid w:val="00D501C7"/>
    <w:pPr>
      <w:spacing w:before="0" w:after="0" w:line="240" w:lineRule="auto"/>
    </w:pPr>
    <w:rPr>
      <w:szCs w:val="20"/>
      <w:lang w:eastAsia="fr-BE"/>
    </w:rPr>
  </w:style>
  <w:style w:type="paragraph" w:customStyle="1" w:styleId="Typedudocument">
    <w:name w:val="Type du document"/>
    <w:basedOn w:val="Normal"/>
    <w:next w:val="Normal"/>
    <w:rsid w:val="00D501C7"/>
    <w:pPr>
      <w:spacing w:before="360" w:after="0" w:line="240" w:lineRule="auto"/>
      <w:jc w:val="center"/>
    </w:pPr>
    <w:rPr>
      <w:b/>
      <w:szCs w:val="20"/>
      <w:lang w:val="it-IT" w:eastAsia="en-GB"/>
    </w:rPr>
  </w:style>
  <w:style w:type="table" w:styleId="TableGrid">
    <w:name w:val="Table Grid"/>
    <w:basedOn w:val="TableNormal"/>
    <w:uiPriority w:val="59"/>
    <w:rsid w:val="000A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rsid w:val="00DA6A0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
    <w:basedOn w:val="Normal"/>
    <w:link w:val="FootnoteTextChar1"/>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 BVI fnr,Footnotes refss,number,Ref,no..."/>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84EB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644E63"/>
    <w:pPr>
      <w:spacing w:before="0" w:after="440"/>
      <w:ind w:left="-1134" w:right="-1134"/>
    </w:pPr>
    <w:rPr>
      <w:sz w:val="2"/>
    </w:rPr>
  </w:style>
  <w:style w:type="character" w:customStyle="1" w:styleId="TechnicalBlockChar">
    <w:name w:val="Technical Block Char"/>
    <w:basedOn w:val="DefaultParagraphFont"/>
    <w:link w:val="TechnicalBlock"/>
    <w:rsid w:val="00644E63"/>
    <w:rPr>
      <w:sz w:val="24"/>
      <w:szCs w:val="24"/>
      <w:lang w:val="en-GB" w:eastAsia="en-US"/>
    </w:rPr>
  </w:style>
  <w:style w:type="character" w:customStyle="1" w:styleId="HeaderCouncilLargeChar">
    <w:name w:val="Header Council Large Char"/>
    <w:basedOn w:val="TechnicalBlockChar"/>
    <w:link w:val="HeaderCouncilLarge"/>
    <w:rsid w:val="00644E63"/>
    <w:rPr>
      <w:sz w:val="2"/>
      <w:szCs w:val="24"/>
      <w:lang w:val="en-GB" w:eastAsia="en-US"/>
    </w:rPr>
  </w:style>
  <w:style w:type="paragraph" w:customStyle="1" w:styleId="FooterText">
    <w:name w:val="Footer Text"/>
    <w:basedOn w:val="Normal"/>
    <w:rsid w:val="00644E63"/>
    <w:pPr>
      <w:spacing w:before="0" w:after="0" w:line="240" w:lineRule="auto"/>
    </w:pPr>
  </w:style>
  <w:style w:type="character" w:customStyle="1" w:styleId="FootnoteTextChar1">
    <w:name w:val="Footnote Text Char1"/>
    <w:aliases w:val="Fußnotentextf Char,Footnote text Char,fn Char,Schriftart: 9 pt Char,Schriftart: 10 pt Char,Schriftart: 8 pt Char,WB-Fußnotentext Char,o Char,Podrozdział Char,Schriftart: 8 p Char,Char Char,Tekst przypisu Char,WB-Fuﬂnotentext Char"/>
    <w:link w:val="FootnoteText"/>
    <w:locked/>
    <w:rsid w:val="00D501C7"/>
    <w:rPr>
      <w:sz w:val="24"/>
      <w:lang w:val="en-GB" w:eastAsia="en-US"/>
    </w:rPr>
  </w:style>
  <w:style w:type="paragraph" w:customStyle="1" w:styleId="NormalConseil">
    <w:name w:val="NormalConseil"/>
    <w:basedOn w:val="Normal"/>
    <w:rsid w:val="00D501C7"/>
    <w:pPr>
      <w:spacing w:before="0" w:after="0" w:line="240" w:lineRule="auto"/>
    </w:pPr>
    <w:rPr>
      <w:szCs w:val="20"/>
      <w:lang w:eastAsia="fr-BE"/>
    </w:rPr>
  </w:style>
  <w:style w:type="paragraph" w:customStyle="1" w:styleId="Typedudocument">
    <w:name w:val="Type du document"/>
    <w:basedOn w:val="Normal"/>
    <w:next w:val="Normal"/>
    <w:rsid w:val="00D501C7"/>
    <w:pPr>
      <w:spacing w:before="360" w:after="0" w:line="240" w:lineRule="auto"/>
      <w:jc w:val="center"/>
    </w:pPr>
    <w:rPr>
      <w:b/>
      <w:szCs w:val="20"/>
      <w:lang w:val="it-IT" w:eastAsia="en-GB"/>
    </w:rPr>
  </w:style>
  <w:style w:type="table" w:styleId="TableGrid">
    <w:name w:val="Table Grid"/>
    <w:basedOn w:val="TableNormal"/>
    <w:uiPriority w:val="59"/>
    <w:rsid w:val="000A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rsid w:val="00DA6A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52</TotalTime>
  <Pages>16</Pages>
  <Words>3158</Words>
  <Characters>16143</Characters>
  <Application>Microsoft Office Word</Application>
  <DocSecurity>0</DocSecurity>
  <Lines>768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NEIRA Julia</cp:lastModifiedBy>
  <cp:revision>13</cp:revision>
  <cp:lastPrinted>2015-05-22T16:06:00Z</cp:lastPrinted>
  <dcterms:created xsi:type="dcterms:W3CDTF">2015-05-22T14:45:00Z</dcterms:created>
  <dcterms:modified xsi:type="dcterms:W3CDTF">2015-05-22T16:14:00Z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