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24E" w:rsidRDefault="007C73F2" w:rsidP="007C73F2">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15AE74DC6364466390488BBC5BC62684" style="width:450.8pt;height:375.65pt">
            <v:imagedata r:id="rId9" o:title=""/>
          </v:shape>
        </w:pict>
      </w:r>
    </w:p>
    <w:bookmarkEnd w:id="0"/>
    <w:p w:rsidR="001C524E" w:rsidRDefault="001C524E">
      <w:pPr>
        <w:rPr>
          <w:noProof/>
        </w:rPr>
        <w:sectPr w:rsidR="001C524E" w:rsidSect="007C73F2">
          <w:headerReference w:type="even" r:id="rId10"/>
          <w:headerReference w:type="default" r:id="rId11"/>
          <w:footerReference w:type="even" r:id="rId12"/>
          <w:footerReference w:type="default" r:id="rId13"/>
          <w:headerReference w:type="first" r:id="rId14"/>
          <w:footerReference w:type="first" r:id="rId15"/>
          <w:pgSz w:w="11900" w:h="16840"/>
          <w:pgMar w:top="1134" w:right="1417" w:bottom="1134" w:left="1417" w:header="709" w:footer="709" w:gutter="0"/>
          <w:pgNumType w:start="1"/>
          <w:cols w:space="720"/>
          <w:docGrid w:linePitch="299"/>
        </w:sectPr>
      </w:pPr>
    </w:p>
    <w:p w:rsidR="001C524E" w:rsidRDefault="00896B22">
      <w:pPr>
        <w:pStyle w:val="Heading1"/>
        <w:numPr>
          <w:ilvl w:val="0"/>
          <w:numId w:val="2"/>
        </w:numPr>
        <w:rPr>
          <w:noProof/>
        </w:rPr>
      </w:pPr>
      <w:bookmarkStart w:id="1" w:name="_GoBack"/>
      <w:bookmarkEnd w:id="1"/>
      <w:r>
        <w:rPr>
          <w:noProof/>
        </w:rPr>
        <w:lastRenderedPageBreak/>
        <w:t>Introduction</w:t>
      </w:r>
    </w:p>
    <w:p w:rsidR="001C524E" w:rsidRDefault="00896B22">
      <w:pPr>
        <w:tabs>
          <w:tab w:val="left" w:pos="360"/>
        </w:tabs>
        <w:spacing w:before="120" w:after="120" w:line="240" w:lineRule="auto"/>
        <w:jc w:val="both"/>
        <w:rPr>
          <w:rFonts w:ascii="Times New Roman"/>
          <w:noProof/>
          <w:sz w:val="24"/>
          <w:szCs w:val="24"/>
        </w:rPr>
      </w:pPr>
      <w:r>
        <w:rPr>
          <w:rFonts w:ascii="Times New Roman"/>
          <w:noProof/>
          <w:sz w:val="24"/>
        </w:rPr>
        <w:t>Le 10</w:t>
      </w:r>
      <w:r>
        <w:rPr>
          <w:rFonts w:ascii="Times New Roman"/>
          <w:noProof/>
          <w:sz w:val="24"/>
        </w:rPr>
        <w:t> </w:t>
      </w:r>
      <w:r>
        <w:rPr>
          <w:rFonts w:ascii="Times New Roman"/>
          <w:noProof/>
          <w:sz w:val="24"/>
        </w:rPr>
        <w:t>mars 2015, le Conseil a adress</w:t>
      </w:r>
      <w:r>
        <w:rPr>
          <w:rFonts w:ascii="Times New Roman"/>
          <w:noProof/>
          <w:sz w:val="24"/>
        </w:rPr>
        <w:t>é</w:t>
      </w:r>
      <w:r>
        <w:rPr>
          <w:rFonts w:ascii="Times New Roman"/>
          <w:noProof/>
          <w:sz w:val="24"/>
        </w:rPr>
        <w:t xml:space="preserve"> </w:t>
      </w:r>
      <w:r>
        <w:rPr>
          <w:rFonts w:ascii="Times New Roman"/>
          <w:noProof/>
          <w:sz w:val="24"/>
        </w:rPr>
        <w:t>à</w:t>
      </w:r>
      <w:r>
        <w:rPr>
          <w:rFonts w:ascii="Times New Roman"/>
          <w:noProof/>
          <w:sz w:val="24"/>
        </w:rPr>
        <w:t xml:space="preserve"> la France, au titre de l</w:t>
      </w:r>
      <w:r>
        <w:rPr>
          <w:rFonts w:ascii="Times New Roman"/>
          <w:noProof/>
          <w:sz w:val="24"/>
        </w:rPr>
        <w:t>’</w:t>
      </w:r>
      <w:r>
        <w:rPr>
          <w:rFonts w:ascii="Times New Roman"/>
          <w:noProof/>
          <w:sz w:val="24"/>
        </w:rPr>
        <w:t>article</w:t>
      </w:r>
      <w:r>
        <w:rPr>
          <w:rFonts w:ascii="Times New Roman"/>
          <w:noProof/>
          <w:sz w:val="24"/>
        </w:rPr>
        <w:t> </w:t>
      </w:r>
      <w:r>
        <w:rPr>
          <w:rFonts w:ascii="Times New Roman"/>
          <w:noProof/>
          <w:sz w:val="24"/>
        </w:rPr>
        <w:t xml:space="preserve">126, </w:t>
      </w:r>
      <w:r>
        <w:rPr>
          <w:rFonts w:ascii="Times New Roman"/>
          <w:noProof/>
          <w:sz w:val="24"/>
        </w:rPr>
        <w:t>paragraphe</w:t>
      </w:r>
      <w:r>
        <w:rPr>
          <w:rFonts w:ascii="Times New Roman"/>
          <w:noProof/>
          <w:sz w:val="24"/>
        </w:rPr>
        <w:t> </w:t>
      </w:r>
      <w:r>
        <w:rPr>
          <w:rFonts w:ascii="Times New Roman"/>
          <w:noProof/>
          <w:sz w:val="24"/>
        </w:rPr>
        <w:t>7, du trait</w:t>
      </w:r>
      <w:r>
        <w:rPr>
          <w:rFonts w:ascii="Times New Roman"/>
          <w:noProof/>
          <w:sz w:val="24"/>
        </w:rPr>
        <w:t>é</w:t>
      </w:r>
      <w:r>
        <w:rPr>
          <w:rFonts w:ascii="Times New Roman"/>
          <w:noProof/>
          <w:sz w:val="24"/>
        </w:rPr>
        <w:t xml:space="preserve">, une recommandation visant </w:t>
      </w:r>
      <w:r>
        <w:rPr>
          <w:rFonts w:ascii="Times New Roman"/>
          <w:noProof/>
          <w:sz w:val="24"/>
        </w:rPr>
        <w:t>à</w:t>
      </w:r>
      <w:r>
        <w:rPr>
          <w:rFonts w:ascii="Times New Roman"/>
          <w:noProof/>
          <w:sz w:val="24"/>
        </w:rPr>
        <w:t xml:space="preserve"> ce qu</w:t>
      </w:r>
      <w:r>
        <w:rPr>
          <w:rFonts w:ascii="Times New Roman"/>
          <w:noProof/>
          <w:sz w:val="24"/>
        </w:rPr>
        <w:t>’</w:t>
      </w:r>
      <w:r>
        <w:rPr>
          <w:rFonts w:ascii="Times New Roman"/>
          <w:noProof/>
          <w:sz w:val="24"/>
        </w:rPr>
        <w:t xml:space="preserve">il soit mis fin </w:t>
      </w:r>
      <w:r>
        <w:rPr>
          <w:rFonts w:ascii="Times New Roman"/>
          <w:noProof/>
          <w:sz w:val="24"/>
        </w:rPr>
        <w:t>à</w:t>
      </w:r>
      <w:r>
        <w:rPr>
          <w:rFonts w:ascii="Times New Roman"/>
          <w:noProof/>
          <w:sz w:val="24"/>
        </w:rPr>
        <w:t xml:space="preserve"> la situation de d</w:t>
      </w:r>
      <w:r>
        <w:rPr>
          <w:rFonts w:ascii="Times New Roman"/>
          <w:noProof/>
          <w:sz w:val="24"/>
        </w:rPr>
        <w:t>é</w:t>
      </w:r>
      <w:r>
        <w:rPr>
          <w:rFonts w:ascii="Times New Roman"/>
          <w:noProof/>
          <w:sz w:val="24"/>
        </w:rPr>
        <w:t>ficit public excessif en 2017 au plus tard. Il lui a recommand</w:t>
      </w:r>
      <w:r>
        <w:rPr>
          <w:rFonts w:ascii="Times New Roman"/>
          <w:noProof/>
          <w:sz w:val="24"/>
        </w:rPr>
        <w:t>é</w:t>
      </w:r>
      <w:r>
        <w:rPr>
          <w:rFonts w:ascii="Times New Roman"/>
          <w:noProof/>
          <w:sz w:val="24"/>
        </w:rPr>
        <w:t xml:space="preserve"> de parvenir </w:t>
      </w:r>
      <w:r>
        <w:rPr>
          <w:rFonts w:ascii="Times New Roman"/>
          <w:noProof/>
          <w:sz w:val="24"/>
        </w:rPr>
        <w:t>à</w:t>
      </w:r>
      <w:r>
        <w:rPr>
          <w:rFonts w:ascii="Times New Roman"/>
          <w:noProof/>
          <w:sz w:val="24"/>
        </w:rPr>
        <w:t xml:space="preserve"> un d</w:t>
      </w:r>
      <w:r>
        <w:rPr>
          <w:rFonts w:ascii="Times New Roman"/>
          <w:noProof/>
          <w:sz w:val="24"/>
        </w:rPr>
        <w:t>é</w:t>
      </w:r>
      <w:r>
        <w:rPr>
          <w:rFonts w:ascii="Times New Roman"/>
          <w:noProof/>
          <w:sz w:val="24"/>
        </w:rPr>
        <w:t>ficit nominal de 4,0</w:t>
      </w:r>
      <w:r>
        <w:rPr>
          <w:rFonts w:ascii="Times New Roman"/>
          <w:noProof/>
          <w:sz w:val="24"/>
        </w:rPr>
        <w:t> </w:t>
      </w:r>
      <w:r>
        <w:rPr>
          <w:rFonts w:ascii="Times New Roman"/>
          <w:noProof/>
          <w:sz w:val="24"/>
        </w:rPr>
        <w:t>% du PIB en 2015, de 3,4</w:t>
      </w:r>
      <w:r>
        <w:rPr>
          <w:rFonts w:ascii="Times New Roman"/>
          <w:noProof/>
          <w:sz w:val="24"/>
        </w:rPr>
        <w:t> </w:t>
      </w:r>
      <w:r>
        <w:rPr>
          <w:rFonts w:ascii="Times New Roman"/>
          <w:noProof/>
          <w:sz w:val="24"/>
        </w:rPr>
        <w:t>% du PIB en 2016 et de 2,8</w:t>
      </w:r>
      <w:r>
        <w:rPr>
          <w:rFonts w:ascii="Times New Roman"/>
          <w:noProof/>
          <w:sz w:val="24"/>
        </w:rPr>
        <w:t> </w:t>
      </w:r>
      <w:r>
        <w:rPr>
          <w:rFonts w:ascii="Times New Roman"/>
          <w:noProof/>
          <w:sz w:val="24"/>
        </w:rPr>
        <w:t xml:space="preserve">% du </w:t>
      </w:r>
      <w:r>
        <w:rPr>
          <w:rFonts w:ascii="Times New Roman"/>
          <w:noProof/>
          <w:sz w:val="24"/>
        </w:rPr>
        <w:t>PIB en 2017. Sur la base des pr</w:t>
      </w:r>
      <w:r>
        <w:rPr>
          <w:rFonts w:ascii="Times New Roman"/>
          <w:noProof/>
          <w:sz w:val="24"/>
        </w:rPr>
        <w:t>é</w:t>
      </w:r>
      <w:r>
        <w:rPr>
          <w:rFonts w:ascii="Times New Roman"/>
          <w:noProof/>
          <w:sz w:val="24"/>
        </w:rPr>
        <w:t>visions macro</w:t>
      </w:r>
      <w:r>
        <w:rPr>
          <w:rFonts w:ascii="Times New Roman"/>
          <w:noProof/>
          <w:sz w:val="24"/>
        </w:rPr>
        <w:t>é</w:t>
      </w:r>
      <w:r>
        <w:rPr>
          <w:rFonts w:ascii="Times New Roman"/>
          <w:noProof/>
          <w:sz w:val="24"/>
        </w:rPr>
        <w:t xml:space="preserve">conomiques qui sous-tendaient la recommandation du Conseil, cela correspondait </w:t>
      </w:r>
      <w:r>
        <w:rPr>
          <w:rFonts w:ascii="Times New Roman"/>
          <w:noProof/>
          <w:sz w:val="24"/>
        </w:rPr>
        <w:t>à</w:t>
      </w:r>
      <w:r>
        <w:rPr>
          <w:rFonts w:ascii="Times New Roman"/>
          <w:noProof/>
          <w:sz w:val="24"/>
        </w:rPr>
        <w:t xml:space="preserve"> une am</w:t>
      </w:r>
      <w:r>
        <w:rPr>
          <w:rFonts w:ascii="Times New Roman"/>
          <w:noProof/>
          <w:sz w:val="24"/>
        </w:rPr>
        <w:t>é</w:t>
      </w:r>
      <w:r>
        <w:rPr>
          <w:rFonts w:ascii="Times New Roman"/>
          <w:noProof/>
          <w:sz w:val="24"/>
        </w:rPr>
        <w:t>lioration du solde structurel de 0,5</w:t>
      </w:r>
      <w:r>
        <w:rPr>
          <w:rFonts w:ascii="Times New Roman"/>
          <w:noProof/>
          <w:sz w:val="24"/>
        </w:rPr>
        <w:t> </w:t>
      </w:r>
      <w:r>
        <w:rPr>
          <w:rFonts w:ascii="Times New Roman"/>
          <w:noProof/>
          <w:sz w:val="24"/>
        </w:rPr>
        <w:t>% du PIB en 2015, de 0,8</w:t>
      </w:r>
      <w:r>
        <w:rPr>
          <w:rFonts w:ascii="Times New Roman"/>
          <w:noProof/>
          <w:sz w:val="24"/>
        </w:rPr>
        <w:t> </w:t>
      </w:r>
      <w:r>
        <w:rPr>
          <w:rFonts w:ascii="Times New Roman"/>
          <w:noProof/>
          <w:sz w:val="24"/>
        </w:rPr>
        <w:t>% en 2016 et de 0,9</w:t>
      </w:r>
      <w:r>
        <w:rPr>
          <w:rFonts w:ascii="Times New Roman"/>
          <w:noProof/>
          <w:sz w:val="24"/>
        </w:rPr>
        <w:t> </w:t>
      </w:r>
      <w:r>
        <w:rPr>
          <w:rFonts w:ascii="Times New Roman"/>
          <w:noProof/>
          <w:sz w:val="24"/>
        </w:rPr>
        <w:t>% en 2017 et n</w:t>
      </w:r>
      <w:r>
        <w:rPr>
          <w:rFonts w:ascii="Times New Roman"/>
          <w:noProof/>
          <w:sz w:val="24"/>
        </w:rPr>
        <w:t>é</w:t>
      </w:r>
      <w:r>
        <w:rPr>
          <w:rFonts w:ascii="Times New Roman"/>
          <w:noProof/>
          <w:sz w:val="24"/>
        </w:rPr>
        <w:t>cessiterait l</w:t>
      </w:r>
      <w:r>
        <w:rPr>
          <w:rFonts w:ascii="Times New Roman"/>
          <w:noProof/>
          <w:sz w:val="24"/>
        </w:rPr>
        <w:t>’</w:t>
      </w:r>
      <w:r>
        <w:rPr>
          <w:rFonts w:ascii="Times New Roman"/>
          <w:noProof/>
          <w:sz w:val="24"/>
        </w:rPr>
        <w:t>adoption de</w:t>
      </w:r>
      <w:r>
        <w:rPr>
          <w:rFonts w:ascii="Times New Roman"/>
          <w:noProof/>
          <w:sz w:val="24"/>
        </w:rPr>
        <w:t xml:space="preserve"> mesures suppl</w:t>
      </w:r>
      <w:r>
        <w:rPr>
          <w:rFonts w:ascii="Times New Roman"/>
          <w:noProof/>
          <w:sz w:val="24"/>
        </w:rPr>
        <w:t>é</w:t>
      </w:r>
      <w:r>
        <w:rPr>
          <w:rFonts w:ascii="Times New Roman"/>
          <w:noProof/>
          <w:sz w:val="24"/>
        </w:rPr>
        <w:t>mentaires repr</w:t>
      </w:r>
      <w:r>
        <w:rPr>
          <w:rFonts w:ascii="Times New Roman"/>
          <w:noProof/>
          <w:sz w:val="24"/>
        </w:rPr>
        <w:t>é</w:t>
      </w:r>
      <w:r>
        <w:rPr>
          <w:rFonts w:ascii="Times New Roman"/>
          <w:noProof/>
          <w:sz w:val="24"/>
        </w:rPr>
        <w:t>sentant 0,2</w:t>
      </w:r>
      <w:r>
        <w:rPr>
          <w:rFonts w:ascii="Times New Roman"/>
          <w:noProof/>
          <w:sz w:val="24"/>
        </w:rPr>
        <w:t> </w:t>
      </w:r>
      <w:r>
        <w:rPr>
          <w:rFonts w:ascii="Times New Roman"/>
          <w:noProof/>
          <w:sz w:val="24"/>
        </w:rPr>
        <w:t>% du PIB en 2015, 1,2</w:t>
      </w:r>
      <w:r>
        <w:rPr>
          <w:rFonts w:ascii="Times New Roman"/>
          <w:noProof/>
          <w:sz w:val="24"/>
        </w:rPr>
        <w:t> </w:t>
      </w:r>
      <w:r>
        <w:rPr>
          <w:rFonts w:ascii="Times New Roman"/>
          <w:noProof/>
          <w:sz w:val="24"/>
        </w:rPr>
        <w:t>% en 2016 et 1,3</w:t>
      </w:r>
      <w:r>
        <w:rPr>
          <w:rFonts w:ascii="Times New Roman"/>
          <w:noProof/>
          <w:sz w:val="24"/>
        </w:rPr>
        <w:t> </w:t>
      </w:r>
      <w:r>
        <w:rPr>
          <w:rFonts w:ascii="Times New Roman"/>
          <w:noProof/>
          <w:sz w:val="24"/>
        </w:rPr>
        <w:t xml:space="preserve">% en 2017. </w:t>
      </w:r>
    </w:p>
    <w:p w:rsidR="001C524E" w:rsidRDefault="00896B22">
      <w:pPr>
        <w:tabs>
          <w:tab w:val="left" w:pos="360"/>
        </w:tabs>
        <w:spacing w:before="120" w:after="120" w:line="240" w:lineRule="auto"/>
        <w:jc w:val="both"/>
        <w:rPr>
          <w:rFonts w:ascii="Times New Roman" w:eastAsia="Times New Roman" w:hAnsi="Times New Roman" w:cs="Times New Roman"/>
          <w:noProof/>
          <w:sz w:val="24"/>
          <w:szCs w:val="24"/>
        </w:rPr>
      </w:pPr>
      <w:r>
        <w:rPr>
          <w:rFonts w:ascii="Times New Roman"/>
          <w:noProof/>
          <w:sz w:val="24"/>
        </w:rPr>
        <w:t>Conform</w:t>
      </w:r>
      <w:r>
        <w:rPr>
          <w:rFonts w:ascii="Times New Roman"/>
          <w:noProof/>
          <w:sz w:val="24"/>
        </w:rPr>
        <w:t>é</w:t>
      </w:r>
      <w:r>
        <w:rPr>
          <w:rFonts w:ascii="Times New Roman"/>
          <w:noProof/>
          <w:sz w:val="24"/>
        </w:rPr>
        <w:t xml:space="preserve">ment </w:t>
      </w:r>
      <w:r>
        <w:rPr>
          <w:rFonts w:ascii="Times New Roman"/>
          <w:noProof/>
          <w:sz w:val="24"/>
        </w:rPr>
        <w:t>à</w:t>
      </w:r>
      <w:r>
        <w:rPr>
          <w:rFonts w:ascii="Times New Roman"/>
          <w:noProof/>
          <w:sz w:val="24"/>
        </w:rPr>
        <w:t xml:space="preserve"> l</w:t>
      </w:r>
      <w:r>
        <w:rPr>
          <w:rFonts w:ascii="Times New Roman"/>
          <w:noProof/>
          <w:sz w:val="24"/>
        </w:rPr>
        <w:t>’</w:t>
      </w:r>
      <w:r>
        <w:rPr>
          <w:rFonts w:ascii="Times New Roman"/>
          <w:noProof/>
          <w:sz w:val="24"/>
        </w:rPr>
        <w:t>article</w:t>
      </w:r>
      <w:r>
        <w:rPr>
          <w:rFonts w:ascii="Times New Roman"/>
          <w:noProof/>
          <w:sz w:val="24"/>
        </w:rPr>
        <w:t> </w:t>
      </w:r>
      <w:r>
        <w:rPr>
          <w:rFonts w:ascii="Times New Roman"/>
          <w:noProof/>
          <w:sz w:val="24"/>
        </w:rPr>
        <w:t>3, paragraphe</w:t>
      </w:r>
      <w:r>
        <w:rPr>
          <w:rFonts w:ascii="Times New Roman"/>
          <w:noProof/>
          <w:sz w:val="24"/>
        </w:rPr>
        <w:t> </w:t>
      </w:r>
      <w:r>
        <w:rPr>
          <w:rFonts w:ascii="Times New Roman"/>
          <w:noProof/>
          <w:sz w:val="24"/>
        </w:rPr>
        <w:t>4</w:t>
      </w:r>
      <w:r>
        <w:rPr>
          <w:rFonts w:ascii="Times New Roman"/>
          <w:noProof/>
          <w:sz w:val="24"/>
        </w:rPr>
        <w:t> </w:t>
      </w:r>
      <w:r>
        <w:rPr>
          <w:rFonts w:ascii="Times New Roman"/>
          <w:i/>
          <w:noProof/>
          <w:sz w:val="24"/>
        </w:rPr>
        <w:t>bis</w:t>
      </w:r>
      <w:r>
        <w:rPr>
          <w:rFonts w:ascii="Times New Roman"/>
          <w:noProof/>
          <w:sz w:val="24"/>
        </w:rPr>
        <w:t>, de son r</w:t>
      </w:r>
      <w:r>
        <w:rPr>
          <w:rFonts w:ascii="Times New Roman"/>
          <w:noProof/>
          <w:sz w:val="24"/>
        </w:rPr>
        <w:t>è</w:t>
      </w:r>
      <w:r>
        <w:rPr>
          <w:rFonts w:ascii="Times New Roman"/>
          <w:noProof/>
          <w:sz w:val="24"/>
        </w:rPr>
        <w:t>glement (CE) n</w:t>
      </w:r>
      <w:r>
        <w:rPr>
          <w:rFonts w:ascii="Times New Roman"/>
          <w:noProof/>
          <w:sz w:val="24"/>
        </w:rPr>
        <w:t>º </w:t>
      </w:r>
      <w:r>
        <w:rPr>
          <w:rFonts w:ascii="Times New Roman"/>
          <w:noProof/>
          <w:sz w:val="24"/>
        </w:rPr>
        <w:t>1467/97, le Conseil a fix</w:t>
      </w:r>
      <w:r>
        <w:rPr>
          <w:rFonts w:ascii="Times New Roman"/>
          <w:noProof/>
          <w:sz w:val="24"/>
        </w:rPr>
        <w:t>é</w:t>
      </w:r>
      <w:r>
        <w:rPr>
          <w:rFonts w:ascii="Times New Roman"/>
          <w:noProof/>
          <w:sz w:val="24"/>
        </w:rPr>
        <w:t xml:space="preserve"> </w:t>
      </w:r>
      <w:r>
        <w:rPr>
          <w:rFonts w:ascii="Times New Roman"/>
          <w:noProof/>
          <w:sz w:val="24"/>
        </w:rPr>
        <w:t>à</w:t>
      </w:r>
      <w:r>
        <w:rPr>
          <w:rFonts w:ascii="Times New Roman"/>
          <w:noProof/>
          <w:sz w:val="24"/>
        </w:rPr>
        <w:t xml:space="preserve"> la France la date limite du 10 juin 2015 pour la remise d</w:t>
      </w:r>
      <w:r>
        <w:rPr>
          <w:rFonts w:ascii="Times New Roman"/>
          <w:noProof/>
          <w:sz w:val="24"/>
        </w:rPr>
        <w:t>’</w:t>
      </w:r>
      <w:r>
        <w:rPr>
          <w:rFonts w:ascii="Times New Roman"/>
          <w:noProof/>
          <w:sz w:val="24"/>
        </w:rPr>
        <w:t>un ra</w:t>
      </w:r>
      <w:r>
        <w:rPr>
          <w:rFonts w:ascii="Times New Roman"/>
          <w:noProof/>
          <w:sz w:val="24"/>
        </w:rPr>
        <w:t>pport d</w:t>
      </w:r>
      <w:r>
        <w:rPr>
          <w:rFonts w:ascii="Times New Roman"/>
          <w:noProof/>
          <w:sz w:val="24"/>
        </w:rPr>
        <w:t>é</w:t>
      </w:r>
      <w:r>
        <w:rPr>
          <w:rFonts w:ascii="Times New Roman"/>
          <w:noProof/>
          <w:sz w:val="24"/>
        </w:rPr>
        <w:t>taill</w:t>
      </w:r>
      <w:r>
        <w:rPr>
          <w:rFonts w:ascii="Times New Roman"/>
          <w:noProof/>
          <w:sz w:val="24"/>
        </w:rPr>
        <w:t>é</w:t>
      </w:r>
      <w:r>
        <w:rPr>
          <w:rFonts w:ascii="Times New Roman"/>
          <w:noProof/>
          <w:sz w:val="24"/>
        </w:rPr>
        <w:t xml:space="preserve"> sur i) les mesures discr</w:t>
      </w:r>
      <w:r>
        <w:rPr>
          <w:rFonts w:ascii="Times New Roman"/>
          <w:noProof/>
          <w:sz w:val="24"/>
        </w:rPr>
        <w:t>é</w:t>
      </w:r>
      <w:r>
        <w:rPr>
          <w:rFonts w:ascii="Times New Roman"/>
          <w:noProof/>
          <w:sz w:val="24"/>
        </w:rPr>
        <w:t>tionnaires structurelles suppl</w:t>
      </w:r>
      <w:r>
        <w:rPr>
          <w:rFonts w:ascii="Times New Roman"/>
          <w:noProof/>
          <w:sz w:val="24"/>
        </w:rPr>
        <w:t>é</w:t>
      </w:r>
      <w:r>
        <w:rPr>
          <w:rFonts w:ascii="Times New Roman"/>
          <w:noProof/>
          <w:sz w:val="24"/>
        </w:rPr>
        <w:t>mentaires, repr</w:t>
      </w:r>
      <w:r>
        <w:rPr>
          <w:rFonts w:ascii="Times New Roman"/>
          <w:noProof/>
          <w:sz w:val="24"/>
        </w:rPr>
        <w:t>é</w:t>
      </w:r>
      <w:r>
        <w:rPr>
          <w:rFonts w:ascii="Times New Roman"/>
          <w:noProof/>
          <w:sz w:val="24"/>
        </w:rPr>
        <w:t>sentant 0,2</w:t>
      </w:r>
      <w:r>
        <w:rPr>
          <w:rFonts w:ascii="Times New Roman"/>
          <w:noProof/>
          <w:sz w:val="24"/>
        </w:rPr>
        <w:t> </w:t>
      </w:r>
      <w:r>
        <w:rPr>
          <w:rFonts w:ascii="Times New Roman"/>
          <w:noProof/>
          <w:sz w:val="24"/>
        </w:rPr>
        <w:t>% du PIB, qu</w:t>
      </w:r>
      <w:r>
        <w:rPr>
          <w:rFonts w:ascii="Times New Roman"/>
          <w:noProof/>
          <w:sz w:val="24"/>
        </w:rPr>
        <w:t>’</w:t>
      </w:r>
      <w:r>
        <w:rPr>
          <w:rFonts w:ascii="Times New Roman"/>
          <w:noProof/>
          <w:sz w:val="24"/>
        </w:rPr>
        <w:t>elle aurait adopt</w:t>
      </w:r>
      <w:r>
        <w:rPr>
          <w:rFonts w:ascii="Times New Roman"/>
          <w:noProof/>
          <w:sz w:val="24"/>
        </w:rPr>
        <w:t>é</w:t>
      </w:r>
      <w:r>
        <w:rPr>
          <w:rFonts w:ascii="Times New Roman"/>
          <w:noProof/>
          <w:sz w:val="24"/>
        </w:rPr>
        <w:t xml:space="preserve">es pour se conformer </w:t>
      </w:r>
      <w:r>
        <w:rPr>
          <w:rFonts w:ascii="Times New Roman"/>
          <w:noProof/>
          <w:sz w:val="24"/>
        </w:rPr>
        <w:t>à</w:t>
      </w:r>
      <w:r>
        <w:rPr>
          <w:rFonts w:ascii="Times New Roman"/>
          <w:noProof/>
          <w:sz w:val="24"/>
        </w:rPr>
        <w:t xml:space="preserve"> la recommandation d</w:t>
      </w:r>
      <w:r>
        <w:rPr>
          <w:rFonts w:ascii="Times New Roman"/>
          <w:noProof/>
          <w:sz w:val="24"/>
        </w:rPr>
        <w:t>’</w:t>
      </w:r>
      <w:r>
        <w:rPr>
          <w:rFonts w:ascii="Times New Roman"/>
          <w:noProof/>
          <w:sz w:val="24"/>
        </w:rPr>
        <w:t>am</w:t>
      </w:r>
      <w:r>
        <w:rPr>
          <w:rFonts w:ascii="Times New Roman"/>
          <w:noProof/>
          <w:sz w:val="24"/>
        </w:rPr>
        <w:t>é</w:t>
      </w:r>
      <w:r>
        <w:rPr>
          <w:rFonts w:ascii="Times New Roman"/>
          <w:noProof/>
          <w:sz w:val="24"/>
        </w:rPr>
        <w:t>lioration du solde structurel en 2015 et ii) les mesures budg</w:t>
      </w:r>
      <w:r>
        <w:rPr>
          <w:rFonts w:ascii="Times New Roman"/>
          <w:noProof/>
          <w:sz w:val="24"/>
        </w:rPr>
        <w:t>é</w:t>
      </w:r>
      <w:r>
        <w:rPr>
          <w:rFonts w:ascii="Times New Roman"/>
          <w:noProof/>
          <w:sz w:val="24"/>
        </w:rPr>
        <w:t>taires cl</w:t>
      </w:r>
      <w:r>
        <w:rPr>
          <w:rFonts w:ascii="Times New Roman"/>
          <w:noProof/>
          <w:sz w:val="24"/>
        </w:rPr>
        <w:t>é</w:t>
      </w:r>
      <w:r>
        <w:rPr>
          <w:rFonts w:ascii="Times New Roman"/>
          <w:noProof/>
          <w:sz w:val="24"/>
        </w:rPr>
        <w:t>s pr</w:t>
      </w:r>
      <w:r>
        <w:rPr>
          <w:rFonts w:ascii="Times New Roman"/>
          <w:noProof/>
          <w:sz w:val="24"/>
        </w:rPr>
        <w:t>é</w:t>
      </w:r>
      <w:r>
        <w:rPr>
          <w:rFonts w:ascii="Times New Roman"/>
          <w:noProof/>
          <w:sz w:val="24"/>
        </w:rPr>
        <w:t>vue</w:t>
      </w:r>
      <w:r>
        <w:rPr>
          <w:rFonts w:ascii="Times New Roman"/>
          <w:noProof/>
          <w:sz w:val="24"/>
        </w:rPr>
        <w:t xml:space="preserve">s pour atteindre les objectifs de 2016 et 2017. Le Conseil a </w:t>
      </w:r>
      <w:r>
        <w:rPr>
          <w:rFonts w:ascii="Times New Roman"/>
          <w:noProof/>
          <w:sz w:val="24"/>
        </w:rPr>
        <w:t>é</w:t>
      </w:r>
      <w:r>
        <w:rPr>
          <w:rFonts w:ascii="Times New Roman"/>
          <w:noProof/>
          <w:sz w:val="24"/>
        </w:rPr>
        <w:t>galement recommand</w:t>
      </w:r>
      <w:r>
        <w:rPr>
          <w:rFonts w:ascii="Times New Roman"/>
          <w:noProof/>
          <w:sz w:val="24"/>
        </w:rPr>
        <w:t>é</w:t>
      </w:r>
      <w:r>
        <w:rPr>
          <w:rFonts w:ascii="Times New Roman"/>
          <w:noProof/>
          <w:sz w:val="24"/>
        </w:rPr>
        <w:t xml:space="preserve"> </w:t>
      </w:r>
      <w:r>
        <w:rPr>
          <w:rFonts w:ascii="Times New Roman"/>
          <w:noProof/>
          <w:sz w:val="24"/>
        </w:rPr>
        <w:t>à</w:t>
      </w:r>
      <w:r>
        <w:rPr>
          <w:rFonts w:ascii="Times New Roman"/>
          <w:noProof/>
          <w:sz w:val="24"/>
        </w:rPr>
        <w:t xml:space="preserve"> la France de mettre </w:t>
      </w:r>
      <w:r>
        <w:rPr>
          <w:rFonts w:ascii="Times New Roman"/>
          <w:noProof/>
          <w:sz w:val="24"/>
        </w:rPr>
        <w:t>à</w:t>
      </w:r>
      <w:r>
        <w:rPr>
          <w:rFonts w:ascii="Times New Roman"/>
          <w:noProof/>
          <w:sz w:val="24"/>
        </w:rPr>
        <w:t xml:space="preserve"> jour sa loi de programmation des finances publiques pour prendre en compte la nouvelle trajectoire d</w:t>
      </w:r>
      <w:r>
        <w:rPr>
          <w:rFonts w:ascii="Times New Roman"/>
          <w:noProof/>
          <w:sz w:val="24"/>
        </w:rPr>
        <w:t>’</w:t>
      </w:r>
      <w:r>
        <w:rPr>
          <w:rFonts w:ascii="Times New Roman"/>
          <w:noProof/>
          <w:sz w:val="24"/>
        </w:rPr>
        <w:t>ajustement et de fournir, avant l</w:t>
      </w:r>
      <w:r>
        <w:rPr>
          <w:rFonts w:ascii="Times New Roman"/>
          <w:noProof/>
          <w:sz w:val="24"/>
        </w:rPr>
        <w:t>’</w:t>
      </w:r>
      <w:r>
        <w:rPr>
          <w:rFonts w:ascii="Times New Roman"/>
          <w:noProof/>
          <w:sz w:val="24"/>
        </w:rPr>
        <w:t>expiration du d</w:t>
      </w:r>
      <w:r>
        <w:rPr>
          <w:rFonts w:ascii="Times New Roman"/>
          <w:noProof/>
          <w:sz w:val="24"/>
        </w:rPr>
        <w:t>é</w:t>
      </w:r>
      <w:r>
        <w:rPr>
          <w:rFonts w:ascii="Times New Roman"/>
          <w:noProof/>
          <w:sz w:val="24"/>
        </w:rPr>
        <w:t xml:space="preserve">lai prescrit, une </w:t>
      </w:r>
      <w:r>
        <w:rPr>
          <w:rFonts w:ascii="Times New Roman"/>
          <w:noProof/>
          <w:sz w:val="24"/>
        </w:rPr>
        <w:t>é</w:t>
      </w:r>
      <w:r>
        <w:rPr>
          <w:rFonts w:ascii="Times New Roman"/>
          <w:noProof/>
          <w:sz w:val="24"/>
        </w:rPr>
        <w:t>valuation ex ante des principales mesures sous-tendant l</w:t>
      </w:r>
      <w:r>
        <w:rPr>
          <w:rFonts w:ascii="Times New Roman"/>
          <w:noProof/>
          <w:sz w:val="24"/>
        </w:rPr>
        <w:t>’</w:t>
      </w:r>
      <w:r>
        <w:rPr>
          <w:rFonts w:ascii="Times New Roman"/>
          <w:noProof/>
          <w:sz w:val="24"/>
        </w:rPr>
        <w:t>ajustement des ann</w:t>
      </w:r>
      <w:r>
        <w:rPr>
          <w:rFonts w:ascii="Times New Roman"/>
          <w:noProof/>
          <w:sz w:val="24"/>
        </w:rPr>
        <w:t>é</w:t>
      </w:r>
      <w:r>
        <w:rPr>
          <w:rFonts w:ascii="Times New Roman"/>
          <w:noProof/>
          <w:sz w:val="24"/>
        </w:rPr>
        <w:t>es 2016 et 2017.</w:t>
      </w:r>
    </w:p>
    <w:p w:rsidR="001C524E" w:rsidRDefault="00896B22">
      <w:pPr>
        <w:tabs>
          <w:tab w:val="left" w:pos="360"/>
        </w:tabs>
        <w:spacing w:before="120" w:after="120" w:line="240" w:lineRule="auto"/>
        <w:jc w:val="both"/>
        <w:rPr>
          <w:rFonts w:ascii="Times New Roman" w:eastAsia="Times New Roman" w:hAnsi="Times New Roman" w:cs="Times New Roman"/>
          <w:noProof/>
          <w:sz w:val="24"/>
          <w:szCs w:val="24"/>
        </w:rPr>
      </w:pPr>
      <w:r>
        <w:rPr>
          <w:rFonts w:ascii="Times New Roman"/>
          <w:noProof/>
          <w:sz w:val="24"/>
        </w:rPr>
        <w:t>À</w:t>
      </w:r>
      <w:r>
        <w:rPr>
          <w:rFonts w:ascii="Times New Roman"/>
          <w:noProof/>
          <w:sz w:val="24"/>
        </w:rPr>
        <w:t xml:space="preserve"> l</w:t>
      </w:r>
      <w:r>
        <w:rPr>
          <w:rFonts w:ascii="Times New Roman"/>
          <w:noProof/>
          <w:sz w:val="24"/>
        </w:rPr>
        <w:t>’</w:t>
      </w:r>
      <w:r>
        <w:rPr>
          <w:rFonts w:ascii="Times New Roman"/>
          <w:noProof/>
          <w:sz w:val="24"/>
        </w:rPr>
        <w:t>expiration de ce d</w:t>
      </w:r>
      <w:r>
        <w:rPr>
          <w:rFonts w:ascii="Times New Roman"/>
          <w:noProof/>
          <w:sz w:val="24"/>
        </w:rPr>
        <w:t>é</w:t>
      </w:r>
      <w:r>
        <w:rPr>
          <w:rFonts w:ascii="Times New Roman"/>
          <w:noProof/>
          <w:sz w:val="24"/>
        </w:rPr>
        <w:t>lai, les autorit</w:t>
      </w:r>
      <w:r>
        <w:rPr>
          <w:rFonts w:ascii="Times New Roman"/>
          <w:noProof/>
          <w:sz w:val="24"/>
        </w:rPr>
        <w:t>é</w:t>
      </w:r>
      <w:r>
        <w:rPr>
          <w:rFonts w:ascii="Times New Roman"/>
          <w:noProof/>
          <w:sz w:val="24"/>
        </w:rPr>
        <w:t>s fran</w:t>
      </w:r>
      <w:r>
        <w:rPr>
          <w:rFonts w:ascii="Times New Roman"/>
          <w:noProof/>
          <w:sz w:val="24"/>
        </w:rPr>
        <w:t>ç</w:t>
      </w:r>
      <w:r>
        <w:rPr>
          <w:rFonts w:ascii="Times New Roman"/>
          <w:noProof/>
          <w:sz w:val="24"/>
        </w:rPr>
        <w:t xml:space="preserve">aises ont remis </w:t>
      </w:r>
      <w:r>
        <w:rPr>
          <w:rFonts w:ascii="Times New Roman"/>
          <w:noProof/>
          <w:sz w:val="24"/>
        </w:rPr>
        <w:t>à</w:t>
      </w:r>
      <w:r>
        <w:rPr>
          <w:rFonts w:ascii="Times New Roman"/>
          <w:noProof/>
          <w:sz w:val="24"/>
        </w:rPr>
        <w:t xml:space="preserve"> la Commission un rapport pr</w:t>
      </w:r>
      <w:r>
        <w:rPr>
          <w:rFonts w:ascii="Times New Roman"/>
          <w:noProof/>
          <w:sz w:val="24"/>
        </w:rPr>
        <w:t>é</w:t>
      </w:r>
      <w:r>
        <w:rPr>
          <w:rFonts w:ascii="Times New Roman"/>
          <w:noProof/>
          <w:sz w:val="24"/>
        </w:rPr>
        <w:t>sentant les mesures qu</w:t>
      </w:r>
      <w:r>
        <w:rPr>
          <w:rFonts w:ascii="Times New Roman"/>
          <w:noProof/>
          <w:sz w:val="24"/>
        </w:rPr>
        <w:t>’</w:t>
      </w:r>
      <w:r>
        <w:rPr>
          <w:rFonts w:ascii="Times New Roman"/>
          <w:noProof/>
          <w:sz w:val="24"/>
        </w:rPr>
        <w:t>elles avaient prises en r</w:t>
      </w:r>
      <w:r>
        <w:rPr>
          <w:rFonts w:ascii="Times New Roman"/>
          <w:noProof/>
          <w:sz w:val="24"/>
        </w:rPr>
        <w:t>é</w:t>
      </w:r>
      <w:r>
        <w:rPr>
          <w:rFonts w:ascii="Times New Roman"/>
          <w:noProof/>
          <w:sz w:val="24"/>
        </w:rPr>
        <w:t>p</w:t>
      </w:r>
      <w:r>
        <w:rPr>
          <w:rFonts w:ascii="Times New Roman"/>
          <w:noProof/>
          <w:sz w:val="24"/>
        </w:rPr>
        <w:t xml:space="preserve">onse </w:t>
      </w:r>
      <w:r>
        <w:rPr>
          <w:rFonts w:ascii="Times New Roman"/>
          <w:noProof/>
          <w:sz w:val="24"/>
        </w:rPr>
        <w:t>à</w:t>
      </w:r>
      <w:r>
        <w:rPr>
          <w:rFonts w:ascii="Times New Roman"/>
          <w:noProof/>
          <w:sz w:val="24"/>
        </w:rPr>
        <w:t xml:space="preserve"> la recommandation du Conseil et d</w:t>
      </w:r>
      <w:r>
        <w:rPr>
          <w:rFonts w:ascii="Times New Roman"/>
          <w:noProof/>
          <w:sz w:val="24"/>
        </w:rPr>
        <w:t>é</w:t>
      </w:r>
      <w:r>
        <w:rPr>
          <w:rFonts w:ascii="Times New Roman"/>
          <w:noProof/>
          <w:sz w:val="24"/>
        </w:rPr>
        <w:t>crivant la strat</w:t>
      </w:r>
      <w:r>
        <w:rPr>
          <w:rFonts w:ascii="Times New Roman"/>
          <w:noProof/>
          <w:sz w:val="24"/>
        </w:rPr>
        <w:t>é</w:t>
      </w:r>
      <w:r>
        <w:rPr>
          <w:rFonts w:ascii="Times New Roman"/>
          <w:noProof/>
          <w:sz w:val="24"/>
        </w:rPr>
        <w:t>gie d</w:t>
      </w:r>
      <w:r>
        <w:rPr>
          <w:rFonts w:ascii="Times New Roman"/>
          <w:noProof/>
          <w:sz w:val="24"/>
        </w:rPr>
        <w:t>’</w:t>
      </w:r>
      <w:r>
        <w:rPr>
          <w:rFonts w:ascii="Times New Roman"/>
          <w:noProof/>
          <w:sz w:val="24"/>
        </w:rPr>
        <w:t>assainissement qu</w:t>
      </w:r>
      <w:r>
        <w:rPr>
          <w:rFonts w:ascii="Times New Roman"/>
          <w:noProof/>
          <w:sz w:val="24"/>
        </w:rPr>
        <w:t>’</w:t>
      </w:r>
      <w:r>
        <w:rPr>
          <w:rFonts w:ascii="Times New Roman"/>
          <w:noProof/>
          <w:sz w:val="24"/>
        </w:rPr>
        <w:t>elles envisageaient pour atteindre les objectifs fix</w:t>
      </w:r>
      <w:r>
        <w:rPr>
          <w:rFonts w:ascii="Times New Roman"/>
          <w:noProof/>
          <w:sz w:val="24"/>
        </w:rPr>
        <w:t>é</w:t>
      </w:r>
      <w:r>
        <w:rPr>
          <w:rFonts w:ascii="Times New Roman"/>
          <w:noProof/>
          <w:sz w:val="24"/>
        </w:rPr>
        <w:t>s par celui-ci (ci-apr</w:t>
      </w:r>
      <w:r>
        <w:rPr>
          <w:rFonts w:ascii="Times New Roman"/>
          <w:noProof/>
          <w:sz w:val="24"/>
        </w:rPr>
        <w:t>è</w:t>
      </w:r>
      <w:r>
        <w:rPr>
          <w:rFonts w:ascii="Times New Roman"/>
          <w:noProof/>
          <w:sz w:val="24"/>
        </w:rPr>
        <w:t xml:space="preserve">s le </w:t>
      </w:r>
      <w:r>
        <w:rPr>
          <w:rFonts w:ascii="Times New Roman"/>
          <w:noProof/>
          <w:sz w:val="24"/>
        </w:rPr>
        <w:t>«</w:t>
      </w:r>
      <w:r>
        <w:rPr>
          <w:rFonts w:ascii="Times New Roman"/>
          <w:noProof/>
          <w:sz w:val="24"/>
        </w:rPr>
        <w:t>rapport sur l</w:t>
      </w:r>
      <w:r>
        <w:rPr>
          <w:rFonts w:ascii="Times New Roman"/>
          <w:noProof/>
          <w:sz w:val="24"/>
        </w:rPr>
        <w:t>’</w:t>
      </w:r>
      <w:r>
        <w:rPr>
          <w:rFonts w:ascii="Times New Roman"/>
          <w:noProof/>
          <w:sz w:val="24"/>
        </w:rPr>
        <w:t>action engag</w:t>
      </w:r>
      <w:r>
        <w:rPr>
          <w:rFonts w:ascii="Times New Roman"/>
          <w:noProof/>
          <w:sz w:val="24"/>
        </w:rPr>
        <w:t>é</w:t>
      </w:r>
      <w:r>
        <w:rPr>
          <w:rFonts w:ascii="Times New Roman"/>
          <w:noProof/>
          <w:sz w:val="24"/>
        </w:rPr>
        <w:t>e</w:t>
      </w:r>
      <w:r>
        <w:rPr>
          <w:rFonts w:ascii="Times New Roman"/>
          <w:noProof/>
          <w:sz w:val="24"/>
        </w:rPr>
        <w:t>»</w:t>
      </w:r>
      <w:r>
        <w:rPr>
          <w:rFonts w:ascii="Times New Roman"/>
          <w:noProof/>
          <w:sz w:val="24"/>
        </w:rPr>
        <w:t>). La Commission a examin</w:t>
      </w:r>
      <w:r>
        <w:rPr>
          <w:rFonts w:ascii="Times New Roman"/>
          <w:noProof/>
          <w:sz w:val="24"/>
        </w:rPr>
        <w:t>é</w:t>
      </w:r>
      <w:r>
        <w:rPr>
          <w:rFonts w:ascii="Times New Roman"/>
          <w:noProof/>
          <w:sz w:val="24"/>
        </w:rPr>
        <w:t xml:space="preserve"> la strat</w:t>
      </w:r>
      <w:r>
        <w:rPr>
          <w:rFonts w:ascii="Times New Roman"/>
          <w:noProof/>
          <w:sz w:val="24"/>
        </w:rPr>
        <w:t>é</w:t>
      </w:r>
      <w:r>
        <w:rPr>
          <w:rFonts w:ascii="Times New Roman"/>
          <w:noProof/>
          <w:sz w:val="24"/>
        </w:rPr>
        <w:t>gie budg</w:t>
      </w:r>
      <w:r>
        <w:rPr>
          <w:rFonts w:ascii="Times New Roman"/>
          <w:noProof/>
          <w:sz w:val="24"/>
        </w:rPr>
        <w:t>é</w:t>
      </w:r>
      <w:r>
        <w:rPr>
          <w:rFonts w:ascii="Times New Roman"/>
          <w:noProof/>
          <w:sz w:val="24"/>
        </w:rPr>
        <w:t>taire de la France</w:t>
      </w:r>
      <w:r>
        <w:rPr>
          <w:rFonts w:ascii="Times New Roman"/>
          <w:noProof/>
          <w:sz w:val="24"/>
        </w:rPr>
        <w:t xml:space="preserve"> sur la base des informations figurant dans le rapport sur l</w:t>
      </w:r>
      <w:r>
        <w:rPr>
          <w:rFonts w:ascii="Times New Roman"/>
          <w:noProof/>
          <w:sz w:val="24"/>
        </w:rPr>
        <w:t>’</w:t>
      </w:r>
      <w:r>
        <w:rPr>
          <w:rFonts w:ascii="Times New Roman"/>
          <w:noProof/>
          <w:sz w:val="24"/>
        </w:rPr>
        <w:t>action engag</w:t>
      </w:r>
      <w:r>
        <w:rPr>
          <w:rFonts w:ascii="Times New Roman"/>
          <w:noProof/>
          <w:sz w:val="24"/>
        </w:rPr>
        <w:t>é</w:t>
      </w:r>
      <w:r>
        <w:rPr>
          <w:rFonts w:ascii="Times New Roman"/>
          <w:noProof/>
          <w:sz w:val="24"/>
        </w:rPr>
        <w:t>e, afin d</w:t>
      </w:r>
      <w:r>
        <w:rPr>
          <w:rFonts w:ascii="Times New Roman"/>
          <w:noProof/>
          <w:sz w:val="24"/>
        </w:rPr>
        <w:t>’é</w:t>
      </w:r>
      <w:r>
        <w:rPr>
          <w:rFonts w:ascii="Times New Roman"/>
          <w:noProof/>
          <w:sz w:val="24"/>
        </w:rPr>
        <w:t>valuer si la France s</w:t>
      </w:r>
      <w:r>
        <w:rPr>
          <w:rFonts w:ascii="Times New Roman"/>
          <w:noProof/>
          <w:sz w:val="24"/>
        </w:rPr>
        <w:t>’é</w:t>
      </w:r>
      <w:r>
        <w:rPr>
          <w:rFonts w:ascii="Times New Roman"/>
          <w:noProof/>
          <w:sz w:val="24"/>
        </w:rPr>
        <w:t>tait conform</w:t>
      </w:r>
      <w:r>
        <w:rPr>
          <w:rFonts w:ascii="Times New Roman"/>
          <w:noProof/>
          <w:sz w:val="24"/>
        </w:rPr>
        <w:t>é</w:t>
      </w:r>
      <w:r>
        <w:rPr>
          <w:rFonts w:ascii="Times New Roman"/>
          <w:noProof/>
          <w:sz w:val="24"/>
        </w:rPr>
        <w:t xml:space="preserve">e </w:t>
      </w:r>
      <w:r>
        <w:rPr>
          <w:rFonts w:ascii="Times New Roman"/>
          <w:noProof/>
          <w:sz w:val="24"/>
        </w:rPr>
        <w:t>à</w:t>
      </w:r>
      <w:r>
        <w:rPr>
          <w:rFonts w:ascii="Times New Roman"/>
          <w:noProof/>
          <w:sz w:val="24"/>
        </w:rPr>
        <w:t xml:space="preserve"> la recommandation du Conseil du 10</w:t>
      </w:r>
      <w:r>
        <w:rPr>
          <w:rFonts w:ascii="Times New Roman"/>
          <w:noProof/>
          <w:sz w:val="24"/>
        </w:rPr>
        <w:t> </w:t>
      </w:r>
      <w:r>
        <w:rPr>
          <w:rFonts w:ascii="Times New Roman"/>
          <w:noProof/>
          <w:sz w:val="24"/>
        </w:rPr>
        <w:t xml:space="preserve">mars 2015. </w:t>
      </w:r>
    </w:p>
    <w:p w:rsidR="001C524E" w:rsidRDefault="00896B22">
      <w:pPr>
        <w:pStyle w:val="Heading1"/>
        <w:numPr>
          <w:ilvl w:val="0"/>
          <w:numId w:val="2"/>
        </w:numPr>
        <w:rPr>
          <w:noProof/>
        </w:rPr>
      </w:pPr>
      <w:r>
        <w:rPr>
          <w:noProof/>
        </w:rPr>
        <w:t>Mesures indiquées dans le rapport sur l’action engagée et projections budgétaires ac</w:t>
      </w:r>
      <w:r>
        <w:rPr>
          <w:noProof/>
        </w:rPr>
        <w:t>tualisées</w:t>
      </w:r>
    </w:p>
    <w:p w:rsidR="001C524E" w:rsidRDefault="00896B22">
      <w:pPr>
        <w:tabs>
          <w:tab w:val="left" w:pos="360"/>
        </w:tabs>
        <w:spacing w:before="120" w:after="120" w:line="240" w:lineRule="auto"/>
        <w:jc w:val="both"/>
        <w:rPr>
          <w:rFonts w:ascii="Times New Roman" w:eastAsia="Times New Roman" w:hAnsi="Times New Roman" w:cs="Times New Roman"/>
          <w:noProof/>
          <w:sz w:val="24"/>
          <w:szCs w:val="24"/>
        </w:rPr>
      </w:pPr>
      <w:r>
        <w:rPr>
          <w:rFonts w:ascii="Times New Roman"/>
          <w:noProof/>
          <w:sz w:val="24"/>
        </w:rPr>
        <w:t>Le rapport sur l</w:t>
      </w:r>
      <w:r>
        <w:rPr>
          <w:rFonts w:ascii="Times New Roman"/>
          <w:noProof/>
          <w:sz w:val="24"/>
        </w:rPr>
        <w:t>’</w:t>
      </w:r>
      <w:r>
        <w:rPr>
          <w:rFonts w:ascii="Times New Roman"/>
          <w:noProof/>
          <w:sz w:val="24"/>
        </w:rPr>
        <w:t>action engag</w:t>
      </w:r>
      <w:r>
        <w:rPr>
          <w:rFonts w:ascii="Times New Roman"/>
          <w:noProof/>
          <w:sz w:val="24"/>
        </w:rPr>
        <w:t>é</w:t>
      </w:r>
      <w:r>
        <w:rPr>
          <w:rFonts w:ascii="Times New Roman"/>
          <w:noProof/>
          <w:sz w:val="24"/>
        </w:rPr>
        <w:t>e publi</w:t>
      </w:r>
      <w:r>
        <w:rPr>
          <w:rFonts w:ascii="Times New Roman"/>
          <w:noProof/>
          <w:sz w:val="24"/>
        </w:rPr>
        <w:t>é</w:t>
      </w:r>
      <w:r>
        <w:rPr>
          <w:rFonts w:ascii="Times New Roman"/>
          <w:noProof/>
          <w:sz w:val="24"/>
        </w:rPr>
        <w:t xml:space="preserve"> le 10</w:t>
      </w:r>
      <w:r>
        <w:rPr>
          <w:rFonts w:ascii="Times New Roman"/>
          <w:noProof/>
          <w:sz w:val="24"/>
        </w:rPr>
        <w:t> </w:t>
      </w:r>
      <w:r>
        <w:rPr>
          <w:rFonts w:ascii="Times New Roman"/>
          <w:noProof/>
          <w:sz w:val="24"/>
        </w:rPr>
        <w:t>juin 2015 confirme la strat</w:t>
      </w:r>
      <w:r>
        <w:rPr>
          <w:rFonts w:ascii="Times New Roman"/>
          <w:noProof/>
          <w:sz w:val="24"/>
        </w:rPr>
        <w:t>é</w:t>
      </w:r>
      <w:r>
        <w:rPr>
          <w:rFonts w:ascii="Times New Roman"/>
          <w:noProof/>
          <w:sz w:val="24"/>
        </w:rPr>
        <w:t>gie budg</w:t>
      </w:r>
      <w:r>
        <w:rPr>
          <w:rFonts w:ascii="Times New Roman"/>
          <w:noProof/>
          <w:sz w:val="24"/>
        </w:rPr>
        <w:t>é</w:t>
      </w:r>
      <w:r>
        <w:rPr>
          <w:rFonts w:ascii="Times New Roman"/>
          <w:noProof/>
          <w:sz w:val="24"/>
        </w:rPr>
        <w:t>taire expos</w:t>
      </w:r>
      <w:r>
        <w:rPr>
          <w:rFonts w:ascii="Times New Roman"/>
          <w:noProof/>
          <w:sz w:val="24"/>
        </w:rPr>
        <w:t>é</w:t>
      </w:r>
      <w:r>
        <w:rPr>
          <w:rFonts w:ascii="Times New Roman"/>
          <w:noProof/>
          <w:sz w:val="24"/>
        </w:rPr>
        <w:t>e dans le programme de stabilit</w:t>
      </w:r>
      <w:r>
        <w:rPr>
          <w:rFonts w:ascii="Times New Roman"/>
          <w:noProof/>
          <w:sz w:val="24"/>
        </w:rPr>
        <w:t>é</w:t>
      </w:r>
      <w:r>
        <w:rPr>
          <w:rFonts w:ascii="Times New Roman"/>
          <w:noProof/>
          <w:sz w:val="24"/>
        </w:rPr>
        <w:t xml:space="preserve"> pr</w:t>
      </w:r>
      <w:r>
        <w:rPr>
          <w:rFonts w:ascii="Times New Roman"/>
          <w:noProof/>
          <w:sz w:val="24"/>
        </w:rPr>
        <w:t>é</w:t>
      </w:r>
      <w:r>
        <w:rPr>
          <w:rFonts w:ascii="Times New Roman"/>
          <w:noProof/>
          <w:sz w:val="24"/>
        </w:rPr>
        <w:t>sent</w:t>
      </w:r>
      <w:r>
        <w:rPr>
          <w:rFonts w:ascii="Times New Roman"/>
          <w:noProof/>
          <w:sz w:val="24"/>
        </w:rPr>
        <w:t>é</w:t>
      </w:r>
      <w:r>
        <w:rPr>
          <w:rFonts w:ascii="Times New Roman"/>
          <w:noProof/>
          <w:sz w:val="24"/>
        </w:rPr>
        <w:t xml:space="preserve"> le 30</w:t>
      </w:r>
      <w:r>
        <w:rPr>
          <w:rFonts w:ascii="Times New Roman"/>
          <w:noProof/>
          <w:sz w:val="24"/>
        </w:rPr>
        <w:t> </w:t>
      </w:r>
      <w:r>
        <w:rPr>
          <w:rFonts w:ascii="Times New Roman"/>
          <w:noProof/>
          <w:sz w:val="24"/>
        </w:rPr>
        <w:t>avril 2015 par la France, qui entend corriger son d</w:t>
      </w:r>
      <w:r>
        <w:rPr>
          <w:rFonts w:ascii="Times New Roman"/>
          <w:noProof/>
          <w:sz w:val="24"/>
        </w:rPr>
        <w:t>é</w:t>
      </w:r>
      <w:r>
        <w:rPr>
          <w:rFonts w:ascii="Times New Roman"/>
          <w:noProof/>
          <w:sz w:val="24"/>
        </w:rPr>
        <w:t>ficit excessif en 2017 au plus tard, conform</w:t>
      </w:r>
      <w:r>
        <w:rPr>
          <w:rFonts w:ascii="Times New Roman"/>
          <w:noProof/>
          <w:sz w:val="24"/>
        </w:rPr>
        <w:t>é</w:t>
      </w:r>
      <w:r>
        <w:rPr>
          <w:rFonts w:ascii="Times New Roman"/>
          <w:noProof/>
          <w:sz w:val="24"/>
        </w:rPr>
        <w:t>ment au</w:t>
      </w:r>
      <w:r>
        <w:rPr>
          <w:rFonts w:ascii="Times New Roman"/>
          <w:noProof/>
          <w:sz w:val="24"/>
        </w:rPr>
        <w:t xml:space="preserve"> d</w:t>
      </w:r>
      <w:r>
        <w:rPr>
          <w:rFonts w:ascii="Times New Roman"/>
          <w:noProof/>
          <w:sz w:val="24"/>
        </w:rPr>
        <w:t>é</w:t>
      </w:r>
      <w:r>
        <w:rPr>
          <w:rFonts w:ascii="Times New Roman"/>
          <w:noProof/>
          <w:sz w:val="24"/>
        </w:rPr>
        <w:t>lai fix</w:t>
      </w:r>
      <w:r>
        <w:rPr>
          <w:rFonts w:ascii="Times New Roman"/>
          <w:noProof/>
          <w:sz w:val="24"/>
        </w:rPr>
        <w:t>é</w:t>
      </w:r>
      <w:r>
        <w:rPr>
          <w:rFonts w:ascii="Times New Roman"/>
          <w:noProof/>
          <w:sz w:val="24"/>
        </w:rPr>
        <w:t xml:space="preserve"> par le Conseil. Le rapport ne mentionne aucune mesure nouvelle, mais pr</w:t>
      </w:r>
      <w:r>
        <w:rPr>
          <w:rFonts w:ascii="Times New Roman"/>
          <w:noProof/>
          <w:sz w:val="24"/>
        </w:rPr>
        <w:t>é</w:t>
      </w:r>
      <w:r>
        <w:rPr>
          <w:rFonts w:ascii="Times New Roman"/>
          <w:noProof/>
          <w:sz w:val="24"/>
        </w:rPr>
        <w:t>cise la nature et les modalit</w:t>
      </w:r>
      <w:r>
        <w:rPr>
          <w:rFonts w:ascii="Times New Roman"/>
          <w:noProof/>
          <w:sz w:val="24"/>
        </w:rPr>
        <w:t>é</w:t>
      </w:r>
      <w:r>
        <w:rPr>
          <w:rFonts w:ascii="Times New Roman"/>
          <w:noProof/>
          <w:sz w:val="24"/>
        </w:rPr>
        <w:t xml:space="preserve">s de mise en </w:t>
      </w:r>
      <w:r>
        <w:rPr>
          <w:rFonts w:ascii="Times New Roman"/>
          <w:noProof/>
          <w:sz w:val="24"/>
        </w:rPr>
        <w:t>œ</w:t>
      </w:r>
      <w:r>
        <w:rPr>
          <w:rFonts w:ascii="Times New Roman"/>
          <w:noProof/>
          <w:sz w:val="24"/>
        </w:rPr>
        <w:t>uvre des mesures suppl</w:t>
      </w:r>
      <w:r>
        <w:rPr>
          <w:rFonts w:ascii="Times New Roman"/>
          <w:noProof/>
          <w:sz w:val="24"/>
        </w:rPr>
        <w:t>é</w:t>
      </w:r>
      <w:r>
        <w:rPr>
          <w:rFonts w:ascii="Times New Roman"/>
          <w:noProof/>
          <w:sz w:val="24"/>
        </w:rPr>
        <w:t>mentaires (repr</w:t>
      </w:r>
      <w:r>
        <w:rPr>
          <w:rFonts w:ascii="Times New Roman"/>
          <w:noProof/>
          <w:sz w:val="24"/>
        </w:rPr>
        <w:t>é</w:t>
      </w:r>
      <w:r>
        <w:rPr>
          <w:rFonts w:ascii="Times New Roman"/>
          <w:noProof/>
          <w:sz w:val="24"/>
        </w:rPr>
        <w:t>sentant 4</w:t>
      </w:r>
      <w:r>
        <w:rPr>
          <w:rFonts w:ascii="Times New Roman"/>
          <w:noProof/>
          <w:sz w:val="24"/>
        </w:rPr>
        <w:t> </w:t>
      </w:r>
      <w:r>
        <w:rPr>
          <w:rFonts w:ascii="Times New Roman"/>
          <w:noProof/>
          <w:sz w:val="24"/>
        </w:rPr>
        <w:t>milliards d</w:t>
      </w:r>
      <w:r>
        <w:rPr>
          <w:rFonts w:ascii="Times New Roman"/>
          <w:noProof/>
          <w:sz w:val="24"/>
        </w:rPr>
        <w:t>’</w:t>
      </w:r>
      <w:r>
        <w:rPr>
          <w:rFonts w:ascii="Times New Roman"/>
          <w:noProof/>
          <w:sz w:val="24"/>
        </w:rPr>
        <w:t>EUR pour 2015 et 5</w:t>
      </w:r>
      <w:r>
        <w:rPr>
          <w:rFonts w:ascii="Times New Roman"/>
          <w:noProof/>
          <w:sz w:val="24"/>
        </w:rPr>
        <w:t> </w:t>
      </w:r>
      <w:r>
        <w:rPr>
          <w:rFonts w:ascii="Times New Roman"/>
          <w:noProof/>
          <w:sz w:val="24"/>
        </w:rPr>
        <w:t>milliards d</w:t>
      </w:r>
      <w:r>
        <w:rPr>
          <w:rFonts w:ascii="Times New Roman"/>
          <w:noProof/>
          <w:sz w:val="24"/>
        </w:rPr>
        <w:t>’</w:t>
      </w:r>
      <w:r>
        <w:rPr>
          <w:rFonts w:ascii="Times New Roman"/>
          <w:noProof/>
          <w:sz w:val="24"/>
        </w:rPr>
        <w:t>EUR pour 2016) annonc</w:t>
      </w:r>
      <w:r>
        <w:rPr>
          <w:rFonts w:ascii="Times New Roman"/>
          <w:noProof/>
          <w:sz w:val="24"/>
        </w:rPr>
        <w:t>é</w:t>
      </w:r>
      <w:r>
        <w:rPr>
          <w:rFonts w:ascii="Times New Roman"/>
          <w:noProof/>
          <w:sz w:val="24"/>
        </w:rPr>
        <w:t>es dans le pro</w:t>
      </w:r>
      <w:r>
        <w:rPr>
          <w:rFonts w:ascii="Times New Roman"/>
          <w:noProof/>
          <w:sz w:val="24"/>
        </w:rPr>
        <w:t>gramme de stabilit</w:t>
      </w:r>
      <w:r>
        <w:rPr>
          <w:rFonts w:ascii="Times New Roman"/>
          <w:noProof/>
          <w:sz w:val="24"/>
        </w:rPr>
        <w:t>é</w:t>
      </w:r>
      <w:r>
        <w:rPr>
          <w:rFonts w:ascii="Times New Roman"/>
          <w:noProof/>
          <w:sz w:val="24"/>
        </w:rPr>
        <w:t xml:space="preserve"> en r</w:t>
      </w:r>
      <w:r>
        <w:rPr>
          <w:rFonts w:ascii="Times New Roman"/>
          <w:noProof/>
          <w:sz w:val="24"/>
        </w:rPr>
        <w:t>é</w:t>
      </w:r>
      <w:r>
        <w:rPr>
          <w:rFonts w:ascii="Times New Roman"/>
          <w:noProof/>
          <w:sz w:val="24"/>
        </w:rPr>
        <w:t xml:space="preserve">ponse </w:t>
      </w:r>
      <w:r>
        <w:rPr>
          <w:rFonts w:ascii="Times New Roman"/>
          <w:noProof/>
          <w:sz w:val="24"/>
        </w:rPr>
        <w:t>à</w:t>
      </w:r>
      <w:r>
        <w:rPr>
          <w:rFonts w:ascii="Times New Roman"/>
          <w:noProof/>
          <w:sz w:val="24"/>
        </w:rPr>
        <w:t xml:space="preserve"> la recommandation du Conseil du 10</w:t>
      </w:r>
      <w:r>
        <w:rPr>
          <w:rFonts w:ascii="Times New Roman"/>
          <w:noProof/>
          <w:sz w:val="24"/>
        </w:rPr>
        <w:t> </w:t>
      </w:r>
      <w:r>
        <w:rPr>
          <w:rFonts w:ascii="Times New Roman"/>
          <w:noProof/>
          <w:sz w:val="24"/>
        </w:rPr>
        <w:t xml:space="preserve">mars 2015. </w:t>
      </w:r>
    </w:p>
    <w:p w:rsidR="001C524E" w:rsidRDefault="00896B22">
      <w:pPr>
        <w:tabs>
          <w:tab w:val="left" w:pos="360"/>
        </w:tabs>
        <w:spacing w:before="120" w:after="120" w:line="240" w:lineRule="auto"/>
        <w:jc w:val="both"/>
        <w:rPr>
          <w:rFonts w:ascii="Times New Roman" w:eastAsia="Times New Roman" w:hAnsi="Times New Roman" w:cs="Times New Roman"/>
          <w:noProof/>
          <w:sz w:val="24"/>
          <w:szCs w:val="24"/>
        </w:rPr>
      </w:pPr>
      <w:r>
        <w:rPr>
          <w:rFonts w:ascii="Times New Roman"/>
          <w:noProof/>
          <w:sz w:val="24"/>
        </w:rPr>
        <w:t>En ce qui concerne 2015, le rapport confirme le train de mesures de 4 milliards d</w:t>
      </w:r>
      <w:r>
        <w:rPr>
          <w:rFonts w:ascii="Times New Roman"/>
          <w:noProof/>
          <w:sz w:val="24"/>
        </w:rPr>
        <w:t>’</w:t>
      </w:r>
      <w:r>
        <w:rPr>
          <w:rFonts w:ascii="Times New Roman"/>
          <w:noProof/>
          <w:sz w:val="24"/>
        </w:rPr>
        <w:t>EUR (0,2</w:t>
      </w:r>
      <w:r>
        <w:rPr>
          <w:rFonts w:ascii="Times New Roman"/>
          <w:noProof/>
          <w:sz w:val="24"/>
        </w:rPr>
        <w:t> </w:t>
      </w:r>
      <w:r>
        <w:rPr>
          <w:rFonts w:ascii="Times New Roman"/>
          <w:noProof/>
          <w:sz w:val="24"/>
        </w:rPr>
        <w:t>% du PIB) annonc</w:t>
      </w:r>
      <w:r>
        <w:rPr>
          <w:rFonts w:ascii="Times New Roman"/>
          <w:noProof/>
          <w:sz w:val="24"/>
        </w:rPr>
        <w:t>é</w:t>
      </w:r>
      <w:r>
        <w:rPr>
          <w:rFonts w:ascii="Times New Roman"/>
          <w:noProof/>
          <w:sz w:val="24"/>
        </w:rPr>
        <w:t xml:space="preserve"> dans le programme de stabilit</w:t>
      </w:r>
      <w:r>
        <w:rPr>
          <w:rFonts w:ascii="Times New Roman"/>
          <w:noProof/>
          <w:sz w:val="24"/>
        </w:rPr>
        <w:t>é</w:t>
      </w:r>
      <w:r>
        <w:rPr>
          <w:rFonts w:ascii="Times New Roman"/>
          <w:noProof/>
          <w:sz w:val="24"/>
        </w:rPr>
        <w:t xml:space="preserve"> et d</w:t>
      </w:r>
      <w:r>
        <w:rPr>
          <w:rFonts w:ascii="Times New Roman"/>
          <w:noProof/>
          <w:sz w:val="24"/>
        </w:rPr>
        <w:t>é</w:t>
      </w:r>
      <w:r>
        <w:rPr>
          <w:rFonts w:ascii="Times New Roman"/>
          <w:noProof/>
          <w:sz w:val="24"/>
        </w:rPr>
        <w:t>j</w:t>
      </w:r>
      <w:r>
        <w:rPr>
          <w:rFonts w:ascii="Times New Roman"/>
          <w:noProof/>
          <w:sz w:val="24"/>
        </w:rPr>
        <w:t>à</w:t>
      </w:r>
      <w:r>
        <w:rPr>
          <w:rFonts w:ascii="Times New Roman"/>
          <w:noProof/>
          <w:sz w:val="24"/>
        </w:rPr>
        <w:t xml:space="preserve"> int</w:t>
      </w:r>
      <w:r>
        <w:rPr>
          <w:rFonts w:ascii="Times New Roman"/>
          <w:noProof/>
          <w:sz w:val="24"/>
        </w:rPr>
        <w:t>é</w:t>
      </w:r>
      <w:r>
        <w:rPr>
          <w:rFonts w:ascii="Times New Roman"/>
          <w:noProof/>
          <w:sz w:val="24"/>
        </w:rPr>
        <w:t>gralement pris en compte</w:t>
      </w:r>
      <w:r>
        <w:rPr>
          <w:rFonts w:ascii="Times New Roman"/>
          <w:noProof/>
          <w:sz w:val="24"/>
        </w:rPr>
        <w:t xml:space="preserve"> dans les pr</w:t>
      </w:r>
      <w:r>
        <w:rPr>
          <w:rFonts w:ascii="Times New Roman"/>
          <w:noProof/>
          <w:sz w:val="24"/>
        </w:rPr>
        <w:t>é</w:t>
      </w:r>
      <w:r>
        <w:rPr>
          <w:rFonts w:ascii="Times New Roman"/>
          <w:noProof/>
          <w:sz w:val="24"/>
        </w:rPr>
        <w:t>visions du printemps 2015 de la Commission. Ce train de mesures consiste en une nouvelle r</w:t>
      </w:r>
      <w:r>
        <w:rPr>
          <w:rFonts w:ascii="Times New Roman"/>
          <w:noProof/>
          <w:sz w:val="24"/>
        </w:rPr>
        <w:t>é</w:t>
      </w:r>
      <w:r>
        <w:rPr>
          <w:rFonts w:ascii="Times New Roman"/>
          <w:noProof/>
          <w:sz w:val="24"/>
        </w:rPr>
        <w:t>duction des d</w:t>
      </w:r>
      <w:r>
        <w:rPr>
          <w:rFonts w:ascii="Times New Roman"/>
          <w:noProof/>
          <w:sz w:val="24"/>
        </w:rPr>
        <w:t>é</w:t>
      </w:r>
      <w:r>
        <w:rPr>
          <w:rFonts w:ascii="Times New Roman"/>
          <w:noProof/>
          <w:sz w:val="24"/>
        </w:rPr>
        <w:t>penses de l</w:t>
      </w:r>
      <w:r>
        <w:rPr>
          <w:rFonts w:ascii="Times New Roman"/>
          <w:noProof/>
          <w:sz w:val="24"/>
        </w:rPr>
        <w:t>’É</w:t>
      </w:r>
      <w:r>
        <w:rPr>
          <w:rFonts w:ascii="Times New Roman"/>
          <w:noProof/>
          <w:sz w:val="24"/>
        </w:rPr>
        <w:t>tat (1,2</w:t>
      </w:r>
      <w:r>
        <w:rPr>
          <w:rFonts w:ascii="Times New Roman"/>
          <w:noProof/>
          <w:sz w:val="24"/>
        </w:rPr>
        <w:t> </w:t>
      </w:r>
      <w:r>
        <w:rPr>
          <w:rFonts w:ascii="Times New Roman"/>
          <w:noProof/>
          <w:sz w:val="24"/>
        </w:rPr>
        <w:t>milliard d</w:t>
      </w:r>
      <w:r>
        <w:rPr>
          <w:rFonts w:ascii="Times New Roman"/>
          <w:noProof/>
          <w:sz w:val="24"/>
        </w:rPr>
        <w:t>’</w:t>
      </w:r>
      <w:r>
        <w:rPr>
          <w:rFonts w:ascii="Times New Roman"/>
          <w:noProof/>
          <w:sz w:val="24"/>
        </w:rPr>
        <w:t>EUR), une diminution de la charge d</w:t>
      </w:r>
      <w:r>
        <w:rPr>
          <w:rFonts w:ascii="Times New Roman"/>
          <w:noProof/>
          <w:sz w:val="24"/>
        </w:rPr>
        <w:t>’</w:t>
      </w:r>
      <w:r>
        <w:rPr>
          <w:rFonts w:ascii="Times New Roman"/>
          <w:noProof/>
          <w:sz w:val="24"/>
        </w:rPr>
        <w:t>int</w:t>
      </w:r>
      <w:r>
        <w:rPr>
          <w:rFonts w:ascii="Times New Roman"/>
          <w:noProof/>
          <w:sz w:val="24"/>
        </w:rPr>
        <w:t>é</w:t>
      </w:r>
      <w:r>
        <w:rPr>
          <w:rFonts w:ascii="Times New Roman"/>
          <w:noProof/>
          <w:sz w:val="24"/>
        </w:rPr>
        <w:t>r</w:t>
      </w:r>
      <w:r>
        <w:rPr>
          <w:rFonts w:ascii="Times New Roman"/>
          <w:noProof/>
          <w:sz w:val="24"/>
        </w:rPr>
        <w:t>ê</w:t>
      </w:r>
      <w:r>
        <w:rPr>
          <w:rFonts w:ascii="Times New Roman"/>
          <w:noProof/>
          <w:sz w:val="24"/>
        </w:rPr>
        <w:t>ts (1,2 milliard d</w:t>
      </w:r>
      <w:r>
        <w:rPr>
          <w:rFonts w:ascii="Times New Roman"/>
          <w:noProof/>
          <w:sz w:val="24"/>
        </w:rPr>
        <w:t>’</w:t>
      </w:r>
      <w:r>
        <w:rPr>
          <w:rFonts w:ascii="Times New Roman"/>
          <w:noProof/>
          <w:sz w:val="24"/>
        </w:rPr>
        <w:t xml:space="preserve">EUR), une diminution des transferts sociaux </w:t>
      </w:r>
      <w:r>
        <w:rPr>
          <w:rFonts w:ascii="Times New Roman"/>
          <w:noProof/>
          <w:sz w:val="24"/>
        </w:rPr>
        <w:t>(1</w:t>
      </w:r>
      <w:r>
        <w:rPr>
          <w:rFonts w:ascii="Times New Roman"/>
          <w:noProof/>
          <w:sz w:val="24"/>
        </w:rPr>
        <w:t> </w:t>
      </w:r>
      <w:r>
        <w:rPr>
          <w:rFonts w:ascii="Times New Roman"/>
          <w:noProof/>
          <w:sz w:val="24"/>
        </w:rPr>
        <w:t>milliard d</w:t>
      </w:r>
      <w:r>
        <w:rPr>
          <w:rFonts w:ascii="Times New Roman"/>
          <w:noProof/>
          <w:sz w:val="24"/>
        </w:rPr>
        <w:t>’</w:t>
      </w:r>
      <w:r>
        <w:rPr>
          <w:rFonts w:ascii="Times New Roman"/>
          <w:noProof/>
          <w:sz w:val="24"/>
        </w:rPr>
        <w:t xml:space="preserve">EUR) et </w:t>
      </w:r>
      <w:r>
        <w:rPr>
          <w:rFonts w:ascii="Times New Roman"/>
          <w:noProof/>
          <w:sz w:val="24"/>
        </w:rPr>
        <w:lastRenderedPageBreak/>
        <w:t>des recettes suppl</w:t>
      </w:r>
      <w:r>
        <w:rPr>
          <w:rFonts w:ascii="Times New Roman"/>
          <w:noProof/>
          <w:sz w:val="24"/>
        </w:rPr>
        <w:t>é</w:t>
      </w:r>
      <w:r>
        <w:rPr>
          <w:rFonts w:ascii="Times New Roman"/>
          <w:noProof/>
          <w:sz w:val="24"/>
        </w:rPr>
        <w:t>mentaires (0,6</w:t>
      </w:r>
      <w:r>
        <w:rPr>
          <w:rFonts w:ascii="Times New Roman"/>
          <w:noProof/>
          <w:sz w:val="24"/>
        </w:rPr>
        <w:t> </w:t>
      </w:r>
      <w:r>
        <w:rPr>
          <w:rFonts w:ascii="Times New Roman"/>
          <w:noProof/>
          <w:sz w:val="24"/>
        </w:rPr>
        <w:t>milliard d</w:t>
      </w:r>
      <w:r>
        <w:rPr>
          <w:rFonts w:ascii="Times New Roman"/>
          <w:noProof/>
          <w:sz w:val="24"/>
        </w:rPr>
        <w:t>’</w:t>
      </w:r>
      <w:r>
        <w:rPr>
          <w:rFonts w:ascii="Times New Roman"/>
          <w:noProof/>
          <w:sz w:val="24"/>
        </w:rPr>
        <w:t>EUR). Comme l</w:t>
      </w:r>
      <w:r>
        <w:rPr>
          <w:rFonts w:ascii="Times New Roman"/>
          <w:noProof/>
          <w:sz w:val="24"/>
        </w:rPr>
        <w:t>’</w:t>
      </w:r>
      <w:r>
        <w:rPr>
          <w:rFonts w:ascii="Times New Roman"/>
          <w:noProof/>
          <w:sz w:val="24"/>
        </w:rPr>
        <w:t xml:space="preserve">indiquaient les services de la Commission dans leur </w:t>
      </w:r>
      <w:r>
        <w:rPr>
          <w:rFonts w:ascii="Times New Roman"/>
          <w:noProof/>
          <w:sz w:val="24"/>
        </w:rPr>
        <w:t>é</w:t>
      </w:r>
      <w:r>
        <w:rPr>
          <w:rFonts w:ascii="Times New Roman"/>
          <w:noProof/>
          <w:sz w:val="24"/>
        </w:rPr>
        <w:t>valuation du programme de stabilit</w:t>
      </w:r>
      <w:r>
        <w:rPr>
          <w:rFonts w:ascii="Times New Roman"/>
          <w:noProof/>
          <w:sz w:val="24"/>
        </w:rPr>
        <w:t>é</w:t>
      </w:r>
      <w:r>
        <w:rPr>
          <w:rFonts w:ascii="Times New Roman" w:hAnsi="Times New Roman"/>
          <w:noProof/>
          <w:sz w:val="24"/>
          <w:vertAlign w:val="superscript"/>
        </w:rPr>
        <w:footnoteReference w:id="2"/>
      </w:r>
      <w:r>
        <w:rPr>
          <w:rFonts w:ascii="Times New Roman"/>
          <w:noProof/>
          <w:sz w:val="24"/>
        </w:rPr>
        <w:t>, certaines de ces mesures, repr</w:t>
      </w:r>
      <w:r>
        <w:rPr>
          <w:rFonts w:ascii="Times New Roman"/>
          <w:noProof/>
          <w:sz w:val="24"/>
        </w:rPr>
        <w:t>é</w:t>
      </w:r>
      <w:r>
        <w:rPr>
          <w:rFonts w:ascii="Times New Roman"/>
          <w:noProof/>
          <w:sz w:val="24"/>
        </w:rPr>
        <w:t>sentant 1,2</w:t>
      </w:r>
      <w:r>
        <w:rPr>
          <w:rFonts w:ascii="Times New Roman"/>
          <w:noProof/>
          <w:sz w:val="24"/>
        </w:rPr>
        <w:t> </w:t>
      </w:r>
      <w:r>
        <w:rPr>
          <w:rFonts w:ascii="Times New Roman"/>
          <w:noProof/>
          <w:sz w:val="24"/>
        </w:rPr>
        <w:t>milliard d</w:t>
      </w:r>
      <w:r>
        <w:rPr>
          <w:rFonts w:ascii="Times New Roman"/>
          <w:noProof/>
          <w:sz w:val="24"/>
        </w:rPr>
        <w:t>’</w:t>
      </w:r>
      <w:r>
        <w:rPr>
          <w:rFonts w:ascii="Times New Roman"/>
          <w:noProof/>
          <w:sz w:val="24"/>
        </w:rPr>
        <w:t xml:space="preserve">EUR, ont </w:t>
      </w:r>
      <w:r>
        <w:rPr>
          <w:rFonts w:ascii="Times New Roman"/>
          <w:noProof/>
          <w:sz w:val="24"/>
        </w:rPr>
        <w:t>é</w:t>
      </w:r>
      <w:r>
        <w:rPr>
          <w:rFonts w:ascii="Times New Roman"/>
          <w:noProof/>
          <w:sz w:val="24"/>
        </w:rPr>
        <w:t>t</w:t>
      </w:r>
      <w:r>
        <w:rPr>
          <w:rFonts w:ascii="Times New Roman"/>
          <w:noProof/>
          <w:sz w:val="24"/>
        </w:rPr>
        <w:t>é</w:t>
      </w:r>
      <w:r>
        <w:rPr>
          <w:rFonts w:ascii="Times New Roman"/>
          <w:noProof/>
          <w:sz w:val="24"/>
        </w:rPr>
        <w:t xml:space="preserve"> prises pour conve</w:t>
      </w:r>
      <w:r>
        <w:rPr>
          <w:rFonts w:ascii="Times New Roman"/>
          <w:noProof/>
          <w:sz w:val="24"/>
        </w:rPr>
        <w:t xml:space="preserve">rtir en </w:t>
      </w:r>
      <w:r>
        <w:rPr>
          <w:rFonts w:ascii="Times New Roman"/>
          <w:noProof/>
          <w:sz w:val="24"/>
        </w:rPr>
        <w:t>é</w:t>
      </w:r>
      <w:r>
        <w:rPr>
          <w:rFonts w:ascii="Times New Roman"/>
          <w:noProof/>
          <w:sz w:val="24"/>
        </w:rPr>
        <w:t>conomies permanentes le niveau plus faible que pr</w:t>
      </w:r>
      <w:r>
        <w:rPr>
          <w:rFonts w:ascii="Times New Roman"/>
          <w:noProof/>
          <w:sz w:val="24"/>
        </w:rPr>
        <w:t>é</w:t>
      </w:r>
      <w:r>
        <w:rPr>
          <w:rFonts w:ascii="Times New Roman"/>
          <w:noProof/>
          <w:sz w:val="24"/>
        </w:rPr>
        <w:t>vu des d</w:t>
      </w:r>
      <w:r>
        <w:rPr>
          <w:rFonts w:ascii="Times New Roman"/>
          <w:noProof/>
          <w:sz w:val="24"/>
        </w:rPr>
        <w:t>é</w:t>
      </w:r>
      <w:r>
        <w:rPr>
          <w:rFonts w:ascii="Times New Roman"/>
          <w:noProof/>
          <w:sz w:val="24"/>
        </w:rPr>
        <w:t>penses enregistr</w:t>
      </w:r>
      <w:r>
        <w:rPr>
          <w:rFonts w:ascii="Times New Roman"/>
          <w:noProof/>
          <w:sz w:val="24"/>
        </w:rPr>
        <w:t>é</w:t>
      </w:r>
      <w:r>
        <w:rPr>
          <w:rFonts w:ascii="Times New Roman"/>
          <w:noProof/>
          <w:sz w:val="24"/>
        </w:rPr>
        <w:t xml:space="preserve"> en 2014. Si elles entra</w:t>
      </w:r>
      <w:r>
        <w:rPr>
          <w:rFonts w:ascii="Times New Roman"/>
          <w:noProof/>
          <w:sz w:val="24"/>
        </w:rPr>
        <w:t>î</w:t>
      </w:r>
      <w:r>
        <w:rPr>
          <w:rFonts w:ascii="Times New Roman"/>
          <w:noProof/>
          <w:sz w:val="24"/>
        </w:rPr>
        <w:t>nent une r</w:t>
      </w:r>
      <w:r>
        <w:rPr>
          <w:rFonts w:ascii="Times New Roman"/>
          <w:noProof/>
          <w:sz w:val="24"/>
        </w:rPr>
        <w:t>é</w:t>
      </w:r>
      <w:r>
        <w:rPr>
          <w:rFonts w:ascii="Times New Roman"/>
          <w:noProof/>
          <w:sz w:val="24"/>
        </w:rPr>
        <w:t>duction du niveau des d</w:t>
      </w:r>
      <w:r>
        <w:rPr>
          <w:rFonts w:ascii="Times New Roman"/>
          <w:noProof/>
          <w:sz w:val="24"/>
        </w:rPr>
        <w:t>é</w:t>
      </w:r>
      <w:r>
        <w:rPr>
          <w:rFonts w:ascii="Times New Roman"/>
          <w:noProof/>
          <w:sz w:val="24"/>
        </w:rPr>
        <w:t>penses pr</w:t>
      </w:r>
      <w:r>
        <w:rPr>
          <w:rFonts w:ascii="Times New Roman"/>
          <w:noProof/>
          <w:sz w:val="24"/>
        </w:rPr>
        <w:t>é</w:t>
      </w:r>
      <w:r>
        <w:rPr>
          <w:rFonts w:ascii="Times New Roman"/>
          <w:noProof/>
          <w:sz w:val="24"/>
        </w:rPr>
        <w:t>vu par les autorit</w:t>
      </w:r>
      <w:r>
        <w:rPr>
          <w:rFonts w:ascii="Times New Roman"/>
          <w:noProof/>
          <w:sz w:val="24"/>
        </w:rPr>
        <w:t>é</w:t>
      </w:r>
      <w:r>
        <w:rPr>
          <w:rFonts w:ascii="Times New Roman"/>
          <w:noProof/>
          <w:sz w:val="24"/>
        </w:rPr>
        <w:t>s, ces mesures ne modifient toutefois pas le rythme de croissance des d</w:t>
      </w:r>
      <w:r>
        <w:rPr>
          <w:rFonts w:ascii="Times New Roman"/>
          <w:noProof/>
          <w:sz w:val="24"/>
        </w:rPr>
        <w:t>é</w:t>
      </w:r>
      <w:r>
        <w:rPr>
          <w:rFonts w:ascii="Times New Roman"/>
          <w:noProof/>
          <w:sz w:val="24"/>
        </w:rPr>
        <w:t>penses pub</w:t>
      </w:r>
      <w:r>
        <w:rPr>
          <w:rFonts w:ascii="Times New Roman"/>
          <w:noProof/>
          <w:sz w:val="24"/>
        </w:rPr>
        <w:t>liques et n</w:t>
      </w:r>
      <w:r>
        <w:rPr>
          <w:rFonts w:ascii="Times New Roman"/>
          <w:noProof/>
          <w:sz w:val="24"/>
        </w:rPr>
        <w:t>’</w:t>
      </w:r>
      <w:r>
        <w:rPr>
          <w:rFonts w:ascii="Times New Roman"/>
          <w:noProof/>
          <w:sz w:val="24"/>
        </w:rPr>
        <w:t>ont donc aucun impact sur l</w:t>
      </w:r>
      <w:r>
        <w:rPr>
          <w:rFonts w:ascii="Times New Roman"/>
          <w:noProof/>
          <w:sz w:val="24"/>
        </w:rPr>
        <w:t>’</w:t>
      </w:r>
      <w:r>
        <w:rPr>
          <w:rFonts w:ascii="Times New Roman"/>
          <w:noProof/>
          <w:sz w:val="24"/>
        </w:rPr>
        <w:t>effort budg</w:t>
      </w:r>
      <w:r>
        <w:rPr>
          <w:rFonts w:ascii="Times New Roman"/>
          <w:noProof/>
          <w:sz w:val="24"/>
        </w:rPr>
        <w:t>é</w:t>
      </w:r>
      <w:r>
        <w:rPr>
          <w:rFonts w:ascii="Times New Roman"/>
          <w:noProof/>
          <w:sz w:val="24"/>
        </w:rPr>
        <w:t>taire consenti</w:t>
      </w:r>
      <w:r>
        <w:rPr>
          <w:rStyle w:val="FootnoteReference"/>
          <w:rFonts w:ascii="Times New Roman"/>
          <w:noProof/>
          <w:sz w:val="24"/>
        </w:rPr>
        <w:footnoteReference w:id="3"/>
      </w:r>
      <w:r>
        <w:rPr>
          <w:rFonts w:ascii="Times New Roman"/>
          <w:noProof/>
          <w:sz w:val="24"/>
        </w:rPr>
        <w:t xml:space="preserve">. </w:t>
      </w:r>
    </w:p>
    <w:p w:rsidR="001C524E" w:rsidRDefault="00896B22">
      <w:pPr>
        <w:tabs>
          <w:tab w:val="left" w:pos="360"/>
        </w:tabs>
        <w:spacing w:before="120" w:after="120" w:line="240" w:lineRule="auto"/>
        <w:jc w:val="both"/>
        <w:rPr>
          <w:rFonts w:ascii="Times New Roman"/>
          <w:noProof/>
          <w:sz w:val="24"/>
          <w:szCs w:val="24"/>
        </w:rPr>
      </w:pPr>
      <w:r>
        <w:rPr>
          <w:rFonts w:ascii="Times New Roman"/>
          <w:noProof/>
          <w:sz w:val="24"/>
        </w:rPr>
        <w:t>Pour 2016, le rapport sur l</w:t>
      </w:r>
      <w:r>
        <w:rPr>
          <w:rFonts w:ascii="Times New Roman"/>
          <w:noProof/>
          <w:sz w:val="24"/>
        </w:rPr>
        <w:t>’</w:t>
      </w:r>
      <w:r>
        <w:rPr>
          <w:rFonts w:ascii="Times New Roman"/>
          <w:noProof/>
          <w:sz w:val="24"/>
        </w:rPr>
        <w:t>action engag</w:t>
      </w:r>
      <w:r>
        <w:rPr>
          <w:rFonts w:ascii="Times New Roman"/>
          <w:noProof/>
          <w:sz w:val="24"/>
        </w:rPr>
        <w:t>é</w:t>
      </w:r>
      <w:r>
        <w:rPr>
          <w:rFonts w:ascii="Times New Roman"/>
          <w:noProof/>
          <w:sz w:val="24"/>
        </w:rPr>
        <w:t>e fournit des informations compl</w:t>
      </w:r>
      <w:r>
        <w:rPr>
          <w:rFonts w:ascii="Times New Roman"/>
          <w:noProof/>
          <w:sz w:val="24"/>
        </w:rPr>
        <w:t>é</w:t>
      </w:r>
      <w:r>
        <w:rPr>
          <w:rFonts w:ascii="Times New Roman"/>
          <w:noProof/>
          <w:sz w:val="24"/>
        </w:rPr>
        <w:t>mentaires sur les mesures d</w:t>
      </w:r>
      <w:r>
        <w:rPr>
          <w:rFonts w:ascii="Times New Roman"/>
          <w:noProof/>
          <w:sz w:val="24"/>
        </w:rPr>
        <w:t>’é</w:t>
      </w:r>
      <w:r>
        <w:rPr>
          <w:rFonts w:ascii="Times New Roman"/>
          <w:noProof/>
          <w:sz w:val="24"/>
        </w:rPr>
        <w:t>conomies de 5</w:t>
      </w:r>
      <w:r>
        <w:rPr>
          <w:rFonts w:ascii="Times New Roman"/>
          <w:noProof/>
          <w:sz w:val="24"/>
        </w:rPr>
        <w:t> </w:t>
      </w:r>
      <w:r>
        <w:rPr>
          <w:rFonts w:ascii="Times New Roman"/>
          <w:noProof/>
          <w:sz w:val="24"/>
        </w:rPr>
        <w:t>milliards d</w:t>
      </w:r>
      <w:r>
        <w:rPr>
          <w:rFonts w:ascii="Times New Roman"/>
          <w:noProof/>
          <w:sz w:val="24"/>
        </w:rPr>
        <w:t>’</w:t>
      </w:r>
      <w:r>
        <w:rPr>
          <w:rFonts w:ascii="Times New Roman"/>
          <w:noProof/>
          <w:sz w:val="24"/>
        </w:rPr>
        <w:t>EUR (0,2</w:t>
      </w:r>
      <w:r>
        <w:rPr>
          <w:rFonts w:ascii="Times New Roman"/>
          <w:noProof/>
          <w:sz w:val="24"/>
        </w:rPr>
        <w:t> </w:t>
      </w:r>
      <w:r>
        <w:rPr>
          <w:rFonts w:ascii="Times New Roman"/>
          <w:noProof/>
          <w:sz w:val="24"/>
        </w:rPr>
        <w:t>% du PIB), qui, faute d</w:t>
      </w:r>
      <w:r>
        <w:rPr>
          <w:rFonts w:ascii="Times New Roman"/>
          <w:noProof/>
          <w:sz w:val="24"/>
        </w:rPr>
        <w:t>’ê</w:t>
      </w:r>
      <w:r>
        <w:rPr>
          <w:rFonts w:ascii="Times New Roman"/>
          <w:noProof/>
          <w:sz w:val="24"/>
        </w:rPr>
        <w:t>tre suffisamment pr</w:t>
      </w:r>
      <w:r>
        <w:rPr>
          <w:rFonts w:ascii="Times New Roman"/>
          <w:noProof/>
          <w:sz w:val="24"/>
        </w:rPr>
        <w:t>é</w:t>
      </w:r>
      <w:r>
        <w:rPr>
          <w:rFonts w:ascii="Times New Roman"/>
          <w:noProof/>
          <w:sz w:val="24"/>
        </w:rPr>
        <w:t>cis</w:t>
      </w:r>
      <w:r>
        <w:rPr>
          <w:rFonts w:ascii="Times New Roman"/>
          <w:noProof/>
          <w:sz w:val="24"/>
        </w:rPr>
        <w:t>é</w:t>
      </w:r>
      <w:r>
        <w:rPr>
          <w:rFonts w:ascii="Times New Roman"/>
          <w:noProof/>
          <w:sz w:val="24"/>
        </w:rPr>
        <w:t>es dans le programme de stabilit</w:t>
      </w:r>
      <w:r>
        <w:rPr>
          <w:rFonts w:ascii="Times New Roman"/>
          <w:noProof/>
          <w:sz w:val="24"/>
        </w:rPr>
        <w:t>é</w:t>
      </w:r>
      <w:r>
        <w:rPr>
          <w:rFonts w:ascii="Times New Roman"/>
          <w:noProof/>
          <w:sz w:val="24"/>
        </w:rPr>
        <w:t>, n</w:t>
      </w:r>
      <w:r>
        <w:rPr>
          <w:rFonts w:ascii="Times New Roman"/>
          <w:noProof/>
          <w:sz w:val="24"/>
        </w:rPr>
        <w:t>’</w:t>
      </w:r>
      <w:r>
        <w:rPr>
          <w:rFonts w:ascii="Times New Roman"/>
          <w:noProof/>
          <w:sz w:val="24"/>
        </w:rPr>
        <w:t xml:space="preserve">ont pas </w:t>
      </w:r>
      <w:r>
        <w:rPr>
          <w:rFonts w:ascii="Times New Roman"/>
          <w:noProof/>
          <w:sz w:val="24"/>
        </w:rPr>
        <w:t>é</w:t>
      </w:r>
      <w:r>
        <w:rPr>
          <w:rFonts w:ascii="Times New Roman"/>
          <w:noProof/>
          <w:sz w:val="24"/>
        </w:rPr>
        <w:t>t</w:t>
      </w:r>
      <w:r>
        <w:rPr>
          <w:rFonts w:ascii="Times New Roman"/>
          <w:noProof/>
          <w:sz w:val="24"/>
        </w:rPr>
        <w:t>é</w:t>
      </w:r>
      <w:r>
        <w:rPr>
          <w:rFonts w:ascii="Times New Roman"/>
          <w:noProof/>
          <w:sz w:val="24"/>
        </w:rPr>
        <w:t xml:space="preserve"> prises en compte dans les pr</w:t>
      </w:r>
      <w:r>
        <w:rPr>
          <w:rFonts w:ascii="Times New Roman"/>
          <w:noProof/>
          <w:sz w:val="24"/>
        </w:rPr>
        <w:t>é</w:t>
      </w:r>
      <w:r>
        <w:rPr>
          <w:rFonts w:ascii="Times New Roman"/>
          <w:noProof/>
          <w:sz w:val="24"/>
        </w:rPr>
        <w:t xml:space="preserve">visions du printemps 2015 de la Commission. Les </w:t>
      </w:r>
      <w:r>
        <w:rPr>
          <w:rFonts w:ascii="Times New Roman"/>
          <w:noProof/>
          <w:sz w:val="24"/>
        </w:rPr>
        <w:t>é</w:t>
      </w:r>
      <w:r>
        <w:rPr>
          <w:rFonts w:ascii="Times New Roman"/>
          <w:noProof/>
          <w:sz w:val="24"/>
        </w:rPr>
        <w:t>conomies r</w:t>
      </w:r>
      <w:r>
        <w:rPr>
          <w:rFonts w:ascii="Times New Roman"/>
          <w:noProof/>
          <w:sz w:val="24"/>
        </w:rPr>
        <w:t>é</w:t>
      </w:r>
      <w:r>
        <w:rPr>
          <w:rFonts w:ascii="Times New Roman"/>
          <w:noProof/>
          <w:sz w:val="24"/>
        </w:rPr>
        <w:t>sulteraient d</w:t>
      </w:r>
      <w:r>
        <w:rPr>
          <w:rFonts w:ascii="Times New Roman"/>
          <w:noProof/>
          <w:sz w:val="24"/>
        </w:rPr>
        <w:t>’</w:t>
      </w:r>
      <w:r>
        <w:rPr>
          <w:rFonts w:ascii="Times New Roman"/>
          <w:noProof/>
          <w:sz w:val="24"/>
        </w:rPr>
        <w:t>une r</w:t>
      </w:r>
      <w:r>
        <w:rPr>
          <w:rFonts w:ascii="Times New Roman"/>
          <w:noProof/>
          <w:sz w:val="24"/>
        </w:rPr>
        <w:t>é</w:t>
      </w:r>
      <w:r>
        <w:rPr>
          <w:rFonts w:ascii="Times New Roman"/>
          <w:noProof/>
          <w:sz w:val="24"/>
        </w:rPr>
        <w:t>duction des d</w:t>
      </w:r>
      <w:r>
        <w:rPr>
          <w:rFonts w:ascii="Times New Roman"/>
          <w:noProof/>
          <w:sz w:val="24"/>
        </w:rPr>
        <w:t>é</w:t>
      </w:r>
      <w:r>
        <w:rPr>
          <w:rFonts w:ascii="Times New Roman"/>
          <w:noProof/>
          <w:sz w:val="24"/>
        </w:rPr>
        <w:t>penses de l</w:t>
      </w:r>
      <w:r>
        <w:rPr>
          <w:rFonts w:ascii="Times New Roman"/>
          <w:noProof/>
          <w:sz w:val="24"/>
        </w:rPr>
        <w:t>’É</w:t>
      </w:r>
      <w:r>
        <w:rPr>
          <w:rFonts w:ascii="Times New Roman"/>
          <w:noProof/>
          <w:sz w:val="24"/>
        </w:rPr>
        <w:t>tat (1,6 milliard d</w:t>
      </w:r>
      <w:r>
        <w:rPr>
          <w:rFonts w:ascii="Times New Roman"/>
          <w:noProof/>
          <w:sz w:val="24"/>
        </w:rPr>
        <w:t>’</w:t>
      </w:r>
      <w:r>
        <w:rPr>
          <w:rFonts w:ascii="Times New Roman"/>
          <w:noProof/>
          <w:sz w:val="24"/>
        </w:rPr>
        <w:t>EUR), de la s</w:t>
      </w:r>
      <w:r>
        <w:rPr>
          <w:rFonts w:ascii="Times New Roman"/>
          <w:noProof/>
          <w:sz w:val="24"/>
        </w:rPr>
        <w:t>é</w:t>
      </w:r>
      <w:r>
        <w:rPr>
          <w:rFonts w:ascii="Times New Roman"/>
          <w:noProof/>
          <w:sz w:val="24"/>
        </w:rPr>
        <w:t>curit</w:t>
      </w:r>
      <w:r>
        <w:rPr>
          <w:rFonts w:ascii="Times New Roman"/>
          <w:noProof/>
          <w:sz w:val="24"/>
        </w:rPr>
        <w:t>é</w:t>
      </w:r>
      <w:r>
        <w:rPr>
          <w:rFonts w:ascii="Times New Roman"/>
          <w:noProof/>
          <w:sz w:val="24"/>
        </w:rPr>
        <w:t xml:space="preserve"> sociale (2,2 milliards d</w:t>
      </w:r>
      <w:r>
        <w:rPr>
          <w:rFonts w:ascii="Times New Roman"/>
          <w:noProof/>
          <w:sz w:val="24"/>
        </w:rPr>
        <w:t>’</w:t>
      </w:r>
      <w:r>
        <w:rPr>
          <w:rFonts w:ascii="Times New Roman"/>
          <w:noProof/>
          <w:sz w:val="24"/>
        </w:rPr>
        <w:t>EUR)</w:t>
      </w:r>
      <w:r>
        <w:rPr>
          <w:rFonts w:ascii="Times New Roman"/>
          <w:noProof/>
          <w:sz w:val="24"/>
        </w:rPr>
        <w:t xml:space="preserve"> et des collectivit</w:t>
      </w:r>
      <w:r>
        <w:rPr>
          <w:rFonts w:ascii="Times New Roman"/>
          <w:noProof/>
          <w:sz w:val="24"/>
        </w:rPr>
        <w:t>é</w:t>
      </w:r>
      <w:r>
        <w:rPr>
          <w:rFonts w:ascii="Times New Roman"/>
          <w:noProof/>
          <w:sz w:val="24"/>
        </w:rPr>
        <w:t>s locales (1,2 milliard d</w:t>
      </w:r>
      <w:r>
        <w:rPr>
          <w:rFonts w:ascii="Times New Roman"/>
          <w:noProof/>
          <w:sz w:val="24"/>
        </w:rPr>
        <w:t>’</w:t>
      </w:r>
      <w:r>
        <w:rPr>
          <w:rFonts w:ascii="Times New Roman"/>
          <w:noProof/>
          <w:sz w:val="24"/>
        </w:rPr>
        <w:t xml:space="preserve">EUR). </w:t>
      </w:r>
      <w:r>
        <w:rPr>
          <w:rFonts w:ascii="Times New Roman"/>
          <w:noProof/>
          <w:sz w:val="24"/>
        </w:rPr>
        <w:t>À</w:t>
      </w:r>
      <w:r>
        <w:rPr>
          <w:rFonts w:ascii="Times New Roman"/>
          <w:noProof/>
          <w:sz w:val="24"/>
        </w:rPr>
        <w:t xml:space="preserve"> ce stade, seules les coupes de d</w:t>
      </w:r>
      <w:r>
        <w:rPr>
          <w:rFonts w:ascii="Times New Roman"/>
          <w:noProof/>
          <w:sz w:val="24"/>
        </w:rPr>
        <w:t>é</w:t>
      </w:r>
      <w:r>
        <w:rPr>
          <w:rFonts w:ascii="Times New Roman"/>
          <w:noProof/>
          <w:sz w:val="24"/>
        </w:rPr>
        <w:t>penses suppl</w:t>
      </w:r>
      <w:r>
        <w:rPr>
          <w:rFonts w:ascii="Times New Roman"/>
          <w:noProof/>
          <w:sz w:val="24"/>
        </w:rPr>
        <w:t>é</w:t>
      </w:r>
      <w:r>
        <w:rPr>
          <w:rFonts w:ascii="Times New Roman"/>
          <w:noProof/>
          <w:sz w:val="24"/>
        </w:rPr>
        <w:t>mentaires envisag</w:t>
      </w:r>
      <w:r>
        <w:rPr>
          <w:rFonts w:ascii="Times New Roman"/>
          <w:noProof/>
          <w:sz w:val="24"/>
        </w:rPr>
        <w:t>é</w:t>
      </w:r>
      <w:r>
        <w:rPr>
          <w:rFonts w:ascii="Times New Roman"/>
          <w:noProof/>
          <w:sz w:val="24"/>
        </w:rPr>
        <w:t>es par l</w:t>
      </w:r>
      <w:r>
        <w:rPr>
          <w:rFonts w:ascii="Times New Roman"/>
          <w:noProof/>
          <w:sz w:val="24"/>
        </w:rPr>
        <w:t>’É</w:t>
      </w:r>
      <w:r>
        <w:rPr>
          <w:rFonts w:ascii="Times New Roman"/>
          <w:noProof/>
          <w:sz w:val="24"/>
        </w:rPr>
        <w:t>tat (1,6 milliard d</w:t>
      </w:r>
      <w:r>
        <w:rPr>
          <w:rFonts w:ascii="Times New Roman"/>
          <w:noProof/>
          <w:sz w:val="24"/>
        </w:rPr>
        <w:t>’</w:t>
      </w:r>
      <w:r>
        <w:rPr>
          <w:rFonts w:ascii="Times New Roman"/>
          <w:noProof/>
          <w:sz w:val="24"/>
        </w:rPr>
        <w:t xml:space="preserve">EUR), qui ont </w:t>
      </w:r>
      <w:r>
        <w:rPr>
          <w:rFonts w:ascii="Times New Roman"/>
          <w:noProof/>
          <w:sz w:val="24"/>
        </w:rPr>
        <w:t>é</w:t>
      </w:r>
      <w:r>
        <w:rPr>
          <w:rFonts w:ascii="Times New Roman"/>
          <w:noProof/>
          <w:sz w:val="24"/>
        </w:rPr>
        <w:t>t</w:t>
      </w:r>
      <w:r>
        <w:rPr>
          <w:rFonts w:ascii="Times New Roman"/>
          <w:noProof/>
          <w:sz w:val="24"/>
        </w:rPr>
        <w:t>é</w:t>
      </w:r>
      <w:r>
        <w:rPr>
          <w:rFonts w:ascii="Times New Roman"/>
          <w:noProof/>
          <w:sz w:val="24"/>
        </w:rPr>
        <w:t xml:space="preserve"> fix</w:t>
      </w:r>
      <w:r>
        <w:rPr>
          <w:rFonts w:ascii="Times New Roman"/>
          <w:noProof/>
          <w:sz w:val="24"/>
        </w:rPr>
        <w:t>é</w:t>
      </w:r>
      <w:r>
        <w:rPr>
          <w:rFonts w:ascii="Times New Roman"/>
          <w:noProof/>
          <w:sz w:val="24"/>
        </w:rPr>
        <w:t>es dans les lettres de cadrage adress</w:t>
      </w:r>
      <w:r>
        <w:rPr>
          <w:rFonts w:ascii="Times New Roman"/>
          <w:noProof/>
          <w:sz w:val="24"/>
        </w:rPr>
        <w:t>é</w:t>
      </w:r>
      <w:r>
        <w:rPr>
          <w:rFonts w:ascii="Times New Roman"/>
          <w:noProof/>
          <w:sz w:val="24"/>
        </w:rPr>
        <w:t xml:space="preserve">es par le Premier ministre </w:t>
      </w:r>
      <w:r>
        <w:rPr>
          <w:rFonts w:ascii="Times New Roman"/>
          <w:noProof/>
          <w:sz w:val="24"/>
        </w:rPr>
        <w:t>à</w:t>
      </w:r>
      <w:r>
        <w:rPr>
          <w:rFonts w:ascii="Times New Roman"/>
          <w:noProof/>
          <w:sz w:val="24"/>
        </w:rPr>
        <w:t xml:space="preserve"> chaque ministre le </w:t>
      </w:r>
      <w:r>
        <w:rPr>
          <w:rFonts w:ascii="Times New Roman"/>
          <w:noProof/>
          <w:sz w:val="24"/>
        </w:rPr>
        <w:t>24</w:t>
      </w:r>
      <w:r>
        <w:rPr>
          <w:rFonts w:ascii="Times New Roman"/>
          <w:noProof/>
          <w:sz w:val="24"/>
        </w:rPr>
        <w:t> </w:t>
      </w:r>
      <w:r>
        <w:rPr>
          <w:rFonts w:ascii="Times New Roman"/>
          <w:noProof/>
          <w:sz w:val="24"/>
        </w:rPr>
        <w:t>avril 2015, semblent suffisamment d</w:t>
      </w:r>
      <w:r>
        <w:rPr>
          <w:rFonts w:ascii="Times New Roman"/>
          <w:noProof/>
          <w:sz w:val="24"/>
        </w:rPr>
        <w:t>é</w:t>
      </w:r>
      <w:r>
        <w:rPr>
          <w:rFonts w:ascii="Times New Roman"/>
          <w:noProof/>
          <w:sz w:val="24"/>
        </w:rPr>
        <w:t>taill</w:t>
      </w:r>
      <w:r>
        <w:rPr>
          <w:rFonts w:ascii="Times New Roman"/>
          <w:noProof/>
          <w:sz w:val="24"/>
        </w:rPr>
        <w:t>é</w:t>
      </w:r>
      <w:r>
        <w:rPr>
          <w:rFonts w:ascii="Times New Roman"/>
          <w:noProof/>
          <w:sz w:val="24"/>
        </w:rPr>
        <w:t xml:space="preserve">es pour </w:t>
      </w:r>
      <w:r>
        <w:rPr>
          <w:rFonts w:ascii="Times New Roman"/>
          <w:noProof/>
          <w:sz w:val="24"/>
        </w:rPr>
        <w:t>ê</w:t>
      </w:r>
      <w:r>
        <w:rPr>
          <w:rFonts w:ascii="Times New Roman"/>
          <w:noProof/>
          <w:sz w:val="24"/>
        </w:rPr>
        <w:t>tre prises en compte dans l</w:t>
      </w:r>
      <w:r>
        <w:rPr>
          <w:rFonts w:ascii="Times New Roman"/>
          <w:noProof/>
          <w:sz w:val="24"/>
        </w:rPr>
        <w:t>’é</w:t>
      </w:r>
      <w:r>
        <w:rPr>
          <w:rFonts w:ascii="Times New Roman"/>
          <w:noProof/>
          <w:sz w:val="24"/>
        </w:rPr>
        <w:t xml:space="preserve">valuation de la Commission. Les autres </w:t>
      </w:r>
      <w:r>
        <w:rPr>
          <w:rFonts w:ascii="Times New Roman"/>
          <w:noProof/>
          <w:sz w:val="24"/>
        </w:rPr>
        <w:t>é</w:t>
      </w:r>
      <w:r>
        <w:rPr>
          <w:rFonts w:ascii="Times New Roman"/>
          <w:noProof/>
          <w:sz w:val="24"/>
        </w:rPr>
        <w:t>conomies pr</w:t>
      </w:r>
      <w:r>
        <w:rPr>
          <w:rFonts w:ascii="Times New Roman"/>
          <w:noProof/>
          <w:sz w:val="24"/>
        </w:rPr>
        <w:t>é</w:t>
      </w:r>
      <w:r>
        <w:rPr>
          <w:rFonts w:ascii="Times New Roman"/>
          <w:noProof/>
          <w:sz w:val="24"/>
        </w:rPr>
        <w:t>vues par les autorit</w:t>
      </w:r>
      <w:r>
        <w:rPr>
          <w:rFonts w:ascii="Times New Roman"/>
          <w:noProof/>
          <w:sz w:val="24"/>
        </w:rPr>
        <w:t>é</w:t>
      </w:r>
      <w:r>
        <w:rPr>
          <w:rFonts w:ascii="Times New Roman"/>
          <w:noProof/>
          <w:sz w:val="24"/>
        </w:rPr>
        <w:t xml:space="preserve">s ne pourront </w:t>
      </w:r>
      <w:r>
        <w:rPr>
          <w:rFonts w:ascii="Times New Roman"/>
          <w:noProof/>
          <w:sz w:val="24"/>
        </w:rPr>
        <w:t>ê</w:t>
      </w:r>
      <w:r>
        <w:rPr>
          <w:rFonts w:ascii="Times New Roman"/>
          <w:noProof/>
          <w:sz w:val="24"/>
        </w:rPr>
        <w:t>tre prises en compte dans les pr</w:t>
      </w:r>
      <w:r>
        <w:rPr>
          <w:rFonts w:ascii="Times New Roman"/>
          <w:noProof/>
          <w:sz w:val="24"/>
        </w:rPr>
        <w:t>é</w:t>
      </w:r>
      <w:r>
        <w:rPr>
          <w:rFonts w:ascii="Times New Roman"/>
          <w:noProof/>
          <w:sz w:val="24"/>
        </w:rPr>
        <w:t>visions de la Commission qu</w:t>
      </w:r>
      <w:r>
        <w:rPr>
          <w:rFonts w:ascii="Times New Roman"/>
          <w:noProof/>
          <w:sz w:val="24"/>
        </w:rPr>
        <w:t>’</w:t>
      </w:r>
      <w:r>
        <w:rPr>
          <w:rFonts w:ascii="Times New Roman"/>
          <w:noProof/>
          <w:sz w:val="24"/>
        </w:rPr>
        <w:t>une fois les mesures sou</w:t>
      </w:r>
      <w:r>
        <w:rPr>
          <w:rFonts w:ascii="Times New Roman"/>
          <w:noProof/>
          <w:sz w:val="24"/>
        </w:rPr>
        <w:t>s-tendant la strat</w:t>
      </w:r>
      <w:r>
        <w:rPr>
          <w:rFonts w:ascii="Times New Roman"/>
          <w:noProof/>
          <w:sz w:val="24"/>
        </w:rPr>
        <w:t>é</w:t>
      </w:r>
      <w:r>
        <w:rPr>
          <w:rFonts w:ascii="Times New Roman"/>
          <w:noProof/>
          <w:sz w:val="24"/>
        </w:rPr>
        <w:t>gie budg</w:t>
      </w:r>
      <w:r>
        <w:rPr>
          <w:rFonts w:ascii="Times New Roman"/>
          <w:noProof/>
          <w:sz w:val="24"/>
        </w:rPr>
        <w:t>é</w:t>
      </w:r>
      <w:r>
        <w:rPr>
          <w:rFonts w:ascii="Times New Roman"/>
          <w:noProof/>
          <w:sz w:val="24"/>
        </w:rPr>
        <w:t>taire suffisamment pr</w:t>
      </w:r>
      <w:r>
        <w:rPr>
          <w:rFonts w:ascii="Times New Roman"/>
          <w:noProof/>
          <w:sz w:val="24"/>
        </w:rPr>
        <w:t>é</w:t>
      </w:r>
      <w:r>
        <w:rPr>
          <w:rFonts w:ascii="Times New Roman"/>
          <w:noProof/>
          <w:sz w:val="24"/>
        </w:rPr>
        <w:t>cis</w:t>
      </w:r>
      <w:r>
        <w:rPr>
          <w:rFonts w:ascii="Times New Roman"/>
          <w:noProof/>
          <w:sz w:val="24"/>
        </w:rPr>
        <w:t>é</w:t>
      </w:r>
      <w:r>
        <w:rPr>
          <w:rFonts w:ascii="Times New Roman"/>
          <w:noProof/>
          <w:sz w:val="24"/>
        </w:rPr>
        <w:t xml:space="preserve">es. </w:t>
      </w:r>
    </w:p>
    <w:p w:rsidR="001C524E" w:rsidRDefault="00896B22">
      <w:pPr>
        <w:tabs>
          <w:tab w:val="left" w:pos="360"/>
        </w:tabs>
        <w:spacing w:before="120" w:after="120" w:line="240" w:lineRule="auto"/>
        <w:jc w:val="both"/>
        <w:rPr>
          <w:rFonts w:ascii="Times New Roman" w:eastAsia="Times New Roman" w:hAnsi="Times New Roman" w:cs="Times New Roman"/>
          <w:noProof/>
          <w:sz w:val="24"/>
          <w:szCs w:val="24"/>
        </w:rPr>
      </w:pPr>
      <w:r>
        <w:rPr>
          <w:rFonts w:ascii="Times New Roman"/>
          <w:noProof/>
          <w:sz w:val="24"/>
        </w:rPr>
        <w:t>En ce qui concerne 2017, le rapport sur l</w:t>
      </w:r>
      <w:r>
        <w:rPr>
          <w:rFonts w:ascii="Times New Roman"/>
          <w:noProof/>
          <w:sz w:val="24"/>
        </w:rPr>
        <w:t>’</w:t>
      </w:r>
      <w:r>
        <w:rPr>
          <w:rFonts w:ascii="Times New Roman"/>
          <w:noProof/>
          <w:sz w:val="24"/>
        </w:rPr>
        <w:t>action engag</w:t>
      </w:r>
      <w:r>
        <w:rPr>
          <w:rFonts w:ascii="Times New Roman"/>
          <w:noProof/>
          <w:sz w:val="24"/>
        </w:rPr>
        <w:t>é</w:t>
      </w:r>
      <w:r>
        <w:rPr>
          <w:rFonts w:ascii="Times New Roman"/>
          <w:noProof/>
          <w:sz w:val="24"/>
        </w:rPr>
        <w:t>e n</w:t>
      </w:r>
      <w:r>
        <w:rPr>
          <w:rFonts w:ascii="Times New Roman"/>
          <w:noProof/>
          <w:sz w:val="24"/>
        </w:rPr>
        <w:t>’</w:t>
      </w:r>
      <w:r>
        <w:rPr>
          <w:rFonts w:ascii="Times New Roman"/>
          <w:noProof/>
          <w:sz w:val="24"/>
        </w:rPr>
        <w:t>annonce pas de mesures nouvelles, ni ne pr</w:t>
      </w:r>
      <w:r>
        <w:rPr>
          <w:rFonts w:ascii="Times New Roman"/>
          <w:noProof/>
          <w:sz w:val="24"/>
        </w:rPr>
        <w:t>é</w:t>
      </w:r>
      <w:r>
        <w:rPr>
          <w:rFonts w:ascii="Times New Roman"/>
          <w:noProof/>
          <w:sz w:val="24"/>
        </w:rPr>
        <w:t>cise les mesures sous-tendant l</w:t>
      </w:r>
      <w:r>
        <w:rPr>
          <w:rFonts w:ascii="Times New Roman"/>
          <w:noProof/>
          <w:sz w:val="24"/>
        </w:rPr>
        <w:t>’</w:t>
      </w:r>
      <w:r>
        <w:rPr>
          <w:rFonts w:ascii="Times New Roman"/>
          <w:noProof/>
          <w:sz w:val="24"/>
        </w:rPr>
        <w:t>ajustement pr</w:t>
      </w:r>
      <w:r>
        <w:rPr>
          <w:rFonts w:ascii="Times New Roman"/>
          <w:noProof/>
          <w:sz w:val="24"/>
        </w:rPr>
        <w:t>é</w:t>
      </w:r>
      <w:r>
        <w:rPr>
          <w:rFonts w:ascii="Times New Roman"/>
          <w:noProof/>
          <w:sz w:val="24"/>
        </w:rPr>
        <w:t xml:space="preserve">vu. </w:t>
      </w:r>
    </w:p>
    <w:p w:rsidR="001C524E" w:rsidRDefault="00896B22">
      <w:pPr>
        <w:tabs>
          <w:tab w:val="left" w:pos="360"/>
        </w:tabs>
        <w:spacing w:before="120" w:after="120" w:line="240" w:lineRule="auto"/>
        <w:jc w:val="both"/>
        <w:rPr>
          <w:rFonts w:ascii="Times New Roman"/>
          <w:noProof/>
          <w:sz w:val="24"/>
          <w:szCs w:val="24"/>
        </w:rPr>
      </w:pPr>
      <w:r>
        <w:rPr>
          <w:rFonts w:ascii="Times New Roman"/>
          <w:noProof/>
          <w:sz w:val="24"/>
        </w:rPr>
        <w:t>D</w:t>
      </w:r>
      <w:r>
        <w:rPr>
          <w:rFonts w:ascii="Times New Roman"/>
          <w:noProof/>
          <w:sz w:val="24"/>
        </w:rPr>
        <w:t>’</w:t>
      </w:r>
      <w:r>
        <w:rPr>
          <w:rFonts w:ascii="Times New Roman"/>
          <w:noProof/>
          <w:sz w:val="24"/>
        </w:rPr>
        <w:t>apr</w:t>
      </w:r>
      <w:r>
        <w:rPr>
          <w:rFonts w:ascii="Times New Roman"/>
          <w:noProof/>
          <w:sz w:val="24"/>
        </w:rPr>
        <w:t>è</w:t>
      </w:r>
      <w:r>
        <w:rPr>
          <w:rFonts w:ascii="Times New Roman"/>
          <w:noProof/>
          <w:sz w:val="24"/>
        </w:rPr>
        <w:t>s les pr</w:t>
      </w:r>
      <w:r>
        <w:rPr>
          <w:rFonts w:ascii="Times New Roman"/>
          <w:noProof/>
          <w:sz w:val="24"/>
        </w:rPr>
        <w:t>é</w:t>
      </w:r>
      <w:r>
        <w:rPr>
          <w:rFonts w:ascii="Times New Roman"/>
          <w:noProof/>
          <w:sz w:val="24"/>
        </w:rPr>
        <w:t xml:space="preserve">visions du printemps 2015 de </w:t>
      </w:r>
      <w:r>
        <w:rPr>
          <w:rFonts w:ascii="Times New Roman"/>
          <w:noProof/>
          <w:sz w:val="24"/>
        </w:rPr>
        <w:t>la Commission, qui s</w:t>
      </w:r>
      <w:r>
        <w:rPr>
          <w:rFonts w:ascii="Times New Roman"/>
          <w:noProof/>
          <w:sz w:val="24"/>
        </w:rPr>
        <w:t>’é</w:t>
      </w:r>
      <w:r>
        <w:rPr>
          <w:rFonts w:ascii="Times New Roman"/>
          <w:noProof/>
          <w:sz w:val="24"/>
        </w:rPr>
        <w:t xml:space="preserve">tendent </w:t>
      </w:r>
      <w:r>
        <w:rPr>
          <w:rFonts w:ascii="Times New Roman"/>
          <w:noProof/>
          <w:sz w:val="24"/>
        </w:rPr>
        <w:t>à</w:t>
      </w:r>
      <w:r>
        <w:rPr>
          <w:rFonts w:ascii="Times New Roman"/>
          <w:noProof/>
          <w:sz w:val="24"/>
        </w:rPr>
        <w:t xml:space="preserve"> l</w:t>
      </w:r>
      <w:r>
        <w:rPr>
          <w:rFonts w:ascii="Times New Roman"/>
          <w:noProof/>
          <w:sz w:val="24"/>
        </w:rPr>
        <w:t>’</w:t>
      </w:r>
      <w:r>
        <w:rPr>
          <w:rFonts w:ascii="Times New Roman"/>
          <w:noProof/>
          <w:sz w:val="24"/>
        </w:rPr>
        <w:t>ann</w:t>
      </w:r>
      <w:r>
        <w:rPr>
          <w:rFonts w:ascii="Times New Roman"/>
          <w:noProof/>
          <w:sz w:val="24"/>
        </w:rPr>
        <w:t>é</w:t>
      </w:r>
      <w:r>
        <w:rPr>
          <w:rFonts w:ascii="Times New Roman"/>
          <w:noProof/>
          <w:sz w:val="24"/>
        </w:rPr>
        <w:t>e 2016, le d</w:t>
      </w:r>
      <w:r>
        <w:rPr>
          <w:rFonts w:ascii="Times New Roman"/>
          <w:noProof/>
          <w:sz w:val="24"/>
        </w:rPr>
        <w:t>é</w:t>
      </w:r>
      <w:r>
        <w:rPr>
          <w:rFonts w:ascii="Times New Roman"/>
          <w:noProof/>
          <w:sz w:val="24"/>
        </w:rPr>
        <w:t>ficit public devait s</w:t>
      </w:r>
      <w:r>
        <w:rPr>
          <w:rFonts w:ascii="Times New Roman"/>
          <w:noProof/>
          <w:sz w:val="24"/>
        </w:rPr>
        <w:t>’é</w:t>
      </w:r>
      <w:r>
        <w:rPr>
          <w:rFonts w:ascii="Times New Roman"/>
          <w:noProof/>
          <w:sz w:val="24"/>
        </w:rPr>
        <w:t xml:space="preserve">tablir </w:t>
      </w:r>
      <w:r>
        <w:rPr>
          <w:rFonts w:ascii="Times New Roman"/>
          <w:noProof/>
          <w:sz w:val="24"/>
        </w:rPr>
        <w:t>à</w:t>
      </w:r>
      <w:r>
        <w:rPr>
          <w:rFonts w:ascii="Times New Roman"/>
          <w:noProof/>
          <w:sz w:val="24"/>
        </w:rPr>
        <w:t xml:space="preserve"> 3,8</w:t>
      </w:r>
      <w:r>
        <w:rPr>
          <w:rFonts w:ascii="Times New Roman"/>
          <w:noProof/>
          <w:sz w:val="24"/>
        </w:rPr>
        <w:t> </w:t>
      </w:r>
      <w:r>
        <w:rPr>
          <w:rFonts w:ascii="Times New Roman"/>
          <w:noProof/>
          <w:sz w:val="24"/>
        </w:rPr>
        <w:t xml:space="preserve">% du PIB en 2015, soit </w:t>
      </w:r>
      <w:r>
        <w:rPr>
          <w:rFonts w:ascii="Times New Roman"/>
          <w:noProof/>
          <w:sz w:val="24"/>
        </w:rPr>
        <w:t>à</w:t>
      </w:r>
      <w:r>
        <w:rPr>
          <w:rFonts w:ascii="Times New Roman"/>
          <w:noProof/>
          <w:sz w:val="24"/>
        </w:rPr>
        <w:t xml:space="preserve"> un niveau inf</w:t>
      </w:r>
      <w:r>
        <w:rPr>
          <w:rFonts w:ascii="Times New Roman"/>
          <w:noProof/>
          <w:sz w:val="24"/>
        </w:rPr>
        <w:t>é</w:t>
      </w:r>
      <w:r>
        <w:rPr>
          <w:rFonts w:ascii="Times New Roman"/>
          <w:noProof/>
          <w:sz w:val="24"/>
        </w:rPr>
        <w:t xml:space="preserve">rieur </w:t>
      </w:r>
      <w:r>
        <w:rPr>
          <w:rFonts w:ascii="Times New Roman"/>
          <w:noProof/>
          <w:sz w:val="24"/>
        </w:rPr>
        <w:t>à</w:t>
      </w:r>
      <w:r>
        <w:rPr>
          <w:rFonts w:ascii="Times New Roman"/>
          <w:noProof/>
          <w:sz w:val="24"/>
        </w:rPr>
        <w:t xml:space="preserve"> l</w:t>
      </w:r>
      <w:r>
        <w:rPr>
          <w:rFonts w:ascii="Times New Roman"/>
          <w:noProof/>
          <w:sz w:val="24"/>
        </w:rPr>
        <w:t>’</w:t>
      </w:r>
      <w:r>
        <w:rPr>
          <w:rFonts w:ascii="Times New Roman"/>
          <w:noProof/>
          <w:sz w:val="24"/>
        </w:rPr>
        <w:t>objectif de d</w:t>
      </w:r>
      <w:r>
        <w:rPr>
          <w:rFonts w:ascii="Times New Roman"/>
          <w:noProof/>
          <w:sz w:val="24"/>
        </w:rPr>
        <w:t>é</w:t>
      </w:r>
      <w:r>
        <w:rPr>
          <w:rFonts w:ascii="Times New Roman"/>
          <w:noProof/>
          <w:sz w:val="24"/>
        </w:rPr>
        <w:t>ficit nominal de 4,0</w:t>
      </w:r>
      <w:r>
        <w:rPr>
          <w:rFonts w:ascii="Times New Roman"/>
          <w:noProof/>
          <w:sz w:val="24"/>
        </w:rPr>
        <w:t> </w:t>
      </w:r>
      <w:r>
        <w:rPr>
          <w:rFonts w:ascii="Times New Roman"/>
          <w:noProof/>
          <w:sz w:val="24"/>
        </w:rPr>
        <w:t>% du PIB fix</w:t>
      </w:r>
      <w:r>
        <w:rPr>
          <w:rFonts w:ascii="Times New Roman"/>
          <w:noProof/>
          <w:sz w:val="24"/>
        </w:rPr>
        <w:t>é</w:t>
      </w:r>
      <w:r>
        <w:rPr>
          <w:rFonts w:ascii="Times New Roman"/>
          <w:noProof/>
          <w:sz w:val="24"/>
        </w:rPr>
        <w:t xml:space="preserve"> dans la recommandation du Conseil. Pour 2016, il devait atteindre, </w:t>
      </w:r>
      <w:r>
        <w:rPr>
          <w:rFonts w:ascii="Times New Roman"/>
          <w:noProof/>
          <w:sz w:val="24"/>
        </w:rPr>
        <w:t>à</w:t>
      </w:r>
      <w:r>
        <w:rPr>
          <w:rFonts w:ascii="Times New Roman"/>
          <w:noProof/>
          <w:sz w:val="24"/>
        </w:rPr>
        <w:t xml:space="preserve"> po</w:t>
      </w:r>
      <w:r>
        <w:rPr>
          <w:rFonts w:ascii="Times New Roman"/>
          <w:noProof/>
          <w:sz w:val="24"/>
        </w:rPr>
        <w:t>litiques inchang</w:t>
      </w:r>
      <w:r>
        <w:rPr>
          <w:rFonts w:ascii="Times New Roman"/>
          <w:noProof/>
          <w:sz w:val="24"/>
        </w:rPr>
        <w:t>é</w:t>
      </w:r>
      <w:r>
        <w:rPr>
          <w:rFonts w:ascii="Times New Roman"/>
          <w:noProof/>
          <w:sz w:val="24"/>
        </w:rPr>
        <w:t>es, 3,5</w:t>
      </w:r>
      <w:r>
        <w:rPr>
          <w:rFonts w:ascii="Times New Roman"/>
          <w:noProof/>
          <w:sz w:val="24"/>
        </w:rPr>
        <w:t> </w:t>
      </w:r>
      <w:r>
        <w:rPr>
          <w:rFonts w:ascii="Times New Roman"/>
          <w:noProof/>
          <w:sz w:val="24"/>
        </w:rPr>
        <w:t>% du PIB, soit d</w:t>
      </w:r>
      <w:r>
        <w:rPr>
          <w:rFonts w:ascii="Times New Roman"/>
          <w:noProof/>
          <w:sz w:val="24"/>
        </w:rPr>
        <w:t>é</w:t>
      </w:r>
      <w:r>
        <w:rPr>
          <w:rFonts w:ascii="Times New Roman"/>
          <w:noProof/>
          <w:sz w:val="24"/>
        </w:rPr>
        <w:t>passer l</w:t>
      </w:r>
      <w:r>
        <w:rPr>
          <w:rFonts w:ascii="Times New Roman"/>
          <w:noProof/>
          <w:sz w:val="24"/>
        </w:rPr>
        <w:t>’</w:t>
      </w:r>
      <w:r>
        <w:rPr>
          <w:rFonts w:ascii="Times New Roman"/>
          <w:noProof/>
          <w:sz w:val="24"/>
        </w:rPr>
        <w:t>objectif recommand</w:t>
      </w:r>
      <w:r>
        <w:rPr>
          <w:rFonts w:ascii="Times New Roman"/>
          <w:noProof/>
          <w:sz w:val="24"/>
        </w:rPr>
        <w:t>é</w:t>
      </w:r>
      <w:r>
        <w:rPr>
          <w:rFonts w:ascii="Times New Roman"/>
          <w:noProof/>
          <w:sz w:val="24"/>
        </w:rPr>
        <w:t xml:space="preserve"> de 3,4</w:t>
      </w:r>
      <w:r>
        <w:rPr>
          <w:rFonts w:ascii="Times New Roman"/>
          <w:noProof/>
          <w:sz w:val="24"/>
        </w:rPr>
        <w:t> </w:t>
      </w:r>
      <w:r>
        <w:rPr>
          <w:rFonts w:ascii="Times New Roman"/>
          <w:noProof/>
          <w:sz w:val="24"/>
        </w:rPr>
        <w:t xml:space="preserve">% du PIB. </w:t>
      </w:r>
    </w:p>
    <w:p w:rsidR="001C524E" w:rsidRDefault="00896B22">
      <w:pPr>
        <w:tabs>
          <w:tab w:val="left" w:pos="360"/>
        </w:tabs>
        <w:spacing w:before="120" w:after="120" w:line="240" w:lineRule="auto"/>
        <w:jc w:val="both"/>
        <w:rPr>
          <w:rFonts w:ascii="Times New Roman" w:eastAsia="Times New Roman" w:hAnsi="Times New Roman" w:cs="Times New Roman"/>
          <w:noProof/>
          <w:sz w:val="24"/>
          <w:szCs w:val="24"/>
        </w:rPr>
      </w:pPr>
      <w:r>
        <w:rPr>
          <w:rFonts w:ascii="Times New Roman"/>
          <w:noProof/>
          <w:sz w:val="24"/>
        </w:rPr>
        <w:t>À</w:t>
      </w:r>
      <w:r>
        <w:rPr>
          <w:rFonts w:ascii="Times New Roman"/>
          <w:noProof/>
          <w:sz w:val="24"/>
        </w:rPr>
        <w:t xml:space="preserve"> la lumi</w:t>
      </w:r>
      <w:r>
        <w:rPr>
          <w:rFonts w:ascii="Times New Roman"/>
          <w:noProof/>
          <w:sz w:val="24"/>
        </w:rPr>
        <w:t>è</w:t>
      </w:r>
      <w:r>
        <w:rPr>
          <w:rFonts w:ascii="Times New Roman"/>
          <w:noProof/>
          <w:sz w:val="24"/>
        </w:rPr>
        <w:t>re des informations figurant dans le rapport sur l</w:t>
      </w:r>
      <w:r>
        <w:rPr>
          <w:rFonts w:ascii="Times New Roman"/>
          <w:noProof/>
          <w:sz w:val="24"/>
        </w:rPr>
        <w:t>’</w:t>
      </w:r>
      <w:r>
        <w:rPr>
          <w:rFonts w:ascii="Times New Roman"/>
          <w:noProof/>
          <w:sz w:val="24"/>
        </w:rPr>
        <w:t>action engag</w:t>
      </w:r>
      <w:r>
        <w:rPr>
          <w:rFonts w:ascii="Times New Roman"/>
          <w:noProof/>
          <w:sz w:val="24"/>
        </w:rPr>
        <w:t>é</w:t>
      </w:r>
      <w:r>
        <w:rPr>
          <w:rFonts w:ascii="Times New Roman"/>
          <w:noProof/>
          <w:sz w:val="24"/>
        </w:rPr>
        <w:t>e, les pr</w:t>
      </w:r>
      <w:r>
        <w:rPr>
          <w:rFonts w:ascii="Times New Roman"/>
          <w:noProof/>
          <w:sz w:val="24"/>
        </w:rPr>
        <w:t>é</w:t>
      </w:r>
      <w:r>
        <w:rPr>
          <w:rFonts w:ascii="Times New Roman"/>
          <w:noProof/>
          <w:sz w:val="24"/>
        </w:rPr>
        <w:t>visions de printemps actualis</w:t>
      </w:r>
      <w:r>
        <w:rPr>
          <w:rFonts w:ascii="Times New Roman"/>
          <w:noProof/>
          <w:sz w:val="24"/>
        </w:rPr>
        <w:t>é</w:t>
      </w:r>
      <w:r>
        <w:rPr>
          <w:rFonts w:ascii="Times New Roman"/>
          <w:noProof/>
          <w:sz w:val="24"/>
        </w:rPr>
        <w:t>es de la Commission pr</w:t>
      </w:r>
      <w:r>
        <w:rPr>
          <w:rFonts w:ascii="Times New Roman"/>
          <w:noProof/>
          <w:sz w:val="24"/>
        </w:rPr>
        <w:t>é</w:t>
      </w:r>
      <w:r>
        <w:rPr>
          <w:rFonts w:ascii="Times New Roman"/>
          <w:noProof/>
          <w:sz w:val="24"/>
        </w:rPr>
        <w:t>voient toujours que le d</w:t>
      </w:r>
      <w:r>
        <w:rPr>
          <w:rFonts w:ascii="Times New Roman"/>
          <w:noProof/>
          <w:sz w:val="24"/>
        </w:rPr>
        <w:t>é</w:t>
      </w:r>
      <w:r>
        <w:rPr>
          <w:rFonts w:ascii="Times New Roman"/>
          <w:noProof/>
          <w:sz w:val="24"/>
        </w:rPr>
        <w:t>ficit</w:t>
      </w:r>
      <w:r>
        <w:rPr>
          <w:rFonts w:ascii="Times New Roman"/>
          <w:noProof/>
          <w:sz w:val="24"/>
        </w:rPr>
        <w:t xml:space="preserve"> nominal sera de 3,8</w:t>
      </w:r>
      <w:r>
        <w:rPr>
          <w:rFonts w:ascii="Times New Roman"/>
          <w:noProof/>
          <w:sz w:val="24"/>
        </w:rPr>
        <w:t> </w:t>
      </w:r>
      <w:r>
        <w:rPr>
          <w:rFonts w:ascii="Times New Roman"/>
          <w:noProof/>
          <w:sz w:val="24"/>
        </w:rPr>
        <w:t>% du PIB en 2015, mais diminuera pour atteindre 3,4</w:t>
      </w:r>
      <w:r>
        <w:rPr>
          <w:rFonts w:ascii="Times New Roman"/>
          <w:noProof/>
          <w:sz w:val="24"/>
        </w:rPr>
        <w:t> </w:t>
      </w:r>
      <w:r>
        <w:rPr>
          <w:rFonts w:ascii="Times New Roman"/>
          <w:noProof/>
          <w:sz w:val="24"/>
        </w:rPr>
        <w:t>% du PIB en 2016. Pour 2015, le rapport sur l</w:t>
      </w:r>
      <w:r>
        <w:rPr>
          <w:rFonts w:ascii="Times New Roman"/>
          <w:noProof/>
          <w:sz w:val="24"/>
        </w:rPr>
        <w:t>’</w:t>
      </w:r>
      <w:r>
        <w:rPr>
          <w:rFonts w:ascii="Times New Roman"/>
          <w:noProof/>
          <w:sz w:val="24"/>
        </w:rPr>
        <w:t>action engag</w:t>
      </w:r>
      <w:r>
        <w:rPr>
          <w:rFonts w:ascii="Times New Roman"/>
          <w:noProof/>
          <w:sz w:val="24"/>
        </w:rPr>
        <w:t>é</w:t>
      </w:r>
      <w:r>
        <w:rPr>
          <w:rFonts w:ascii="Times New Roman"/>
          <w:noProof/>
          <w:sz w:val="24"/>
        </w:rPr>
        <w:t>e confirme l</w:t>
      </w:r>
      <w:r>
        <w:rPr>
          <w:rFonts w:ascii="Times New Roman"/>
          <w:noProof/>
          <w:sz w:val="24"/>
        </w:rPr>
        <w:t>’</w:t>
      </w:r>
      <w:r>
        <w:rPr>
          <w:rFonts w:ascii="Times New Roman"/>
          <w:noProof/>
          <w:sz w:val="24"/>
        </w:rPr>
        <w:t>estimation contenue dans les pr</w:t>
      </w:r>
      <w:r>
        <w:rPr>
          <w:rFonts w:ascii="Times New Roman"/>
          <w:noProof/>
          <w:sz w:val="24"/>
        </w:rPr>
        <w:t>é</w:t>
      </w:r>
      <w:r>
        <w:rPr>
          <w:rFonts w:ascii="Times New Roman"/>
          <w:noProof/>
          <w:sz w:val="24"/>
        </w:rPr>
        <w:t>visions de printemps concernant l</w:t>
      </w:r>
      <w:r>
        <w:rPr>
          <w:rFonts w:ascii="Times New Roman"/>
          <w:noProof/>
          <w:sz w:val="24"/>
        </w:rPr>
        <w:t>’</w:t>
      </w:r>
      <w:r>
        <w:rPr>
          <w:rFonts w:ascii="Times New Roman"/>
          <w:noProof/>
          <w:sz w:val="24"/>
        </w:rPr>
        <w:t>impact du train de mesures de 4</w:t>
      </w:r>
      <w:r>
        <w:rPr>
          <w:rFonts w:ascii="Times New Roman"/>
          <w:noProof/>
          <w:sz w:val="24"/>
        </w:rPr>
        <w:t> </w:t>
      </w:r>
      <w:r>
        <w:rPr>
          <w:rFonts w:ascii="Times New Roman"/>
          <w:noProof/>
          <w:sz w:val="24"/>
        </w:rPr>
        <w:t>milliards d</w:t>
      </w:r>
      <w:r>
        <w:rPr>
          <w:rFonts w:ascii="Times New Roman"/>
          <w:noProof/>
          <w:sz w:val="24"/>
        </w:rPr>
        <w:t>’</w:t>
      </w:r>
      <w:r>
        <w:rPr>
          <w:rFonts w:ascii="Times New Roman"/>
          <w:noProof/>
          <w:sz w:val="24"/>
        </w:rPr>
        <w:t>E</w:t>
      </w:r>
      <w:r>
        <w:rPr>
          <w:rFonts w:ascii="Times New Roman"/>
          <w:noProof/>
          <w:sz w:val="24"/>
        </w:rPr>
        <w:t>UR sur les finances publiques. Pour 2016, seules les mesures d</w:t>
      </w:r>
      <w:r>
        <w:rPr>
          <w:rFonts w:ascii="Times New Roman"/>
          <w:noProof/>
          <w:sz w:val="24"/>
        </w:rPr>
        <w:t>’</w:t>
      </w:r>
      <w:r>
        <w:rPr>
          <w:rFonts w:ascii="Times New Roman"/>
          <w:noProof/>
          <w:sz w:val="24"/>
        </w:rPr>
        <w:t>assainissement suppl</w:t>
      </w:r>
      <w:r>
        <w:rPr>
          <w:rFonts w:ascii="Times New Roman"/>
          <w:noProof/>
          <w:sz w:val="24"/>
        </w:rPr>
        <w:t>é</w:t>
      </w:r>
      <w:r>
        <w:rPr>
          <w:rFonts w:ascii="Times New Roman"/>
          <w:noProof/>
          <w:sz w:val="24"/>
        </w:rPr>
        <w:t>mentaires de 1,6</w:t>
      </w:r>
      <w:r>
        <w:rPr>
          <w:rFonts w:ascii="Times New Roman"/>
          <w:noProof/>
          <w:sz w:val="24"/>
        </w:rPr>
        <w:t> </w:t>
      </w:r>
      <w:r>
        <w:rPr>
          <w:rFonts w:ascii="Times New Roman"/>
          <w:noProof/>
          <w:sz w:val="24"/>
        </w:rPr>
        <w:t>milliard d</w:t>
      </w:r>
      <w:r>
        <w:rPr>
          <w:rFonts w:ascii="Times New Roman"/>
          <w:noProof/>
          <w:sz w:val="24"/>
        </w:rPr>
        <w:t>’</w:t>
      </w:r>
      <w:r>
        <w:rPr>
          <w:rFonts w:ascii="Times New Roman"/>
          <w:noProof/>
          <w:sz w:val="24"/>
        </w:rPr>
        <w:t>EUR (0,1</w:t>
      </w:r>
      <w:r>
        <w:rPr>
          <w:rFonts w:ascii="Times New Roman"/>
          <w:noProof/>
          <w:sz w:val="24"/>
        </w:rPr>
        <w:t> </w:t>
      </w:r>
      <w:r>
        <w:rPr>
          <w:rFonts w:ascii="Times New Roman"/>
          <w:noProof/>
          <w:sz w:val="24"/>
        </w:rPr>
        <w:t>% du PIB) pr</w:t>
      </w:r>
      <w:r>
        <w:rPr>
          <w:rFonts w:ascii="Times New Roman"/>
          <w:noProof/>
          <w:sz w:val="24"/>
        </w:rPr>
        <w:t>é</w:t>
      </w:r>
      <w:r>
        <w:rPr>
          <w:rFonts w:ascii="Times New Roman"/>
          <w:noProof/>
          <w:sz w:val="24"/>
        </w:rPr>
        <w:t>vues sur les d</w:t>
      </w:r>
      <w:r>
        <w:rPr>
          <w:rFonts w:ascii="Times New Roman"/>
          <w:noProof/>
          <w:sz w:val="24"/>
        </w:rPr>
        <w:t>é</w:t>
      </w:r>
      <w:r>
        <w:rPr>
          <w:rFonts w:ascii="Times New Roman"/>
          <w:noProof/>
          <w:sz w:val="24"/>
        </w:rPr>
        <w:t>penses de l</w:t>
      </w:r>
      <w:r>
        <w:rPr>
          <w:rFonts w:ascii="Times New Roman"/>
          <w:noProof/>
          <w:sz w:val="24"/>
        </w:rPr>
        <w:t>’É</w:t>
      </w:r>
      <w:r>
        <w:rPr>
          <w:rFonts w:ascii="Times New Roman"/>
          <w:noProof/>
          <w:sz w:val="24"/>
        </w:rPr>
        <w:t>tat sont suffisamment d</w:t>
      </w:r>
      <w:r>
        <w:rPr>
          <w:rFonts w:ascii="Times New Roman"/>
          <w:noProof/>
          <w:sz w:val="24"/>
        </w:rPr>
        <w:t>é</w:t>
      </w:r>
      <w:r>
        <w:rPr>
          <w:rFonts w:ascii="Times New Roman"/>
          <w:noProof/>
          <w:sz w:val="24"/>
        </w:rPr>
        <w:t>taill</w:t>
      </w:r>
      <w:r>
        <w:rPr>
          <w:rFonts w:ascii="Times New Roman"/>
          <w:noProof/>
          <w:sz w:val="24"/>
        </w:rPr>
        <w:t>é</w:t>
      </w:r>
      <w:r>
        <w:rPr>
          <w:rFonts w:ascii="Times New Roman"/>
          <w:noProof/>
          <w:sz w:val="24"/>
        </w:rPr>
        <w:t xml:space="preserve">es </w:t>
      </w:r>
      <w:r>
        <w:rPr>
          <w:rFonts w:ascii="Times New Roman"/>
          <w:noProof/>
          <w:sz w:val="24"/>
        </w:rPr>
        <w:t>à</w:t>
      </w:r>
      <w:r>
        <w:rPr>
          <w:rFonts w:ascii="Times New Roman"/>
          <w:noProof/>
          <w:sz w:val="24"/>
        </w:rPr>
        <w:t xml:space="preserve"> ce stade pour </w:t>
      </w:r>
      <w:r>
        <w:rPr>
          <w:rFonts w:ascii="Times New Roman"/>
          <w:noProof/>
          <w:sz w:val="24"/>
        </w:rPr>
        <w:t>ê</w:t>
      </w:r>
      <w:r>
        <w:rPr>
          <w:rFonts w:ascii="Times New Roman"/>
          <w:noProof/>
          <w:sz w:val="24"/>
        </w:rPr>
        <w:t>tre prises en compte dans les pr</w:t>
      </w:r>
      <w:r>
        <w:rPr>
          <w:rFonts w:ascii="Times New Roman"/>
          <w:noProof/>
          <w:sz w:val="24"/>
        </w:rPr>
        <w:t>é</w:t>
      </w:r>
      <w:r>
        <w:rPr>
          <w:rFonts w:ascii="Times New Roman"/>
          <w:noProof/>
          <w:sz w:val="24"/>
        </w:rPr>
        <w:t>visions act</w:t>
      </w:r>
      <w:r>
        <w:rPr>
          <w:rFonts w:ascii="Times New Roman"/>
          <w:noProof/>
          <w:sz w:val="24"/>
        </w:rPr>
        <w:t>ualis</w:t>
      </w:r>
      <w:r>
        <w:rPr>
          <w:rFonts w:ascii="Times New Roman"/>
          <w:noProof/>
          <w:sz w:val="24"/>
        </w:rPr>
        <w:t>é</w:t>
      </w:r>
      <w:r>
        <w:rPr>
          <w:rFonts w:ascii="Times New Roman"/>
          <w:noProof/>
          <w:sz w:val="24"/>
        </w:rPr>
        <w:t>es de la Commission. En cons</w:t>
      </w:r>
      <w:r>
        <w:rPr>
          <w:rFonts w:ascii="Times New Roman"/>
          <w:noProof/>
          <w:sz w:val="24"/>
        </w:rPr>
        <w:t>é</w:t>
      </w:r>
      <w:r>
        <w:rPr>
          <w:rFonts w:ascii="Times New Roman"/>
          <w:noProof/>
          <w:sz w:val="24"/>
        </w:rPr>
        <w:t>quence, le d</w:t>
      </w:r>
      <w:r>
        <w:rPr>
          <w:rFonts w:ascii="Times New Roman"/>
          <w:noProof/>
          <w:sz w:val="24"/>
        </w:rPr>
        <w:t>é</w:t>
      </w:r>
      <w:r>
        <w:rPr>
          <w:rFonts w:ascii="Times New Roman"/>
          <w:noProof/>
          <w:sz w:val="24"/>
        </w:rPr>
        <w:t>ficit public projet</w:t>
      </w:r>
      <w:r>
        <w:rPr>
          <w:rFonts w:ascii="Times New Roman"/>
          <w:noProof/>
          <w:sz w:val="24"/>
        </w:rPr>
        <w:t>é</w:t>
      </w:r>
      <w:r>
        <w:rPr>
          <w:rFonts w:ascii="Times New Roman"/>
          <w:noProof/>
          <w:sz w:val="24"/>
        </w:rPr>
        <w:t xml:space="preserve"> pour 2016 est r</w:t>
      </w:r>
      <w:r>
        <w:rPr>
          <w:rFonts w:ascii="Times New Roman"/>
          <w:noProof/>
          <w:sz w:val="24"/>
        </w:rPr>
        <w:t>é</w:t>
      </w:r>
      <w:r>
        <w:rPr>
          <w:rFonts w:ascii="Times New Roman"/>
          <w:noProof/>
          <w:sz w:val="24"/>
        </w:rPr>
        <w:t>vis</w:t>
      </w:r>
      <w:r>
        <w:rPr>
          <w:rFonts w:ascii="Times New Roman"/>
          <w:noProof/>
          <w:sz w:val="24"/>
        </w:rPr>
        <w:t>é</w:t>
      </w:r>
      <w:r>
        <w:rPr>
          <w:rFonts w:ascii="Times New Roman"/>
          <w:noProof/>
          <w:sz w:val="24"/>
        </w:rPr>
        <w:t xml:space="preserve"> </w:t>
      </w:r>
      <w:r>
        <w:rPr>
          <w:rFonts w:ascii="Times New Roman"/>
          <w:noProof/>
          <w:sz w:val="24"/>
        </w:rPr>
        <w:t>à</w:t>
      </w:r>
      <w:r>
        <w:rPr>
          <w:rFonts w:ascii="Times New Roman"/>
          <w:noProof/>
          <w:sz w:val="24"/>
        </w:rPr>
        <w:t xml:space="preserve"> la baisse, de 3,5</w:t>
      </w:r>
      <w:r>
        <w:rPr>
          <w:rFonts w:ascii="Times New Roman"/>
          <w:noProof/>
          <w:sz w:val="24"/>
        </w:rPr>
        <w:t> </w:t>
      </w:r>
      <w:r>
        <w:rPr>
          <w:rFonts w:ascii="Times New Roman"/>
          <w:noProof/>
          <w:sz w:val="24"/>
        </w:rPr>
        <w:t>% dans les pr</w:t>
      </w:r>
      <w:r>
        <w:rPr>
          <w:rFonts w:ascii="Times New Roman"/>
          <w:noProof/>
          <w:sz w:val="24"/>
        </w:rPr>
        <w:t>é</w:t>
      </w:r>
      <w:r>
        <w:rPr>
          <w:rFonts w:ascii="Times New Roman"/>
          <w:noProof/>
          <w:sz w:val="24"/>
        </w:rPr>
        <w:t xml:space="preserve">visions de printemps </w:t>
      </w:r>
      <w:r>
        <w:rPr>
          <w:rFonts w:ascii="Times New Roman"/>
          <w:noProof/>
          <w:sz w:val="24"/>
        </w:rPr>
        <w:t>à</w:t>
      </w:r>
      <w:r>
        <w:rPr>
          <w:rFonts w:ascii="Times New Roman"/>
          <w:noProof/>
          <w:sz w:val="24"/>
        </w:rPr>
        <w:t xml:space="preserve"> 3,4</w:t>
      </w:r>
      <w:r>
        <w:rPr>
          <w:rFonts w:ascii="Times New Roman"/>
          <w:noProof/>
          <w:sz w:val="24"/>
        </w:rPr>
        <w:t> </w:t>
      </w:r>
      <w:r>
        <w:rPr>
          <w:rFonts w:ascii="Times New Roman"/>
          <w:noProof/>
          <w:sz w:val="24"/>
        </w:rPr>
        <w:t>% du PIB.</w:t>
      </w:r>
    </w:p>
    <w:p w:rsidR="001C524E" w:rsidRDefault="00896B22">
      <w:pPr>
        <w:tabs>
          <w:tab w:val="left" w:pos="360"/>
        </w:tabs>
        <w:spacing w:before="120" w:after="120" w:line="240" w:lineRule="auto"/>
        <w:jc w:val="both"/>
        <w:rPr>
          <w:rFonts w:ascii="Times New Roman" w:eastAsia="Times New Roman" w:hAnsi="Times New Roman" w:cs="Times New Roman"/>
          <w:b/>
          <w:bCs/>
          <w:smallCaps/>
          <w:noProof/>
          <w:sz w:val="24"/>
          <w:szCs w:val="24"/>
        </w:rPr>
      </w:pPr>
      <w:r>
        <w:rPr>
          <w:rFonts w:ascii="Times New Roman"/>
          <w:noProof/>
          <w:sz w:val="24"/>
        </w:rPr>
        <w:t>Les risques pesant sur les perspectives budg</w:t>
      </w:r>
      <w:r>
        <w:rPr>
          <w:rFonts w:ascii="Times New Roman"/>
          <w:noProof/>
          <w:sz w:val="24"/>
        </w:rPr>
        <w:t>é</w:t>
      </w:r>
      <w:r>
        <w:rPr>
          <w:rFonts w:ascii="Times New Roman"/>
          <w:noProof/>
          <w:sz w:val="24"/>
        </w:rPr>
        <w:t>taires de 2015 et 2016, d</w:t>
      </w:r>
      <w:r>
        <w:rPr>
          <w:rFonts w:ascii="Times New Roman"/>
          <w:noProof/>
          <w:sz w:val="24"/>
        </w:rPr>
        <w:t>’</w:t>
      </w:r>
      <w:r>
        <w:rPr>
          <w:rFonts w:ascii="Times New Roman"/>
          <w:noProof/>
          <w:sz w:val="24"/>
        </w:rPr>
        <w:t>apr</w:t>
      </w:r>
      <w:r>
        <w:rPr>
          <w:rFonts w:ascii="Times New Roman"/>
          <w:noProof/>
          <w:sz w:val="24"/>
        </w:rPr>
        <w:t>è</w:t>
      </w:r>
      <w:r>
        <w:rPr>
          <w:rFonts w:ascii="Times New Roman"/>
          <w:noProof/>
          <w:sz w:val="24"/>
        </w:rPr>
        <w:t xml:space="preserve">s les projections </w:t>
      </w:r>
      <w:r>
        <w:rPr>
          <w:rFonts w:ascii="Times New Roman"/>
          <w:noProof/>
          <w:sz w:val="24"/>
        </w:rPr>
        <w:t>formul</w:t>
      </w:r>
      <w:r>
        <w:rPr>
          <w:rFonts w:ascii="Times New Roman"/>
          <w:noProof/>
          <w:sz w:val="24"/>
        </w:rPr>
        <w:t>é</w:t>
      </w:r>
      <w:r>
        <w:rPr>
          <w:rFonts w:ascii="Times New Roman"/>
          <w:noProof/>
          <w:sz w:val="24"/>
        </w:rPr>
        <w:t>es dans les pr</w:t>
      </w:r>
      <w:r>
        <w:rPr>
          <w:rFonts w:ascii="Times New Roman"/>
          <w:noProof/>
          <w:sz w:val="24"/>
        </w:rPr>
        <w:t>é</w:t>
      </w:r>
      <w:r>
        <w:rPr>
          <w:rFonts w:ascii="Times New Roman"/>
          <w:noProof/>
          <w:sz w:val="24"/>
        </w:rPr>
        <w:t>visions de printemps actualis</w:t>
      </w:r>
      <w:r>
        <w:rPr>
          <w:rFonts w:ascii="Times New Roman"/>
          <w:noProof/>
          <w:sz w:val="24"/>
        </w:rPr>
        <w:t>é</w:t>
      </w:r>
      <w:r>
        <w:rPr>
          <w:rFonts w:ascii="Times New Roman"/>
          <w:noProof/>
          <w:sz w:val="24"/>
        </w:rPr>
        <w:t xml:space="preserve">es de la Commission, semblent globalement </w:t>
      </w:r>
      <w:r>
        <w:rPr>
          <w:rFonts w:ascii="Times New Roman"/>
          <w:noProof/>
          <w:sz w:val="24"/>
        </w:rPr>
        <w:t>é</w:t>
      </w:r>
      <w:r>
        <w:rPr>
          <w:rFonts w:ascii="Times New Roman"/>
          <w:noProof/>
          <w:sz w:val="24"/>
        </w:rPr>
        <w:t>quilibr</w:t>
      </w:r>
      <w:r>
        <w:rPr>
          <w:rFonts w:ascii="Times New Roman"/>
          <w:noProof/>
          <w:sz w:val="24"/>
        </w:rPr>
        <w:t>é</w:t>
      </w:r>
      <w:r>
        <w:rPr>
          <w:rFonts w:ascii="Times New Roman"/>
          <w:noProof/>
          <w:sz w:val="24"/>
        </w:rPr>
        <w:t>s. La croissance du PIB plus forte qu</w:t>
      </w:r>
      <w:r>
        <w:rPr>
          <w:rFonts w:ascii="Times New Roman"/>
          <w:noProof/>
          <w:sz w:val="24"/>
        </w:rPr>
        <w:t>’</w:t>
      </w:r>
      <w:r>
        <w:rPr>
          <w:rFonts w:ascii="Times New Roman"/>
          <w:noProof/>
          <w:sz w:val="24"/>
        </w:rPr>
        <w:t>attendu au premier trimestre de 2015 (0,6</w:t>
      </w:r>
      <w:r>
        <w:rPr>
          <w:rFonts w:ascii="Times New Roman"/>
          <w:noProof/>
          <w:sz w:val="24"/>
        </w:rPr>
        <w:t> </w:t>
      </w:r>
      <w:r>
        <w:rPr>
          <w:rFonts w:ascii="Times New Roman"/>
          <w:noProof/>
          <w:sz w:val="24"/>
        </w:rPr>
        <w:t>% contre 0,4</w:t>
      </w:r>
      <w:r>
        <w:rPr>
          <w:rFonts w:ascii="Times New Roman"/>
          <w:noProof/>
          <w:sz w:val="24"/>
        </w:rPr>
        <w:t> </w:t>
      </w:r>
      <w:r>
        <w:rPr>
          <w:rFonts w:ascii="Times New Roman"/>
          <w:noProof/>
          <w:sz w:val="24"/>
        </w:rPr>
        <w:t>% dans les pr</w:t>
      </w:r>
      <w:r>
        <w:rPr>
          <w:rFonts w:ascii="Times New Roman"/>
          <w:noProof/>
          <w:sz w:val="24"/>
        </w:rPr>
        <w:t>é</w:t>
      </w:r>
      <w:r>
        <w:rPr>
          <w:rFonts w:ascii="Times New Roman"/>
          <w:noProof/>
          <w:sz w:val="24"/>
        </w:rPr>
        <w:t xml:space="preserve">visions de printemps de la Commission) donne </w:t>
      </w:r>
      <w:r>
        <w:rPr>
          <w:rFonts w:ascii="Times New Roman"/>
          <w:noProof/>
          <w:sz w:val="24"/>
        </w:rPr>
        <w:t>à</w:t>
      </w:r>
      <w:r>
        <w:rPr>
          <w:rFonts w:ascii="Times New Roman"/>
          <w:noProof/>
          <w:sz w:val="24"/>
        </w:rPr>
        <w:t xml:space="preserve"> penser que l</w:t>
      </w:r>
      <w:r>
        <w:rPr>
          <w:rFonts w:ascii="Times New Roman"/>
          <w:noProof/>
          <w:sz w:val="24"/>
        </w:rPr>
        <w:t>’</w:t>
      </w:r>
      <w:r>
        <w:rPr>
          <w:rFonts w:ascii="Times New Roman"/>
          <w:noProof/>
          <w:sz w:val="24"/>
        </w:rPr>
        <w:t>activit</w:t>
      </w:r>
      <w:r>
        <w:rPr>
          <w:rFonts w:ascii="Times New Roman"/>
          <w:noProof/>
          <w:sz w:val="24"/>
        </w:rPr>
        <w:t>é</w:t>
      </w:r>
      <w:r>
        <w:rPr>
          <w:rFonts w:ascii="Times New Roman"/>
          <w:noProof/>
          <w:sz w:val="24"/>
        </w:rPr>
        <w:t xml:space="preserve"> </w:t>
      </w:r>
      <w:r>
        <w:rPr>
          <w:rFonts w:ascii="Times New Roman"/>
          <w:noProof/>
          <w:sz w:val="24"/>
        </w:rPr>
        <w:t>é</w:t>
      </w:r>
      <w:r>
        <w:rPr>
          <w:rFonts w:ascii="Times New Roman"/>
          <w:noProof/>
          <w:sz w:val="24"/>
        </w:rPr>
        <w:t>conomique se redresse plus vite que pr</w:t>
      </w:r>
      <w:r>
        <w:rPr>
          <w:rFonts w:ascii="Times New Roman"/>
          <w:noProof/>
          <w:sz w:val="24"/>
        </w:rPr>
        <w:t>é</w:t>
      </w:r>
      <w:r>
        <w:rPr>
          <w:rFonts w:ascii="Times New Roman"/>
          <w:noProof/>
          <w:sz w:val="24"/>
        </w:rPr>
        <w:t>vu, tandis que l</w:t>
      </w:r>
      <w:r>
        <w:rPr>
          <w:rFonts w:ascii="Times New Roman"/>
          <w:noProof/>
          <w:sz w:val="24"/>
        </w:rPr>
        <w:t>’é</w:t>
      </w:r>
      <w:r>
        <w:rPr>
          <w:rFonts w:ascii="Times New Roman"/>
          <w:noProof/>
          <w:sz w:val="24"/>
        </w:rPr>
        <w:t>lasticit</w:t>
      </w:r>
      <w:r>
        <w:rPr>
          <w:rFonts w:ascii="Times New Roman"/>
          <w:noProof/>
          <w:sz w:val="24"/>
        </w:rPr>
        <w:t>é</w:t>
      </w:r>
      <w:r>
        <w:rPr>
          <w:rFonts w:ascii="Times New Roman"/>
          <w:noProof/>
          <w:sz w:val="24"/>
        </w:rPr>
        <w:t xml:space="preserve"> des recettes fiscales plus </w:t>
      </w:r>
      <w:r>
        <w:rPr>
          <w:rFonts w:ascii="Times New Roman"/>
          <w:noProof/>
          <w:sz w:val="24"/>
        </w:rPr>
        <w:t>é</w:t>
      </w:r>
      <w:r>
        <w:rPr>
          <w:rFonts w:ascii="Times New Roman"/>
          <w:noProof/>
          <w:sz w:val="24"/>
        </w:rPr>
        <w:t>lev</w:t>
      </w:r>
      <w:r>
        <w:rPr>
          <w:rFonts w:ascii="Times New Roman"/>
          <w:noProof/>
          <w:sz w:val="24"/>
        </w:rPr>
        <w:t>é</w:t>
      </w:r>
      <w:r>
        <w:rPr>
          <w:rFonts w:ascii="Times New Roman"/>
          <w:noProof/>
          <w:sz w:val="24"/>
        </w:rPr>
        <w:t>e que pr</w:t>
      </w:r>
      <w:r>
        <w:rPr>
          <w:rFonts w:ascii="Times New Roman"/>
          <w:noProof/>
          <w:sz w:val="24"/>
        </w:rPr>
        <w:t>é</w:t>
      </w:r>
      <w:r>
        <w:rPr>
          <w:rFonts w:ascii="Times New Roman"/>
          <w:noProof/>
          <w:sz w:val="24"/>
        </w:rPr>
        <w:t>vu pourrait avoir un effet positif sur le d</w:t>
      </w:r>
      <w:r>
        <w:rPr>
          <w:rFonts w:ascii="Times New Roman"/>
          <w:noProof/>
          <w:sz w:val="24"/>
        </w:rPr>
        <w:t>é</w:t>
      </w:r>
      <w:r>
        <w:rPr>
          <w:rFonts w:ascii="Times New Roman"/>
          <w:noProof/>
          <w:sz w:val="24"/>
        </w:rPr>
        <w:t>ficit nominal en 2015 et 2016. En revanche, les finances publiques pourraient se</w:t>
      </w:r>
      <w:r>
        <w:rPr>
          <w:rFonts w:ascii="Times New Roman"/>
          <w:noProof/>
          <w:sz w:val="24"/>
        </w:rPr>
        <w:t xml:space="preserve"> ressentir de l</w:t>
      </w:r>
      <w:r>
        <w:rPr>
          <w:rFonts w:ascii="Times New Roman"/>
          <w:noProof/>
          <w:sz w:val="24"/>
        </w:rPr>
        <w:t>’é</w:t>
      </w:r>
      <w:r>
        <w:rPr>
          <w:rFonts w:ascii="Times New Roman"/>
          <w:noProof/>
          <w:sz w:val="24"/>
        </w:rPr>
        <w:t>volution d</w:t>
      </w:r>
      <w:r>
        <w:rPr>
          <w:rFonts w:ascii="Times New Roman"/>
          <w:noProof/>
          <w:sz w:val="24"/>
        </w:rPr>
        <w:t>é</w:t>
      </w:r>
      <w:r>
        <w:rPr>
          <w:rFonts w:ascii="Times New Roman"/>
          <w:noProof/>
          <w:sz w:val="24"/>
        </w:rPr>
        <w:t>cevante de la situation sur le march</w:t>
      </w:r>
      <w:r>
        <w:rPr>
          <w:rFonts w:ascii="Times New Roman"/>
          <w:noProof/>
          <w:sz w:val="24"/>
        </w:rPr>
        <w:t>é</w:t>
      </w:r>
      <w:r>
        <w:rPr>
          <w:rFonts w:ascii="Times New Roman"/>
          <w:noProof/>
          <w:sz w:val="24"/>
        </w:rPr>
        <w:t xml:space="preserve"> du travail. De la m</w:t>
      </w:r>
      <w:r>
        <w:rPr>
          <w:rFonts w:ascii="Times New Roman"/>
          <w:noProof/>
          <w:sz w:val="24"/>
        </w:rPr>
        <w:t>ê</w:t>
      </w:r>
      <w:r>
        <w:rPr>
          <w:rFonts w:ascii="Times New Roman"/>
          <w:noProof/>
          <w:sz w:val="24"/>
        </w:rPr>
        <w:t>me mani</w:t>
      </w:r>
      <w:r>
        <w:rPr>
          <w:rFonts w:ascii="Times New Roman"/>
          <w:noProof/>
          <w:sz w:val="24"/>
        </w:rPr>
        <w:t>è</w:t>
      </w:r>
      <w:r>
        <w:rPr>
          <w:rFonts w:ascii="Times New Roman"/>
          <w:noProof/>
          <w:sz w:val="24"/>
        </w:rPr>
        <w:t>re, l</w:t>
      </w:r>
      <w:r>
        <w:rPr>
          <w:rFonts w:ascii="Times New Roman"/>
          <w:noProof/>
          <w:sz w:val="24"/>
        </w:rPr>
        <w:t>’</w:t>
      </w:r>
      <w:r>
        <w:rPr>
          <w:rFonts w:ascii="Times New Roman"/>
          <w:noProof/>
          <w:sz w:val="24"/>
        </w:rPr>
        <w:t>augmentation r</w:t>
      </w:r>
      <w:r>
        <w:rPr>
          <w:rFonts w:ascii="Times New Roman"/>
          <w:noProof/>
          <w:sz w:val="24"/>
        </w:rPr>
        <w:t>é</w:t>
      </w:r>
      <w:r>
        <w:rPr>
          <w:rFonts w:ascii="Times New Roman"/>
          <w:noProof/>
          <w:sz w:val="24"/>
        </w:rPr>
        <w:t>cente du rendement des emprunts d</w:t>
      </w:r>
      <w:r>
        <w:rPr>
          <w:rFonts w:ascii="Times New Roman"/>
          <w:noProof/>
          <w:sz w:val="24"/>
        </w:rPr>
        <w:t>’É</w:t>
      </w:r>
      <w:r>
        <w:rPr>
          <w:rFonts w:ascii="Times New Roman"/>
          <w:noProof/>
          <w:sz w:val="24"/>
        </w:rPr>
        <w:t>tat pourrait se traduire par un alourdissement de la charge d</w:t>
      </w:r>
      <w:r>
        <w:rPr>
          <w:rFonts w:ascii="Times New Roman"/>
          <w:noProof/>
          <w:sz w:val="24"/>
        </w:rPr>
        <w:t>’</w:t>
      </w:r>
      <w:r>
        <w:rPr>
          <w:rFonts w:ascii="Times New Roman"/>
          <w:noProof/>
          <w:sz w:val="24"/>
        </w:rPr>
        <w:t>int</w:t>
      </w:r>
      <w:r>
        <w:rPr>
          <w:rFonts w:ascii="Times New Roman"/>
          <w:noProof/>
          <w:sz w:val="24"/>
        </w:rPr>
        <w:t>é</w:t>
      </w:r>
      <w:r>
        <w:rPr>
          <w:rFonts w:ascii="Times New Roman"/>
          <w:noProof/>
          <w:sz w:val="24"/>
        </w:rPr>
        <w:t>r</w:t>
      </w:r>
      <w:r>
        <w:rPr>
          <w:rFonts w:ascii="Times New Roman"/>
          <w:noProof/>
          <w:sz w:val="24"/>
        </w:rPr>
        <w:t>ê</w:t>
      </w:r>
      <w:r>
        <w:rPr>
          <w:rFonts w:ascii="Times New Roman"/>
          <w:noProof/>
          <w:sz w:val="24"/>
        </w:rPr>
        <w:t>ts et rendre ainsi plus difficile la r</w:t>
      </w:r>
      <w:r>
        <w:rPr>
          <w:rFonts w:ascii="Times New Roman"/>
          <w:noProof/>
          <w:sz w:val="24"/>
        </w:rPr>
        <w:t>é</w:t>
      </w:r>
      <w:r>
        <w:rPr>
          <w:rFonts w:ascii="Times New Roman"/>
          <w:noProof/>
          <w:sz w:val="24"/>
        </w:rPr>
        <w:t>alisation des objectifs de r</w:t>
      </w:r>
      <w:r>
        <w:rPr>
          <w:rFonts w:ascii="Times New Roman"/>
          <w:noProof/>
          <w:sz w:val="24"/>
        </w:rPr>
        <w:t>é</w:t>
      </w:r>
      <w:r>
        <w:rPr>
          <w:rFonts w:ascii="Times New Roman"/>
          <w:noProof/>
          <w:sz w:val="24"/>
        </w:rPr>
        <w:t>duction des d</w:t>
      </w:r>
      <w:r>
        <w:rPr>
          <w:rFonts w:ascii="Times New Roman"/>
          <w:noProof/>
          <w:sz w:val="24"/>
        </w:rPr>
        <w:t>é</w:t>
      </w:r>
      <w:r>
        <w:rPr>
          <w:rFonts w:ascii="Times New Roman"/>
          <w:noProof/>
          <w:sz w:val="24"/>
        </w:rPr>
        <w:t>penses.</w:t>
      </w:r>
    </w:p>
    <w:p w:rsidR="001C524E" w:rsidRDefault="00896B22">
      <w:pPr>
        <w:spacing w:after="0" w:line="240" w:lineRule="auto"/>
        <w:rPr>
          <w:rFonts w:ascii="Times New Roman" w:eastAsia="Times New Roman" w:hAnsi="Times New Roman" w:cs="Times New Roman"/>
          <w:b/>
          <w:bCs/>
          <w:smallCaps/>
          <w:noProof/>
          <w:sz w:val="24"/>
          <w:szCs w:val="24"/>
        </w:rPr>
      </w:pPr>
      <w:r>
        <w:rPr>
          <w:noProof/>
        </w:rPr>
        <w:br w:type="page"/>
      </w:r>
    </w:p>
    <w:p w:rsidR="001C524E" w:rsidRDefault="00896B22">
      <w:pPr>
        <w:pStyle w:val="Heading1"/>
        <w:numPr>
          <w:ilvl w:val="0"/>
          <w:numId w:val="2"/>
        </w:numPr>
        <w:rPr>
          <w:noProof/>
        </w:rPr>
      </w:pPr>
      <w:r>
        <w:rPr>
          <w:noProof/>
        </w:rPr>
        <w:t>Évaluation de l’action engagée</w:t>
      </w:r>
    </w:p>
    <w:p w:rsidR="001C524E" w:rsidRDefault="00896B22">
      <w:pPr>
        <w:spacing w:before="120" w:after="120" w:line="240" w:lineRule="auto"/>
        <w:jc w:val="both"/>
        <w:rPr>
          <w:noProof/>
        </w:rPr>
      </w:pPr>
      <w:r>
        <w:rPr>
          <w:rFonts w:ascii="Times New Roman"/>
          <w:noProof/>
          <w:sz w:val="24"/>
        </w:rPr>
        <w:t>Sur la base des informations figurant dans le rapport sur l</w:t>
      </w:r>
      <w:r>
        <w:rPr>
          <w:rFonts w:ascii="Times New Roman"/>
          <w:noProof/>
          <w:sz w:val="24"/>
        </w:rPr>
        <w:t>’</w:t>
      </w:r>
      <w:r>
        <w:rPr>
          <w:rFonts w:ascii="Times New Roman"/>
          <w:noProof/>
          <w:sz w:val="24"/>
        </w:rPr>
        <w:t>action engag</w:t>
      </w:r>
      <w:r>
        <w:rPr>
          <w:rFonts w:ascii="Times New Roman"/>
          <w:noProof/>
          <w:sz w:val="24"/>
        </w:rPr>
        <w:t>é</w:t>
      </w:r>
      <w:r>
        <w:rPr>
          <w:rFonts w:ascii="Times New Roman"/>
          <w:noProof/>
          <w:sz w:val="24"/>
        </w:rPr>
        <w:t>e, les pr</w:t>
      </w:r>
      <w:r>
        <w:rPr>
          <w:rFonts w:ascii="Times New Roman"/>
          <w:noProof/>
          <w:sz w:val="24"/>
        </w:rPr>
        <w:t>é</w:t>
      </w:r>
      <w:r>
        <w:rPr>
          <w:rFonts w:ascii="Times New Roman"/>
          <w:noProof/>
          <w:sz w:val="24"/>
        </w:rPr>
        <w:t>visions de printemps actualis</w:t>
      </w:r>
      <w:r>
        <w:rPr>
          <w:rFonts w:ascii="Times New Roman"/>
          <w:noProof/>
          <w:sz w:val="24"/>
        </w:rPr>
        <w:t>é</w:t>
      </w:r>
      <w:r>
        <w:rPr>
          <w:rFonts w:ascii="Times New Roman"/>
          <w:noProof/>
          <w:sz w:val="24"/>
        </w:rPr>
        <w:t>es de la Commission anticipent un d</w:t>
      </w:r>
      <w:r>
        <w:rPr>
          <w:rFonts w:ascii="Times New Roman"/>
          <w:noProof/>
          <w:sz w:val="24"/>
        </w:rPr>
        <w:t>é</w:t>
      </w:r>
      <w:r>
        <w:rPr>
          <w:rFonts w:ascii="Times New Roman"/>
          <w:noProof/>
          <w:sz w:val="24"/>
        </w:rPr>
        <w:t>ficit nominal de 3,8</w:t>
      </w:r>
      <w:r>
        <w:rPr>
          <w:rFonts w:ascii="Times New Roman"/>
          <w:noProof/>
          <w:sz w:val="24"/>
        </w:rPr>
        <w:t> </w:t>
      </w:r>
      <w:r>
        <w:rPr>
          <w:rFonts w:ascii="Times New Roman"/>
          <w:noProof/>
          <w:sz w:val="24"/>
        </w:rPr>
        <w:t>%</w:t>
      </w:r>
      <w:r>
        <w:rPr>
          <w:rFonts w:ascii="Times New Roman"/>
          <w:noProof/>
          <w:sz w:val="24"/>
        </w:rPr>
        <w:t xml:space="preserve"> du PIB en 2015, ce qui est en de</w:t>
      </w:r>
      <w:r>
        <w:rPr>
          <w:rFonts w:ascii="Times New Roman"/>
          <w:noProof/>
          <w:sz w:val="24"/>
        </w:rPr>
        <w:t>çà</w:t>
      </w:r>
      <w:r>
        <w:rPr>
          <w:rFonts w:ascii="Times New Roman"/>
          <w:noProof/>
          <w:sz w:val="24"/>
        </w:rPr>
        <w:t xml:space="preserve"> de l</w:t>
      </w:r>
      <w:r>
        <w:rPr>
          <w:rFonts w:ascii="Times New Roman"/>
          <w:noProof/>
          <w:sz w:val="24"/>
        </w:rPr>
        <w:t>’</w:t>
      </w:r>
      <w:r>
        <w:rPr>
          <w:rFonts w:ascii="Times New Roman"/>
          <w:noProof/>
          <w:sz w:val="24"/>
        </w:rPr>
        <w:t>objectif fix</w:t>
      </w:r>
      <w:r>
        <w:rPr>
          <w:rFonts w:ascii="Times New Roman"/>
          <w:noProof/>
          <w:sz w:val="24"/>
        </w:rPr>
        <w:t>é</w:t>
      </w:r>
      <w:r>
        <w:rPr>
          <w:rFonts w:ascii="Times New Roman"/>
          <w:noProof/>
          <w:sz w:val="24"/>
        </w:rPr>
        <w:t xml:space="preserve"> par le Conseil pour cette ann</w:t>
      </w:r>
      <w:r>
        <w:rPr>
          <w:rFonts w:ascii="Times New Roman"/>
          <w:noProof/>
          <w:sz w:val="24"/>
        </w:rPr>
        <w:t>é</w:t>
      </w:r>
      <w:r>
        <w:rPr>
          <w:rFonts w:ascii="Times New Roman"/>
          <w:noProof/>
          <w:sz w:val="24"/>
        </w:rPr>
        <w:t>e-l</w:t>
      </w:r>
      <w:r>
        <w:rPr>
          <w:rFonts w:ascii="Times New Roman"/>
          <w:noProof/>
          <w:sz w:val="24"/>
        </w:rPr>
        <w:t>à</w:t>
      </w:r>
      <w:r>
        <w:rPr>
          <w:rFonts w:ascii="Times New Roman"/>
          <w:noProof/>
          <w:sz w:val="24"/>
        </w:rPr>
        <w:t>, et de 3,4</w:t>
      </w:r>
      <w:r>
        <w:rPr>
          <w:rFonts w:ascii="Times New Roman"/>
          <w:noProof/>
          <w:sz w:val="24"/>
        </w:rPr>
        <w:t> </w:t>
      </w:r>
      <w:r>
        <w:rPr>
          <w:rFonts w:ascii="Times New Roman"/>
          <w:noProof/>
          <w:sz w:val="24"/>
        </w:rPr>
        <w:t xml:space="preserve">% en 2016, ce qui correspond </w:t>
      </w:r>
      <w:r>
        <w:rPr>
          <w:rFonts w:ascii="Times New Roman"/>
          <w:noProof/>
          <w:sz w:val="24"/>
        </w:rPr>
        <w:t>à</w:t>
      </w:r>
      <w:r>
        <w:rPr>
          <w:rFonts w:ascii="Times New Roman"/>
          <w:noProof/>
          <w:sz w:val="24"/>
        </w:rPr>
        <w:t xml:space="preserve"> l</w:t>
      </w:r>
      <w:r>
        <w:rPr>
          <w:rFonts w:ascii="Times New Roman"/>
          <w:noProof/>
          <w:sz w:val="24"/>
        </w:rPr>
        <w:t>’</w:t>
      </w:r>
      <w:r>
        <w:rPr>
          <w:rFonts w:ascii="Times New Roman"/>
          <w:noProof/>
          <w:sz w:val="24"/>
        </w:rPr>
        <w:t>objectif fix</w:t>
      </w:r>
      <w:r>
        <w:rPr>
          <w:rFonts w:ascii="Times New Roman"/>
          <w:noProof/>
          <w:sz w:val="24"/>
        </w:rPr>
        <w:t>é</w:t>
      </w:r>
      <w:r>
        <w:rPr>
          <w:rFonts w:ascii="Times New Roman"/>
          <w:noProof/>
          <w:sz w:val="24"/>
        </w:rPr>
        <w:t xml:space="preserve"> par le Conseil. L</w:t>
      </w:r>
      <w:r>
        <w:rPr>
          <w:rFonts w:ascii="Times New Roman"/>
          <w:noProof/>
          <w:sz w:val="24"/>
        </w:rPr>
        <w:t>’</w:t>
      </w:r>
      <w:r>
        <w:rPr>
          <w:rFonts w:ascii="Times New Roman"/>
          <w:noProof/>
          <w:sz w:val="24"/>
        </w:rPr>
        <w:t>am</w:t>
      </w:r>
      <w:r>
        <w:rPr>
          <w:rFonts w:ascii="Times New Roman"/>
          <w:noProof/>
          <w:sz w:val="24"/>
        </w:rPr>
        <w:t>é</w:t>
      </w:r>
      <w:r>
        <w:rPr>
          <w:rFonts w:ascii="Times New Roman"/>
          <w:noProof/>
          <w:sz w:val="24"/>
        </w:rPr>
        <w:t>lioration du solde structurel devrait toutefois rester inf</w:t>
      </w:r>
      <w:r>
        <w:rPr>
          <w:rFonts w:ascii="Times New Roman"/>
          <w:noProof/>
          <w:sz w:val="24"/>
        </w:rPr>
        <w:t>é</w:t>
      </w:r>
      <w:r>
        <w:rPr>
          <w:rFonts w:ascii="Times New Roman"/>
          <w:noProof/>
          <w:sz w:val="24"/>
        </w:rPr>
        <w:t>rieure aux recommandations d</w:t>
      </w:r>
      <w:r>
        <w:rPr>
          <w:rFonts w:ascii="Times New Roman"/>
          <w:noProof/>
          <w:sz w:val="24"/>
        </w:rPr>
        <w:t>u Conseil ces deux ann</w:t>
      </w:r>
      <w:r>
        <w:rPr>
          <w:rFonts w:ascii="Times New Roman"/>
          <w:noProof/>
          <w:sz w:val="24"/>
        </w:rPr>
        <w:t>é</w:t>
      </w:r>
      <w:r>
        <w:rPr>
          <w:rFonts w:ascii="Times New Roman"/>
          <w:noProof/>
          <w:sz w:val="24"/>
        </w:rPr>
        <w:t>es.</w:t>
      </w:r>
    </w:p>
    <w:p w:rsidR="001C524E" w:rsidRDefault="00896B22">
      <w:pPr>
        <w:pBdr>
          <w:top w:val="single" w:sz="4" w:space="1" w:color="auto"/>
          <w:left w:val="single" w:sz="4" w:space="0" w:color="auto"/>
          <w:bottom w:val="single" w:sz="4" w:space="1" w:color="auto"/>
          <w:right w:val="single" w:sz="4" w:space="1" w:color="auto"/>
        </w:pBdr>
        <w:shd w:val="clear" w:color="auto" w:fill="D9D9D9"/>
        <w:spacing w:before="120" w:after="120" w:line="240" w:lineRule="auto"/>
        <w:jc w:val="center"/>
        <w:rPr>
          <w:rFonts w:ascii="Times New Roman" w:hAnsi="Times New Roman" w:cs="Times New Roman"/>
          <w:b/>
          <w:noProof/>
          <w:sz w:val="24"/>
          <w:szCs w:val="24"/>
        </w:rPr>
      </w:pPr>
      <w:r>
        <w:rPr>
          <w:rFonts w:ascii="Times New Roman" w:hAnsi="Times New Roman"/>
          <w:b/>
          <w:noProof/>
          <w:sz w:val="24"/>
        </w:rPr>
        <w:t>Encadré nº 1. Méthode d’évaluation de l’action suivie d’effets</w:t>
      </w:r>
    </w:p>
    <w:p w:rsidR="001C524E" w:rsidRDefault="00896B22">
      <w:pPr>
        <w:pBdr>
          <w:top w:val="single" w:sz="4" w:space="1" w:color="auto"/>
          <w:left w:val="single" w:sz="4" w:space="0" w:color="auto"/>
          <w:bottom w:val="single" w:sz="4" w:space="1" w:color="auto"/>
          <w:right w:val="single" w:sz="4" w:space="1" w:color="auto"/>
        </w:pBdr>
        <w:shd w:val="clear" w:color="auto" w:fill="D9D9D9"/>
        <w:spacing w:before="120" w:after="120" w:line="240" w:lineRule="auto"/>
        <w:jc w:val="both"/>
        <w:rPr>
          <w:rFonts w:ascii="Times New Roman" w:hAnsi="Times New Roman" w:cs="Times New Roman"/>
          <w:noProof/>
          <w:sz w:val="24"/>
          <w:szCs w:val="24"/>
        </w:rPr>
      </w:pPr>
      <w:r>
        <w:rPr>
          <w:rFonts w:ascii="Times New Roman" w:hAnsi="Times New Roman"/>
          <w:noProof/>
          <w:sz w:val="24"/>
        </w:rPr>
        <w:t>En vertu du règlement (CE) nº 1467/97 et du code de conduite</w:t>
      </w:r>
      <w:r>
        <w:rPr>
          <w:rStyle w:val="FootnoteReference"/>
          <w:rFonts w:ascii="Times New Roman" w:hAnsi="Times New Roman"/>
          <w:noProof/>
          <w:sz w:val="24"/>
        </w:rPr>
        <w:footnoteReference w:id="4"/>
      </w:r>
      <w:r>
        <w:rPr>
          <w:rFonts w:ascii="Times New Roman" w:hAnsi="Times New Roman"/>
          <w:noProof/>
          <w:sz w:val="24"/>
        </w:rPr>
        <w:t>, il y a lieu de considérer qu’un État membre a engagé une action suivie d’effets s’il a agi conformément</w:t>
      </w:r>
      <w:r>
        <w:rPr>
          <w:rFonts w:ascii="Times New Roman" w:hAnsi="Times New Roman"/>
          <w:noProof/>
          <w:sz w:val="24"/>
        </w:rPr>
        <w:t xml:space="preserve"> à la recommandation qui lui a été adressée au titre de l’article 126, paragraphe 7, du TFUE. Le code de conduite stipule que l’évaluation de l’action suivie d’effets doit notamment déterminer si l’État membre concerné a atteint ses objectifs budgétaires a</w:t>
      </w:r>
      <w:r>
        <w:rPr>
          <w:rFonts w:ascii="Times New Roman" w:hAnsi="Times New Roman"/>
          <w:noProof/>
          <w:sz w:val="24"/>
        </w:rPr>
        <w:t xml:space="preserve">nnuels et réussi l’amélioration sous-jacente de son solde corrigé des variations conjoncturelles, hors mesures exceptionnelles et autres mesures temporaires, recommandée initialement par le Conseil. </w:t>
      </w:r>
    </w:p>
    <w:p w:rsidR="001C524E" w:rsidRDefault="00896B22">
      <w:pPr>
        <w:pBdr>
          <w:top w:val="single" w:sz="4" w:space="1" w:color="auto"/>
          <w:left w:val="single" w:sz="4" w:space="0" w:color="auto"/>
          <w:bottom w:val="single" w:sz="4" w:space="1" w:color="auto"/>
          <w:right w:val="single" w:sz="4" w:space="1" w:color="auto"/>
        </w:pBdr>
        <w:shd w:val="clear" w:color="auto" w:fill="D9D9D9"/>
        <w:spacing w:before="120" w:after="120" w:line="240" w:lineRule="auto"/>
        <w:jc w:val="both"/>
        <w:rPr>
          <w:rFonts w:ascii="Times New Roman" w:hAnsi="Times New Roman" w:cs="Times New Roman"/>
          <w:noProof/>
          <w:sz w:val="24"/>
          <w:szCs w:val="24"/>
        </w:rPr>
      </w:pPr>
      <w:r>
        <w:rPr>
          <w:rFonts w:ascii="Times New Roman" w:hAnsi="Times New Roman"/>
          <w:noProof/>
          <w:sz w:val="24"/>
        </w:rPr>
        <w:t>Conformément à cette méthode</w:t>
      </w:r>
      <w:r>
        <w:rPr>
          <w:rStyle w:val="FootnoteReference"/>
          <w:rFonts w:ascii="Times New Roman" w:hAnsi="Times New Roman"/>
          <w:noProof/>
          <w:sz w:val="24"/>
        </w:rPr>
        <w:footnoteReference w:id="5"/>
      </w:r>
      <w:r>
        <w:rPr>
          <w:rFonts w:ascii="Times New Roman" w:hAnsi="Times New Roman"/>
          <w:noProof/>
          <w:sz w:val="24"/>
        </w:rPr>
        <w:t>, il convient d’examiner d’</w:t>
      </w:r>
      <w:r>
        <w:rPr>
          <w:rFonts w:ascii="Times New Roman" w:hAnsi="Times New Roman"/>
          <w:noProof/>
          <w:sz w:val="24"/>
        </w:rPr>
        <w:t xml:space="preserve">abord si l’État membre concerné a atteint son objectif de déficit nominal et est parvenu à l’amélioration sous-jacente de son solde structurel exigée dans la recommandation PDE. Si tel est le cas, la procédure est suspendue. </w:t>
      </w:r>
    </w:p>
    <w:p w:rsidR="001C524E" w:rsidRDefault="00896B22">
      <w:pPr>
        <w:pBdr>
          <w:top w:val="single" w:sz="4" w:space="1" w:color="auto"/>
          <w:left w:val="single" w:sz="4" w:space="0" w:color="auto"/>
          <w:bottom w:val="single" w:sz="4" w:space="1" w:color="auto"/>
          <w:right w:val="single" w:sz="4" w:space="1" w:color="auto"/>
        </w:pBdr>
        <w:shd w:val="clear" w:color="auto" w:fill="D9D9D9"/>
        <w:spacing w:before="120" w:after="120" w:line="240" w:lineRule="auto"/>
        <w:jc w:val="both"/>
        <w:rPr>
          <w:rFonts w:ascii="Times New Roman" w:hAnsi="Times New Roman" w:cs="Times New Roman"/>
          <w:noProof/>
          <w:sz w:val="24"/>
          <w:szCs w:val="24"/>
        </w:rPr>
      </w:pPr>
      <w:r>
        <w:rPr>
          <w:rFonts w:ascii="Times New Roman" w:hAnsi="Times New Roman"/>
          <w:noProof/>
          <w:sz w:val="24"/>
        </w:rPr>
        <w:t>Si l’État membre ne réalise pa</w:t>
      </w:r>
      <w:r>
        <w:rPr>
          <w:rFonts w:ascii="Times New Roman" w:hAnsi="Times New Roman"/>
          <w:noProof/>
          <w:sz w:val="24"/>
        </w:rPr>
        <w:t>s, ou risque de ne pas réaliser, son objectif de déficit nominal ou l’amélioration requise de son solde structurel, une analyse approfondie des raisons de cette insuffisance est entreprise. Cette analyse vise à déterminer si l’État membre s'est conformé au</w:t>
      </w:r>
      <w:r>
        <w:rPr>
          <w:rFonts w:ascii="Times New Roman" w:hAnsi="Times New Roman"/>
          <w:noProof/>
          <w:sz w:val="24"/>
        </w:rPr>
        <w:t>x recommandations, en s’appuyant sur deux mesures complémentaires de l’effort budgétaire: i) une approche «descendante» («top-down»), consistant à calculer la variation du solde structurel, corrigée de la révision de la croissance du PIB potentiel, des plu</w:t>
      </w:r>
      <w:r>
        <w:rPr>
          <w:rFonts w:ascii="Times New Roman" w:hAnsi="Times New Roman"/>
          <w:noProof/>
          <w:sz w:val="24"/>
        </w:rPr>
        <w:t>s-values/moins-values fiscales et des événements imprévus; et ii) une approche «ascendante» («bottom-up»), estimant, par comparaison au scénario de référence qui sous-tend la recommandation du Conseil, l’incidence sur les finances publiques des différentes</w:t>
      </w:r>
      <w:r>
        <w:rPr>
          <w:rFonts w:ascii="Times New Roman" w:hAnsi="Times New Roman"/>
          <w:noProof/>
          <w:sz w:val="24"/>
        </w:rPr>
        <w:t xml:space="preserve"> mesures budgétaires discrétionnaires mises en œuvre et de l’évolution des dépenses sous le contrôle du gouvernement. L’analyse approfondie est également complétée par d’autres considérations qualitatives pertinentes permettant à la Commission d’émettre un</w:t>
      </w:r>
      <w:r>
        <w:rPr>
          <w:rFonts w:ascii="Times New Roman" w:hAnsi="Times New Roman"/>
          <w:noProof/>
          <w:sz w:val="24"/>
        </w:rPr>
        <w:t xml:space="preserve"> avis autorisé sur la question de savoir si l’État membre a pris des mesures suffisantes pour se conformer à la recommandation PDE. </w:t>
      </w:r>
    </w:p>
    <w:p w:rsidR="001C524E" w:rsidRDefault="00896B22">
      <w:pPr>
        <w:pBdr>
          <w:top w:val="single" w:sz="4" w:space="1" w:color="auto"/>
          <w:left w:val="single" w:sz="4" w:space="0" w:color="auto"/>
          <w:bottom w:val="single" w:sz="4" w:space="1" w:color="auto"/>
          <w:right w:val="single" w:sz="4" w:space="1" w:color="auto"/>
        </w:pBdr>
        <w:shd w:val="clear" w:color="auto" w:fill="D9D9D9"/>
        <w:spacing w:before="120" w:after="120" w:line="240" w:lineRule="auto"/>
        <w:jc w:val="both"/>
        <w:rPr>
          <w:rFonts w:ascii="Times New Roman" w:hAnsi="Times New Roman" w:cs="Times New Roman"/>
          <w:noProof/>
          <w:sz w:val="24"/>
          <w:szCs w:val="24"/>
        </w:rPr>
      </w:pPr>
      <w:r>
        <w:rPr>
          <w:rFonts w:ascii="Times New Roman" w:hAnsi="Times New Roman"/>
          <w:noProof/>
          <w:sz w:val="24"/>
        </w:rPr>
        <w:t>Si l’analyse approfondie montre que l’État membre concerné a tenu ses engagements, l’évaluation conclura qu’une action suiv</w:t>
      </w:r>
      <w:r>
        <w:rPr>
          <w:rFonts w:ascii="Times New Roman" w:hAnsi="Times New Roman"/>
          <w:noProof/>
          <w:sz w:val="24"/>
        </w:rPr>
        <w:t>ie d’effets a été engagée. En revanche, si elle montre que ces engagements n’ont pas été tenus et que les objectifs de déficit nominal ne seront pas atteints, l’évaluation conclura qu’une action suivie d’effets n’a pas été engagée. Toutefois, s’il apparaît</w:t>
      </w:r>
      <w:r>
        <w:rPr>
          <w:rFonts w:ascii="Times New Roman" w:hAnsi="Times New Roman"/>
          <w:noProof/>
          <w:sz w:val="24"/>
        </w:rPr>
        <w:t xml:space="preserve"> que les objectifs de déficit nominal seront atteints, la procédure est suspendue, quand bien même la recommandation en matière de variation du solde structurel ne serait pas respectée. Une analyse approfondie devra néanmoins être réalisée afin de mieux ce</w:t>
      </w:r>
      <w:r>
        <w:rPr>
          <w:rFonts w:ascii="Times New Roman" w:hAnsi="Times New Roman"/>
          <w:noProof/>
          <w:sz w:val="24"/>
        </w:rPr>
        <w:t>rner la nature des évolutions budgétaires sous-jacentes.</w:t>
      </w:r>
    </w:p>
    <w:p w:rsidR="001C524E" w:rsidRDefault="00896B22">
      <w:pPr>
        <w:spacing w:before="120" w:after="120" w:line="240" w:lineRule="auto"/>
        <w:jc w:val="both"/>
        <w:rPr>
          <w:rFonts w:ascii="Times New Roman" w:eastAsia="Times New Roman" w:hAnsi="Times New Roman" w:cs="Times New Roman"/>
          <w:noProof/>
          <w:sz w:val="24"/>
          <w:szCs w:val="24"/>
        </w:rPr>
      </w:pPr>
      <w:r>
        <w:rPr>
          <w:rFonts w:ascii="Times New Roman"/>
          <w:noProof/>
          <w:sz w:val="24"/>
        </w:rPr>
        <w:t>L</w:t>
      </w:r>
      <w:r>
        <w:rPr>
          <w:rFonts w:ascii="Times New Roman"/>
          <w:noProof/>
          <w:sz w:val="24"/>
        </w:rPr>
        <w:t>’</w:t>
      </w:r>
      <w:r>
        <w:rPr>
          <w:rFonts w:ascii="Times New Roman"/>
          <w:noProof/>
          <w:sz w:val="24"/>
        </w:rPr>
        <w:t>am</w:t>
      </w:r>
      <w:r>
        <w:rPr>
          <w:rFonts w:ascii="Times New Roman"/>
          <w:noProof/>
          <w:sz w:val="24"/>
        </w:rPr>
        <w:t>é</w:t>
      </w:r>
      <w:r>
        <w:rPr>
          <w:rFonts w:ascii="Times New Roman"/>
          <w:noProof/>
          <w:sz w:val="24"/>
        </w:rPr>
        <w:t>lioration du solde structurel, d</w:t>
      </w:r>
      <w:r>
        <w:rPr>
          <w:rFonts w:ascii="Times New Roman"/>
          <w:noProof/>
          <w:sz w:val="24"/>
        </w:rPr>
        <w:t>’</w:t>
      </w:r>
      <w:r>
        <w:rPr>
          <w:rFonts w:ascii="Times New Roman"/>
          <w:noProof/>
          <w:sz w:val="24"/>
        </w:rPr>
        <w:t>apr</w:t>
      </w:r>
      <w:r>
        <w:rPr>
          <w:rFonts w:ascii="Times New Roman"/>
          <w:noProof/>
          <w:sz w:val="24"/>
        </w:rPr>
        <w:t>è</w:t>
      </w:r>
      <w:r>
        <w:rPr>
          <w:rFonts w:ascii="Times New Roman"/>
          <w:noProof/>
          <w:sz w:val="24"/>
        </w:rPr>
        <w:t>s des pr</w:t>
      </w:r>
      <w:r>
        <w:rPr>
          <w:rFonts w:ascii="Times New Roman"/>
          <w:noProof/>
          <w:sz w:val="24"/>
        </w:rPr>
        <w:t>é</w:t>
      </w:r>
      <w:r>
        <w:rPr>
          <w:rFonts w:ascii="Times New Roman"/>
          <w:noProof/>
          <w:sz w:val="24"/>
        </w:rPr>
        <w:t>visions actualis</w:t>
      </w:r>
      <w:r>
        <w:rPr>
          <w:rFonts w:ascii="Times New Roman"/>
          <w:noProof/>
          <w:sz w:val="24"/>
        </w:rPr>
        <w:t>é</w:t>
      </w:r>
      <w:r>
        <w:rPr>
          <w:rFonts w:ascii="Times New Roman"/>
          <w:noProof/>
          <w:sz w:val="24"/>
        </w:rPr>
        <w:t>es de la Commission, est de 0,3</w:t>
      </w:r>
      <w:r>
        <w:rPr>
          <w:rFonts w:ascii="Times New Roman"/>
          <w:noProof/>
          <w:sz w:val="24"/>
        </w:rPr>
        <w:t> </w:t>
      </w:r>
      <w:r>
        <w:rPr>
          <w:rFonts w:ascii="Times New Roman"/>
          <w:noProof/>
          <w:sz w:val="24"/>
        </w:rPr>
        <w:t>% du PIB pour 2015 et de 0,1</w:t>
      </w:r>
      <w:r>
        <w:rPr>
          <w:rFonts w:ascii="Times New Roman"/>
          <w:noProof/>
          <w:sz w:val="24"/>
        </w:rPr>
        <w:t> </w:t>
      </w:r>
      <w:r>
        <w:rPr>
          <w:rFonts w:ascii="Times New Roman"/>
          <w:noProof/>
          <w:sz w:val="24"/>
        </w:rPr>
        <w:t>% pour 2016, ce qui est en de</w:t>
      </w:r>
      <w:r>
        <w:rPr>
          <w:rFonts w:ascii="Times New Roman"/>
          <w:noProof/>
          <w:sz w:val="24"/>
        </w:rPr>
        <w:t>çà</w:t>
      </w:r>
      <w:r>
        <w:rPr>
          <w:rFonts w:ascii="Times New Roman"/>
          <w:noProof/>
          <w:sz w:val="24"/>
        </w:rPr>
        <w:t xml:space="preserve"> de l</w:t>
      </w:r>
      <w:r>
        <w:rPr>
          <w:rFonts w:ascii="Times New Roman"/>
          <w:noProof/>
          <w:sz w:val="24"/>
        </w:rPr>
        <w:t>’</w:t>
      </w:r>
      <w:r>
        <w:rPr>
          <w:rFonts w:ascii="Times New Roman"/>
          <w:noProof/>
          <w:sz w:val="24"/>
        </w:rPr>
        <w:t>effort de 0,5</w:t>
      </w:r>
      <w:r>
        <w:rPr>
          <w:rFonts w:ascii="Times New Roman"/>
          <w:noProof/>
          <w:sz w:val="24"/>
        </w:rPr>
        <w:t> </w:t>
      </w:r>
      <w:r>
        <w:rPr>
          <w:rFonts w:ascii="Times New Roman"/>
          <w:noProof/>
          <w:sz w:val="24"/>
        </w:rPr>
        <w:t>% et de 0,8</w:t>
      </w:r>
      <w:r>
        <w:rPr>
          <w:rFonts w:ascii="Times New Roman"/>
          <w:noProof/>
          <w:sz w:val="24"/>
        </w:rPr>
        <w:t> </w:t>
      </w:r>
      <w:r>
        <w:rPr>
          <w:rFonts w:ascii="Times New Roman"/>
          <w:noProof/>
          <w:sz w:val="24"/>
        </w:rPr>
        <w:t>% du PI</w:t>
      </w:r>
      <w:r>
        <w:rPr>
          <w:rFonts w:ascii="Times New Roman"/>
          <w:noProof/>
          <w:sz w:val="24"/>
        </w:rPr>
        <w:t>B respectivement recommand</w:t>
      </w:r>
      <w:r>
        <w:rPr>
          <w:rFonts w:ascii="Times New Roman"/>
          <w:noProof/>
          <w:sz w:val="24"/>
        </w:rPr>
        <w:t>é</w:t>
      </w:r>
      <w:r>
        <w:rPr>
          <w:rFonts w:ascii="Times New Roman"/>
          <w:noProof/>
          <w:sz w:val="24"/>
        </w:rPr>
        <w:t xml:space="preserve"> par le Conseil pour ces deux ann</w:t>
      </w:r>
      <w:r>
        <w:rPr>
          <w:rFonts w:ascii="Times New Roman"/>
          <w:noProof/>
          <w:sz w:val="24"/>
        </w:rPr>
        <w:t>é</w:t>
      </w:r>
      <w:r>
        <w:rPr>
          <w:rFonts w:ascii="Times New Roman"/>
          <w:noProof/>
          <w:sz w:val="24"/>
        </w:rPr>
        <w:t xml:space="preserve">es. Pour 2015, elle devrait </w:t>
      </w:r>
      <w:r>
        <w:rPr>
          <w:rFonts w:ascii="Times New Roman"/>
          <w:noProof/>
          <w:sz w:val="24"/>
        </w:rPr>
        <w:t>ê</w:t>
      </w:r>
      <w:r>
        <w:rPr>
          <w:rFonts w:ascii="Times New Roman"/>
          <w:noProof/>
          <w:sz w:val="24"/>
        </w:rPr>
        <w:t>tre de 0,3</w:t>
      </w:r>
      <w:r>
        <w:rPr>
          <w:rFonts w:ascii="Times New Roman"/>
          <w:noProof/>
          <w:sz w:val="24"/>
        </w:rPr>
        <w:t> </w:t>
      </w:r>
      <w:r>
        <w:rPr>
          <w:rFonts w:ascii="Times New Roman"/>
          <w:noProof/>
          <w:sz w:val="24"/>
        </w:rPr>
        <w:t>% du PIB, comme annonc</w:t>
      </w:r>
      <w:r>
        <w:rPr>
          <w:rFonts w:ascii="Times New Roman"/>
          <w:noProof/>
          <w:sz w:val="24"/>
        </w:rPr>
        <w:t>é</w:t>
      </w:r>
      <w:r>
        <w:rPr>
          <w:rFonts w:ascii="Times New Roman"/>
          <w:noProof/>
          <w:sz w:val="24"/>
        </w:rPr>
        <w:t xml:space="preserve"> dans les pr</w:t>
      </w:r>
      <w:r>
        <w:rPr>
          <w:rFonts w:ascii="Times New Roman"/>
          <w:noProof/>
          <w:sz w:val="24"/>
        </w:rPr>
        <w:t>é</w:t>
      </w:r>
      <w:r>
        <w:rPr>
          <w:rFonts w:ascii="Times New Roman"/>
          <w:noProof/>
          <w:sz w:val="24"/>
        </w:rPr>
        <w:t xml:space="preserve">visions de printemps, et correspond </w:t>
      </w:r>
      <w:r>
        <w:rPr>
          <w:rFonts w:ascii="Times New Roman"/>
          <w:noProof/>
          <w:sz w:val="24"/>
        </w:rPr>
        <w:t>à</w:t>
      </w:r>
      <w:r>
        <w:rPr>
          <w:rFonts w:ascii="Times New Roman"/>
          <w:noProof/>
          <w:sz w:val="24"/>
        </w:rPr>
        <w:t xml:space="preserve"> ce qui avait </w:t>
      </w:r>
      <w:r>
        <w:rPr>
          <w:rFonts w:ascii="Times New Roman"/>
          <w:noProof/>
          <w:sz w:val="24"/>
        </w:rPr>
        <w:t>é</w:t>
      </w:r>
      <w:r>
        <w:rPr>
          <w:rFonts w:ascii="Times New Roman"/>
          <w:noProof/>
          <w:sz w:val="24"/>
        </w:rPr>
        <w:t>t</w:t>
      </w:r>
      <w:r>
        <w:rPr>
          <w:rFonts w:ascii="Times New Roman"/>
          <w:noProof/>
          <w:sz w:val="24"/>
        </w:rPr>
        <w:t>é</w:t>
      </w:r>
      <w:r>
        <w:rPr>
          <w:rFonts w:ascii="Times New Roman"/>
          <w:noProof/>
          <w:sz w:val="24"/>
        </w:rPr>
        <w:t xml:space="preserve"> estim</w:t>
      </w:r>
      <w:r>
        <w:rPr>
          <w:rFonts w:ascii="Times New Roman"/>
          <w:noProof/>
          <w:sz w:val="24"/>
        </w:rPr>
        <w:t>é</w:t>
      </w:r>
      <w:r>
        <w:rPr>
          <w:rFonts w:ascii="Times New Roman"/>
          <w:noProof/>
          <w:sz w:val="24"/>
        </w:rPr>
        <w:t xml:space="preserve"> au moment de l</w:t>
      </w:r>
      <w:r>
        <w:rPr>
          <w:rFonts w:ascii="Times New Roman"/>
          <w:noProof/>
          <w:sz w:val="24"/>
        </w:rPr>
        <w:t>’</w:t>
      </w:r>
      <w:r>
        <w:rPr>
          <w:rFonts w:ascii="Times New Roman"/>
          <w:noProof/>
          <w:sz w:val="24"/>
        </w:rPr>
        <w:t xml:space="preserve">adoption de la recommandation du Conseil. </w:t>
      </w:r>
      <w:r>
        <w:rPr>
          <w:rFonts w:ascii="Times New Roman"/>
          <w:noProof/>
          <w:sz w:val="24"/>
        </w:rPr>
        <w:t>Plus pr</w:t>
      </w:r>
      <w:r>
        <w:rPr>
          <w:rFonts w:ascii="Times New Roman"/>
          <w:noProof/>
          <w:sz w:val="24"/>
        </w:rPr>
        <w:t>é</w:t>
      </w:r>
      <w:r>
        <w:rPr>
          <w:rFonts w:ascii="Times New Roman"/>
          <w:noProof/>
          <w:sz w:val="24"/>
        </w:rPr>
        <w:t>cis</w:t>
      </w:r>
      <w:r>
        <w:rPr>
          <w:rFonts w:ascii="Times New Roman"/>
          <w:noProof/>
          <w:sz w:val="24"/>
        </w:rPr>
        <w:t>é</w:t>
      </w:r>
      <w:r>
        <w:rPr>
          <w:rFonts w:ascii="Times New Roman"/>
          <w:noProof/>
          <w:sz w:val="24"/>
        </w:rPr>
        <w:t>ment, le train de mesures suppl</w:t>
      </w:r>
      <w:r>
        <w:rPr>
          <w:rFonts w:ascii="Times New Roman"/>
          <w:noProof/>
          <w:sz w:val="24"/>
        </w:rPr>
        <w:t>é</w:t>
      </w:r>
      <w:r>
        <w:rPr>
          <w:rFonts w:ascii="Times New Roman"/>
          <w:noProof/>
          <w:sz w:val="24"/>
        </w:rPr>
        <w:t>mentaire de 4 milliards d</w:t>
      </w:r>
      <w:r>
        <w:rPr>
          <w:rFonts w:ascii="Times New Roman"/>
          <w:noProof/>
          <w:sz w:val="24"/>
        </w:rPr>
        <w:t>’</w:t>
      </w:r>
      <w:r>
        <w:rPr>
          <w:rFonts w:ascii="Times New Roman"/>
          <w:noProof/>
          <w:sz w:val="24"/>
        </w:rPr>
        <w:t>EUR annonc</w:t>
      </w:r>
      <w:r>
        <w:rPr>
          <w:rFonts w:ascii="Times New Roman"/>
          <w:noProof/>
          <w:sz w:val="24"/>
        </w:rPr>
        <w:t>é</w:t>
      </w:r>
      <w:r>
        <w:rPr>
          <w:rFonts w:ascii="Times New Roman"/>
          <w:noProof/>
          <w:sz w:val="24"/>
        </w:rPr>
        <w:t xml:space="preserve"> dans le programme de stabilit</w:t>
      </w:r>
      <w:r>
        <w:rPr>
          <w:rFonts w:ascii="Times New Roman"/>
          <w:noProof/>
          <w:sz w:val="24"/>
        </w:rPr>
        <w:t>é</w:t>
      </w:r>
      <w:r>
        <w:rPr>
          <w:rFonts w:ascii="Times New Roman"/>
          <w:noProof/>
          <w:sz w:val="24"/>
        </w:rPr>
        <w:t xml:space="preserve"> devrait accro</w:t>
      </w:r>
      <w:r>
        <w:rPr>
          <w:rFonts w:ascii="Times New Roman"/>
          <w:noProof/>
          <w:sz w:val="24"/>
        </w:rPr>
        <w:t>î</w:t>
      </w:r>
      <w:r>
        <w:rPr>
          <w:rFonts w:ascii="Times New Roman"/>
          <w:noProof/>
          <w:sz w:val="24"/>
        </w:rPr>
        <w:t>tre l</w:t>
      </w:r>
      <w:r>
        <w:rPr>
          <w:rFonts w:ascii="Times New Roman"/>
          <w:noProof/>
          <w:sz w:val="24"/>
        </w:rPr>
        <w:t>’</w:t>
      </w:r>
      <w:r>
        <w:rPr>
          <w:rFonts w:ascii="Times New Roman"/>
          <w:noProof/>
          <w:sz w:val="24"/>
        </w:rPr>
        <w:t>effort structurel de 2,8</w:t>
      </w:r>
      <w:r>
        <w:rPr>
          <w:rFonts w:ascii="Times New Roman"/>
          <w:noProof/>
          <w:sz w:val="24"/>
        </w:rPr>
        <w:t> </w:t>
      </w:r>
      <w:r>
        <w:rPr>
          <w:rFonts w:ascii="Times New Roman"/>
          <w:noProof/>
          <w:sz w:val="24"/>
        </w:rPr>
        <w:t>milliards d</w:t>
      </w:r>
      <w:r>
        <w:rPr>
          <w:rFonts w:ascii="Times New Roman"/>
          <w:noProof/>
          <w:sz w:val="24"/>
        </w:rPr>
        <w:t>’</w:t>
      </w:r>
      <w:r>
        <w:rPr>
          <w:rFonts w:ascii="Times New Roman"/>
          <w:noProof/>
          <w:sz w:val="24"/>
        </w:rPr>
        <w:t>EUR (0,1</w:t>
      </w:r>
      <w:r>
        <w:rPr>
          <w:rFonts w:ascii="Times New Roman"/>
          <w:noProof/>
          <w:sz w:val="24"/>
        </w:rPr>
        <w:t> </w:t>
      </w:r>
      <w:r>
        <w:rPr>
          <w:rFonts w:ascii="Times New Roman"/>
          <w:noProof/>
          <w:sz w:val="24"/>
        </w:rPr>
        <w:t>% du PIB), mais cette augmentation est compens</w:t>
      </w:r>
      <w:r>
        <w:rPr>
          <w:rFonts w:ascii="Times New Roman"/>
          <w:noProof/>
          <w:sz w:val="24"/>
        </w:rPr>
        <w:t>é</w:t>
      </w:r>
      <w:r>
        <w:rPr>
          <w:rFonts w:ascii="Times New Roman"/>
          <w:noProof/>
          <w:sz w:val="24"/>
        </w:rPr>
        <w:t>e par une r</w:t>
      </w:r>
      <w:r>
        <w:rPr>
          <w:rFonts w:ascii="Times New Roman"/>
          <w:noProof/>
          <w:sz w:val="24"/>
        </w:rPr>
        <w:t>é</w:t>
      </w:r>
      <w:r>
        <w:rPr>
          <w:rFonts w:ascii="Times New Roman"/>
          <w:noProof/>
          <w:sz w:val="24"/>
        </w:rPr>
        <w:t xml:space="preserve">vision </w:t>
      </w:r>
      <w:r>
        <w:rPr>
          <w:rFonts w:ascii="Times New Roman"/>
          <w:noProof/>
          <w:sz w:val="24"/>
        </w:rPr>
        <w:t>à</w:t>
      </w:r>
      <w:r>
        <w:rPr>
          <w:rFonts w:ascii="Times New Roman"/>
          <w:noProof/>
          <w:sz w:val="24"/>
        </w:rPr>
        <w:t xml:space="preserve"> la baisse</w:t>
      </w:r>
      <w:r>
        <w:rPr>
          <w:rFonts w:ascii="Times New Roman"/>
          <w:noProof/>
          <w:sz w:val="24"/>
        </w:rPr>
        <w:t xml:space="preserve"> de l</w:t>
      </w:r>
      <w:r>
        <w:rPr>
          <w:rFonts w:ascii="Times New Roman"/>
          <w:noProof/>
          <w:sz w:val="24"/>
        </w:rPr>
        <w:t>’é</w:t>
      </w:r>
      <w:r>
        <w:rPr>
          <w:rFonts w:ascii="Times New Roman"/>
          <w:noProof/>
          <w:sz w:val="24"/>
        </w:rPr>
        <w:t>lasticit</w:t>
      </w:r>
      <w:r>
        <w:rPr>
          <w:rFonts w:ascii="Times New Roman"/>
          <w:noProof/>
          <w:sz w:val="24"/>
        </w:rPr>
        <w:t>é</w:t>
      </w:r>
      <w:r>
        <w:rPr>
          <w:rFonts w:ascii="Times New Roman"/>
          <w:noProof/>
          <w:sz w:val="24"/>
        </w:rPr>
        <w:t xml:space="preserve"> des recettes fiscales. Pour 2016, l</w:t>
      </w:r>
      <w:r>
        <w:rPr>
          <w:rFonts w:ascii="Times New Roman"/>
          <w:noProof/>
          <w:sz w:val="24"/>
        </w:rPr>
        <w:t>’</w:t>
      </w:r>
      <w:r>
        <w:rPr>
          <w:rFonts w:ascii="Times New Roman"/>
          <w:noProof/>
          <w:sz w:val="24"/>
        </w:rPr>
        <w:t>am</w:t>
      </w:r>
      <w:r>
        <w:rPr>
          <w:rFonts w:ascii="Times New Roman"/>
          <w:noProof/>
          <w:sz w:val="24"/>
        </w:rPr>
        <w:t>é</w:t>
      </w:r>
      <w:r>
        <w:rPr>
          <w:rFonts w:ascii="Times New Roman"/>
          <w:noProof/>
          <w:sz w:val="24"/>
        </w:rPr>
        <w:t xml:space="preserve">lioration du solde structurel </w:t>
      </w:r>
      <w:r>
        <w:rPr>
          <w:rFonts w:ascii="Times New Roman"/>
          <w:noProof/>
          <w:sz w:val="24"/>
        </w:rPr>
        <w:t>é</w:t>
      </w:r>
      <w:r>
        <w:rPr>
          <w:rFonts w:ascii="Times New Roman"/>
          <w:noProof/>
          <w:sz w:val="24"/>
        </w:rPr>
        <w:t>tait estim</w:t>
      </w:r>
      <w:r>
        <w:rPr>
          <w:rFonts w:ascii="Times New Roman"/>
          <w:noProof/>
          <w:sz w:val="24"/>
        </w:rPr>
        <w:t>é</w:t>
      </w:r>
      <w:r>
        <w:rPr>
          <w:rFonts w:ascii="Times New Roman"/>
          <w:noProof/>
          <w:sz w:val="24"/>
        </w:rPr>
        <w:t xml:space="preserve">e </w:t>
      </w:r>
      <w:r>
        <w:rPr>
          <w:rFonts w:ascii="Times New Roman"/>
          <w:noProof/>
          <w:sz w:val="24"/>
        </w:rPr>
        <w:t>à</w:t>
      </w:r>
      <w:r>
        <w:rPr>
          <w:rFonts w:ascii="Times New Roman"/>
          <w:noProof/>
          <w:sz w:val="24"/>
        </w:rPr>
        <w:t xml:space="preserve"> 0,0</w:t>
      </w:r>
      <w:r>
        <w:rPr>
          <w:rFonts w:ascii="Times New Roman"/>
          <w:noProof/>
          <w:sz w:val="24"/>
        </w:rPr>
        <w:t> </w:t>
      </w:r>
      <w:r>
        <w:rPr>
          <w:rFonts w:ascii="Times New Roman"/>
          <w:noProof/>
          <w:sz w:val="24"/>
        </w:rPr>
        <w:t>% du PIB dans les pr</w:t>
      </w:r>
      <w:r>
        <w:rPr>
          <w:rFonts w:ascii="Times New Roman"/>
          <w:noProof/>
          <w:sz w:val="24"/>
        </w:rPr>
        <w:t>é</w:t>
      </w:r>
      <w:r>
        <w:rPr>
          <w:rFonts w:ascii="Times New Roman"/>
          <w:noProof/>
          <w:sz w:val="24"/>
        </w:rPr>
        <w:t xml:space="preserve">visions de printemps et </w:t>
      </w:r>
      <w:r>
        <w:rPr>
          <w:rFonts w:ascii="Times New Roman"/>
          <w:noProof/>
          <w:sz w:val="24"/>
        </w:rPr>
        <w:t>à</w:t>
      </w:r>
      <w:r>
        <w:rPr>
          <w:rFonts w:ascii="Times New Roman"/>
          <w:noProof/>
          <w:sz w:val="24"/>
        </w:rPr>
        <w:t xml:space="preserve"> -0,4</w:t>
      </w:r>
      <w:r>
        <w:rPr>
          <w:rFonts w:ascii="Times New Roman"/>
          <w:noProof/>
          <w:sz w:val="24"/>
        </w:rPr>
        <w:t> </w:t>
      </w:r>
      <w:r>
        <w:rPr>
          <w:rFonts w:ascii="Times New Roman"/>
          <w:noProof/>
          <w:sz w:val="24"/>
        </w:rPr>
        <w:t>% du PIB dans le sc</w:t>
      </w:r>
      <w:r>
        <w:rPr>
          <w:rFonts w:ascii="Times New Roman"/>
          <w:noProof/>
          <w:sz w:val="24"/>
        </w:rPr>
        <w:t>é</w:t>
      </w:r>
      <w:r>
        <w:rPr>
          <w:rFonts w:ascii="Times New Roman"/>
          <w:noProof/>
          <w:sz w:val="24"/>
        </w:rPr>
        <w:t>nario de r</w:t>
      </w:r>
      <w:r>
        <w:rPr>
          <w:rFonts w:ascii="Times New Roman"/>
          <w:noProof/>
          <w:sz w:val="24"/>
        </w:rPr>
        <w:t>é</w:t>
      </w:r>
      <w:r>
        <w:rPr>
          <w:rFonts w:ascii="Times New Roman"/>
          <w:noProof/>
          <w:sz w:val="24"/>
        </w:rPr>
        <w:t>f</w:t>
      </w:r>
      <w:r>
        <w:rPr>
          <w:rFonts w:ascii="Times New Roman"/>
          <w:noProof/>
          <w:sz w:val="24"/>
        </w:rPr>
        <w:t>é</w:t>
      </w:r>
      <w:r>
        <w:rPr>
          <w:rFonts w:ascii="Times New Roman"/>
          <w:noProof/>
          <w:sz w:val="24"/>
        </w:rPr>
        <w:t>rence de la PDE. Compte tenu de la nouvelle r</w:t>
      </w:r>
      <w:r>
        <w:rPr>
          <w:rFonts w:ascii="Times New Roman"/>
          <w:noProof/>
          <w:sz w:val="24"/>
        </w:rPr>
        <w:t>é</w:t>
      </w:r>
      <w:r>
        <w:rPr>
          <w:rFonts w:ascii="Times New Roman"/>
          <w:noProof/>
          <w:sz w:val="24"/>
        </w:rPr>
        <w:t>duction des d</w:t>
      </w:r>
      <w:r>
        <w:rPr>
          <w:rFonts w:ascii="Times New Roman"/>
          <w:noProof/>
          <w:sz w:val="24"/>
        </w:rPr>
        <w:t>é</w:t>
      </w:r>
      <w:r>
        <w:rPr>
          <w:rFonts w:ascii="Times New Roman"/>
          <w:noProof/>
          <w:sz w:val="24"/>
        </w:rPr>
        <w:t>pense</w:t>
      </w:r>
      <w:r>
        <w:rPr>
          <w:rFonts w:ascii="Times New Roman"/>
          <w:noProof/>
          <w:sz w:val="24"/>
        </w:rPr>
        <w:t>s d</w:t>
      </w:r>
      <w:r>
        <w:rPr>
          <w:rFonts w:ascii="Times New Roman"/>
          <w:noProof/>
          <w:sz w:val="24"/>
        </w:rPr>
        <w:t>é</w:t>
      </w:r>
      <w:r>
        <w:rPr>
          <w:rFonts w:ascii="Times New Roman"/>
          <w:noProof/>
          <w:sz w:val="24"/>
        </w:rPr>
        <w:t>taill</w:t>
      </w:r>
      <w:r>
        <w:rPr>
          <w:rFonts w:ascii="Times New Roman"/>
          <w:noProof/>
          <w:sz w:val="24"/>
        </w:rPr>
        <w:t>é</w:t>
      </w:r>
      <w:r>
        <w:rPr>
          <w:rFonts w:ascii="Times New Roman"/>
          <w:noProof/>
          <w:sz w:val="24"/>
        </w:rPr>
        <w:t>e dans le rapport sur l</w:t>
      </w:r>
      <w:r>
        <w:rPr>
          <w:rFonts w:ascii="Times New Roman"/>
          <w:noProof/>
          <w:sz w:val="24"/>
        </w:rPr>
        <w:t>’</w:t>
      </w:r>
      <w:r>
        <w:rPr>
          <w:rFonts w:ascii="Times New Roman"/>
          <w:noProof/>
          <w:sz w:val="24"/>
        </w:rPr>
        <w:t>action engag</w:t>
      </w:r>
      <w:r>
        <w:rPr>
          <w:rFonts w:ascii="Times New Roman"/>
          <w:noProof/>
          <w:sz w:val="24"/>
        </w:rPr>
        <w:t>é</w:t>
      </w:r>
      <w:r>
        <w:rPr>
          <w:rFonts w:ascii="Times New Roman"/>
          <w:noProof/>
          <w:sz w:val="24"/>
        </w:rPr>
        <w:t>e, les projections tablent d</w:t>
      </w:r>
      <w:r>
        <w:rPr>
          <w:rFonts w:ascii="Times New Roman"/>
          <w:noProof/>
          <w:sz w:val="24"/>
        </w:rPr>
        <w:t>é</w:t>
      </w:r>
      <w:r>
        <w:rPr>
          <w:rFonts w:ascii="Times New Roman"/>
          <w:noProof/>
          <w:sz w:val="24"/>
        </w:rPr>
        <w:t>sormais sur une am</w:t>
      </w:r>
      <w:r>
        <w:rPr>
          <w:rFonts w:ascii="Times New Roman"/>
          <w:noProof/>
          <w:sz w:val="24"/>
        </w:rPr>
        <w:t>é</w:t>
      </w:r>
      <w:r>
        <w:rPr>
          <w:rFonts w:ascii="Times New Roman"/>
          <w:noProof/>
          <w:sz w:val="24"/>
        </w:rPr>
        <w:t>lioration du solde structurel de 0,1</w:t>
      </w:r>
      <w:r>
        <w:rPr>
          <w:rFonts w:ascii="Times New Roman"/>
          <w:noProof/>
          <w:sz w:val="24"/>
        </w:rPr>
        <w:t> </w:t>
      </w:r>
      <w:r>
        <w:rPr>
          <w:rFonts w:ascii="Times New Roman"/>
          <w:noProof/>
          <w:sz w:val="24"/>
        </w:rPr>
        <w:t>% du PIB, ce qui reste nettement inf</w:t>
      </w:r>
      <w:r>
        <w:rPr>
          <w:rFonts w:ascii="Times New Roman"/>
          <w:noProof/>
          <w:sz w:val="24"/>
        </w:rPr>
        <w:t>é</w:t>
      </w:r>
      <w:r>
        <w:rPr>
          <w:rFonts w:ascii="Times New Roman"/>
          <w:noProof/>
          <w:sz w:val="24"/>
        </w:rPr>
        <w:t xml:space="preserve">rieur </w:t>
      </w:r>
      <w:r>
        <w:rPr>
          <w:rFonts w:ascii="Times New Roman"/>
          <w:noProof/>
          <w:sz w:val="24"/>
        </w:rPr>
        <w:t>à</w:t>
      </w:r>
      <w:r>
        <w:rPr>
          <w:rFonts w:ascii="Times New Roman"/>
          <w:noProof/>
          <w:sz w:val="24"/>
        </w:rPr>
        <w:t xml:space="preserve"> l</w:t>
      </w:r>
      <w:r>
        <w:rPr>
          <w:rFonts w:ascii="Times New Roman"/>
          <w:noProof/>
          <w:sz w:val="24"/>
        </w:rPr>
        <w:t>’</w:t>
      </w:r>
      <w:r>
        <w:rPr>
          <w:rFonts w:ascii="Times New Roman"/>
          <w:noProof/>
          <w:sz w:val="24"/>
        </w:rPr>
        <w:t>am</w:t>
      </w:r>
      <w:r>
        <w:rPr>
          <w:rFonts w:ascii="Times New Roman"/>
          <w:noProof/>
          <w:sz w:val="24"/>
        </w:rPr>
        <w:t>é</w:t>
      </w:r>
      <w:r>
        <w:rPr>
          <w:rFonts w:ascii="Times New Roman"/>
          <w:noProof/>
          <w:sz w:val="24"/>
        </w:rPr>
        <w:t>lioration de 0,8</w:t>
      </w:r>
      <w:r>
        <w:rPr>
          <w:rFonts w:ascii="Times New Roman"/>
          <w:noProof/>
          <w:sz w:val="24"/>
        </w:rPr>
        <w:t> </w:t>
      </w:r>
      <w:r>
        <w:rPr>
          <w:rFonts w:ascii="Times New Roman"/>
          <w:noProof/>
          <w:sz w:val="24"/>
        </w:rPr>
        <w:t>% du PIB recommand</w:t>
      </w:r>
      <w:r>
        <w:rPr>
          <w:rFonts w:ascii="Times New Roman"/>
          <w:noProof/>
          <w:sz w:val="24"/>
        </w:rPr>
        <w:t>é</w:t>
      </w:r>
      <w:r>
        <w:rPr>
          <w:rFonts w:ascii="Times New Roman"/>
          <w:noProof/>
          <w:sz w:val="24"/>
        </w:rPr>
        <w:t xml:space="preserve">e par le Conseil. </w:t>
      </w:r>
    </w:p>
    <w:p w:rsidR="001C524E" w:rsidRDefault="00896B22">
      <w:pPr>
        <w:tabs>
          <w:tab w:val="left" w:pos="360"/>
        </w:tabs>
        <w:spacing w:before="120" w:after="120" w:line="240" w:lineRule="auto"/>
        <w:jc w:val="both"/>
        <w:rPr>
          <w:rFonts w:ascii="Times New Roman" w:eastAsia="Times New Roman" w:hAnsi="Times New Roman" w:cs="Times New Roman"/>
          <w:noProof/>
          <w:sz w:val="24"/>
          <w:szCs w:val="24"/>
        </w:rPr>
      </w:pPr>
      <w:r>
        <w:rPr>
          <w:rFonts w:ascii="Times New Roman"/>
          <w:noProof/>
          <w:sz w:val="24"/>
        </w:rPr>
        <w:t>En vertu de la m</w:t>
      </w:r>
      <w:r>
        <w:rPr>
          <w:rFonts w:ascii="Times New Roman"/>
          <w:noProof/>
          <w:sz w:val="24"/>
        </w:rPr>
        <w:t>é</w:t>
      </w:r>
      <w:r>
        <w:rPr>
          <w:rFonts w:ascii="Times New Roman"/>
          <w:noProof/>
          <w:sz w:val="24"/>
        </w:rPr>
        <w:t>thode d</w:t>
      </w:r>
      <w:r>
        <w:rPr>
          <w:rFonts w:ascii="Times New Roman"/>
          <w:noProof/>
          <w:sz w:val="24"/>
        </w:rPr>
        <w:t>’é</w:t>
      </w:r>
      <w:r>
        <w:rPr>
          <w:rFonts w:ascii="Times New Roman"/>
          <w:noProof/>
          <w:sz w:val="24"/>
        </w:rPr>
        <w:t>valuation de l</w:t>
      </w:r>
      <w:r>
        <w:rPr>
          <w:rFonts w:ascii="Times New Roman"/>
          <w:noProof/>
          <w:sz w:val="24"/>
        </w:rPr>
        <w:t>’</w:t>
      </w:r>
      <w:r>
        <w:rPr>
          <w:rFonts w:ascii="Times New Roman"/>
          <w:noProof/>
          <w:sz w:val="24"/>
        </w:rPr>
        <w:t>action suivie d</w:t>
      </w:r>
      <w:r>
        <w:rPr>
          <w:rFonts w:ascii="Times New Roman"/>
          <w:noProof/>
          <w:sz w:val="24"/>
        </w:rPr>
        <w:t>’</w:t>
      </w:r>
      <w:r>
        <w:rPr>
          <w:rFonts w:ascii="Times New Roman"/>
          <w:noProof/>
          <w:sz w:val="24"/>
        </w:rPr>
        <w:t>effets (voir l</w:t>
      </w:r>
      <w:r>
        <w:rPr>
          <w:rFonts w:ascii="Times New Roman"/>
          <w:noProof/>
          <w:sz w:val="24"/>
        </w:rPr>
        <w:t>’</w:t>
      </w:r>
      <w:r>
        <w:rPr>
          <w:rFonts w:ascii="Times New Roman"/>
          <w:noProof/>
          <w:sz w:val="24"/>
        </w:rPr>
        <w:t>encadr</w:t>
      </w:r>
      <w:r>
        <w:rPr>
          <w:rFonts w:ascii="Times New Roman"/>
          <w:noProof/>
          <w:sz w:val="24"/>
        </w:rPr>
        <w:t>é</w:t>
      </w:r>
      <w:r>
        <w:rPr>
          <w:rFonts w:ascii="Times New Roman"/>
          <w:noProof/>
          <w:sz w:val="24"/>
        </w:rPr>
        <w:t xml:space="preserve"> n</w:t>
      </w:r>
      <w:r>
        <w:rPr>
          <w:rFonts w:ascii="Times New Roman"/>
          <w:noProof/>
          <w:sz w:val="24"/>
        </w:rPr>
        <w:t>º </w:t>
      </w:r>
      <w:r>
        <w:rPr>
          <w:rFonts w:ascii="Times New Roman"/>
          <w:noProof/>
          <w:sz w:val="24"/>
        </w:rPr>
        <w:t>1), cette situation appelle une analyse approfondie de l</w:t>
      </w:r>
      <w:r>
        <w:rPr>
          <w:rFonts w:ascii="Times New Roman"/>
          <w:noProof/>
          <w:sz w:val="24"/>
        </w:rPr>
        <w:t>’</w:t>
      </w:r>
      <w:r>
        <w:rPr>
          <w:rFonts w:ascii="Times New Roman"/>
          <w:noProof/>
          <w:sz w:val="24"/>
        </w:rPr>
        <w:t>effort budg</w:t>
      </w:r>
      <w:r>
        <w:rPr>
          <w:rFonts w:ascii="Times New Roman"/>
          <w:noProof/>
          <w:sz w:val="24"/>
        </w:rPr>
        <w:t>é</w:t>
      </w:r>
      <w:r>
        <w:rPr>
          <w:rFonts w:ascii="Times New Roman"/>
          <w:noProof/>
          <w:sz w:val="24"/>
        </w:rPr>
        <w:t>taire fond</w:t>
      </w:r>
      <w:r>
        <w:rPr>
          <w:rFonts w:ascii="Times New Roman"/>
          <w:noProof/>
          <w:sz w:val="24"/>
        </w:rPr>
        <w:t>é</w:t>
      </w:r>
      <w:r>
        <w:rPr>
          <w:rFonts w:ascii="Times New Roman"/>
          <w:noProof/>
          <w:sz w:val="24"/>
        </w:rPr>
        <w:t>e sur l</w:t>
      </w:r>
      <w:r>
        <w:rPr>
          <w:rFonts w:ascii="Times New Roman"/>
          <w:noProof/>
          <w:sz w:val="24"/>
        </w:rPr>
        <w:t>’</w:t>
      </w:r>
      <w:r>
        <w:rPr>
          <w:rFonts w:ascii="Times New Roman"/>
          <w:noProof/>
          <w:sz w:val="24"/>
        </w:rPr>
        <w:t>am</w:t>
      </w:r>
      <w:r>
        <w:rPr>
          <w:rFonts w:ascii="Times New Roman"/>
          <w:noProof/>
          <w:sz w:val="24"/>
        </w:rPr>
        <w:t>é</w:t>
      </w:r>
      <w:r>
        <w:rPr>
          <w:rFonts w:ascii="Times New Roman"/>
          <w:noProof/>
          <w:sz w:val="24"/>
        </w:rPr>
        <w:t>lioration corrig</w:t>
      </w:r>
      <w:r>
        <w:rPr>
          <w:rFonts w:ascii="Times New Roman"/>
          <w:noProof/>
          <w:sz w:val="24"/>
        </w:rPr>
        <w:t>é</w:t>
      </w:r>
      <w:r>
        <w:rPr>
          <w:rFonts w:ascii="Times New Roman"/>
          <w:noProof/>
          <w:sz w:val="24"/>
        </w:rPr>
        <w:t xml:space="preserve">e du solde structurel (approche descendante) et sur le montant des mesures prises </w:t>
      </w:r>
      <w:r>
        <w:rPr>
          <w:rFonts w:ascii="Times New Roman"/>
          <w:noProof/>
          <w:sz w:val="24"/>
        </w:rPr>
        <w:t>(approche ascendante).</w:t>
      </w:r>
    </w:p>
    <w:p w:rsidR="001C524E" w:rsidRDefault="00896B22">
      <w:pPr>
        <w:tabs>
          <w:tab w:val="left" w:pos="360"/>
        </w:tabs>
        <w:spacing w:before="120" w:after="120" w:line="240" w:lineRule="auto"/>
        <w:jc w:val="center"/>
        <w:rPr>
          <w:rFonts w:ascii="Times New Roman"/>
          <w:b/>
          <w:bCs/>
          <w:noProof/>
          <w:sz w:val="24"/>
          <w:szCs w:val="24"/>
        </w:rPr>
      </w:pPr>
      <w:r>
        <w:rPr>
          <w:rFonts w:ascii="Times New Roman"/>
          <w:b/>
          <w:noProof/>
          <w:sz w:val="24"/>
        </w:rPr>
        <w:t>Tableau n</w:t>
      </w:r>
      <w:r>
        <w:rPr>
          <w:rFonts w:ascii="Times New Roman"/>
          <w:b/>
          <w:noProof/>
          <w:sz w:val="24"/>
        </w:rPr>
        <w:t>° </w:t>
      </w:r>
      <w:r>
        <w:rPr>
          <w:rFonts w:ascii="Times New Roman"/>
          <w:b/>
          <w:noProof/>
          <w:sz w:val="24"/>
        </w:rPr>
        <w:t>1. Comparaison des projections budg</w:t>
      </w:r>
      <w:r>
        <w:rPr>
          <w:rFonts w:ascii="Times New Roman"/>
          <w:b/>
          <w:noProof/>
          <w:sz w:val="24"/>
        </w:rPr>
        <w:t>é</w:t>
      </w:r>
      <w:r>
        <w:rPr>
          <w:rFonts w:ascii="Times New Roman"/>
          <w:b/>
          <w:noProof/>
          <w:sz w:val="24"/>
        </w:rPr>
        <w:t>taires</w:t>
      </w:r>
    </w:p>
    <w:p w:rsidR="001C524E" w:rsidRDefault="00896B22">
      <w:pPr>
        <w:tabs>
          <w:tab w:val="left" w:pos="360"/>
        </w:tabs>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 </w:t>
      </w:r>
      <w:r w:rsidR="007C73F2">
        <w:rPr>
          <w:noProof/>
        </w:rPr>
        <w:pict>
          <v:shape id="_x0000_i1026" type="#_x0000_t75" style="width:453.3pt;height:170.9pt">
            <v:imagedata r:id="rId16" o:title=""/>
          </v:shape>
        </w:pict>
      </w:r>
    </w:p>
    <w:p w:rsidR="001C524E" w:rsidRDefault="00896B22">
      <w:pPr>
        <w:tabs>
          <w:tab w:val="left" w:pos="360"/>
        </w:tabs>
        <w:spacing w:before="120" w:after="120" w:line="240" w:lineRule="auto"/>
        <w:jc w:val="both"/>
        <w:rPr>
          <w:rFonts w:ascii="Times New Roman"/>
          <w:noProof/>
          <w:sz w:val="24"/>
          <w:szCs w:val="24"/>
        </w:rPr>
      </w:pPr>
      <w:r>
        <w:rPr>
          <w:rFonts w:ascii="Times New Roman"/>
          <w:noProof/>
          <w:sz w:val="24"/>
        </w:rPr>
        <w:t>En ce qui concerne 2015, l</w:t>
      </w:r>
      <w:r>
        <w:rPr>
          <w:rFonts w:ascii="Times New Roman"/>
          <w:noProof/>
          <w:sz w:val="24"/>
        </w:rPr>
        <w:t>’</w:t>
      </w:r>
      <w:r>
        <w:rPr>
          <w:rFonts w:ascii="Times New Roman"/>
          <w:noProof/>
          <w:sz w:val="24"/>
        </w:rPr>
        <w:t>analyse approfondie confirme que l</w:t>
      </w:r>
      <w:r>
        <w:rPr>
          <w:rFonts w:ascii="Times New Roman"/>
          <w:noProof/>
          <w:sz w:val="24"/>
        </w:rPr>
        <w:t>’</w:t>
      </w:r>
      <w:r>
        <w:rPr>
          <w:rFonts w:ascii="Times New Roman"/>
          <w:noProof/>
          <w:sz w:val="24"/>
        </w:rPr>
        <w:t>effort budg</w:t>
      </w:r>
      <w:r>
        <w:rPr>
          <w:rFonts w:ascii="Times New Roman"/>
          <w:noProof/>
          <w:sz w:val="24"/>
        </w:rPr>
        <w:t>é</w:t>
      </w:r>
      <w:r>
        <w:rPr>
          <w:rFonts w:ascii="Times New Roman"/>
          <w:noProof/>
          <w:sz w:val="24"/>
        </w:rPr>
        <w:t>taire ne devrait pas atteindre le niveau recommand</w:t>
      </w:r>
      <w:r>
        <w:rPr>
          <w:rFonts w:ascii="Times New Roman"/>
          <w:noProof/>
          <w:sz w:val="24"/>
        </w:rPr>
        <w:t>é</w:t>
      </w:r>
      <w:r>
        <w:rPr>
          <w:rFonts w:ascii="Times New Roman"/>
          <w:noProof/>
          <w:sz w:val="24"/>
        </w:rPr>
        <w:t xml:space="preserve"> par le Conseil. Une fois corrig</w:t>
      </w:r>
      <w:r>
        <w:rPr>
          <w:rFonts w:ascii="Times New Roman"/>
          <w:noProof/>
          <w:sz w:val="24"/>
        </w:rPr>
        <w:t>é</w:t>
      </w:r>
      <w:r>
        <w:rPr>
          <w:rFonts w:ascii="Times New Roman"/>
          <w:noProof/>
          <w:sz w:val="24"/>
        </w:rPr>
        <w:t xml:space="preserve">e des variations </w:t>
      </w:r>
      <w:r>
        <w:rPr>
          <w:rFonts w:ascii="Times New Roman"/>
          <w:noProof/>
          <w:sz w:val="24"/>
        </w:rPr>
        <w:t>de la croissance potentielle ainsi que des moins-values fiscales enregistr</w:t>
      </w:r>
      <w:r>
        <w:rPr>
          <w:rFonts w:ascii="Times New Roman"/>
          <w:noProof/>
          <w:sz w:val="24"/>
        </w:rPr>
        <w:t>é</w:t>
      </w:r>
      <w:r>
        <w:rPr>
          <w:rFonts w:ascii="Times New Roman"/>
          <w:noProof/>
          <w:sz w:val="24"/>
        </w:rPr>
        <w:t>es depuis l</w:t>
      </w:r>
      <w:r>
        <w:rPr>
          <w:rFonts w:ascii="Times New Roman"/>
          <w:noProof/>
          <w:sz w:val="24"/>
        </w:rPr>
        <w:t>’</w:t>
      </w:r>
      <w:r>
        <w:rPr>
          <w:rFonts w:ascii="Times New Roman"/>
          <w:noProof/>
          <w:sz w:val="24"/>
        </w:rPr>
        <w:t>adoption de la recommandation du Conseil, l</w:t>
      </w:r>
      <w:r>
        <w:rPr>
          <w:rFonts w:ascii="Times New Roman"/>
          <w:noProof/>
          <w:sz w:val="24"/>
        </w:rPr>
        <w:t>’</w:t>
      </w:r>
      <w:r>
        <w:rPr>
          <w:rFonts w:ascii="Times New Roman"/>
          <w:noProof/>
          <w:sz w:val="24"/>
        </w:rPr>
        <w:t>am</w:t>
      </w:r>
      <w:r>
        <w:rPr>
          <w:rFonts w:ascii="Times New Roman"/>
          <w:noProof/>
          <w:sz w:val="24"/>
        </w:rPr>
        <w:t>é</w:t>
      </w:r>
      <w:r>
        <w:rPr>
          <w:rFonts w:ascii="Times New Roman"/>
          <w:noProof/>
          <w:sz w:val="24"/>
        </w:rPr>
        <w:t>lioration du solde structurel corrig</w:t>
      </w:r>
      <w:r>
        <w:rPr>
          <w:rFonts w:ascii="Times New Roman"/>
          <w:noProof/>
          <w:sz w:val="24"/>
        </w:rPr>
        <w:t>é</w:t>
      </w:r>
      <w:r>
        <w:rPr>
          <w:rFonts w:ascii="Times New Roman"/>
          <w:noProof/>
          <w:sz w:val="24"/>
        </w:rPr>
        <w:t xml:space="preserve"> est estim</w:t>
      </w:r>
      <w:r>
        <w:rPr>
          <w:rFonts w:ascii="Times New Roman"/>
          <w:noProof/>
          <w:sz w:val="24"/>
        </w:rPr>
        <w:t>é</w:t>
      </w:r>
      <w:r>
        <w:rPr>
          <w:rFonts w:ascii="Times New Roman"/>
          <w:noProof/>
          <w:sz w:val="24"/>
        </w:rPr>
        <w:t xml:space="preserve">e </w:t>
      </w:r>
      <w:r>
        <w:rPr>
          <w:rFonts w:ascii="Times New Roman"/>
          <w:noProof/>
          <w:sz w:val="24"/>
        </w:rPr>
        <w:t>à</w:t>
      </w:r>
      <w:r>
        <w:rPr>
          <w:rFonts w:ascii="Times New Roman"/>
          <w:noProof/>
          <w:sz w:val="24"/>
        </w:rPr>
        <w:t xml:space="preserve"> 0,4</w:t>
      </w:r>
      <w:r>
        <w:rPr>
          <w:rFonts w:ascii="Times New Roman"/>
          <w:noProof/>
          <w:sz w:val="24"/>
        </w:rPr>
        <w:t> </w:t>
      </w:r>
      <w:r>
        <w:rPr>
          <w:rFonts w:ascii="Times New Roman"/>
          <w:noProof/>
          <w:sz w:val="24"/>
        </w:rPr>
        <w:t>% du PIB pour 2015, alors que le Conseil a recommand</w:t>
      </w:r>
      <w:r>
        <w:rPr>
          <w:rFonts w:ascii="Times New Roman"/>
          <w:noProof/>
          <w:sz w:val="24"/>
        </w:rPr>
        <w:t>é</w:t>
      </w:r>
      <w:r>
        <w:rPr>
          <w:rFonts w:ascii="Times New Roman"/>
          <w:noProof/>
          <w:sz w:val="24"/>
        </w:rPr>
        <w:t xml:space="preserve"> une am</w:t>
      </w:r>
      <w:r>
        <w:rPr>
          <w:rFonts w:ascii="Times New Roman"/>
          <w:noProof/>
          <w:sz w:val="24"/>
        </w:rPr>
        <w:t>é</w:t>
      </w:r>
      <w:r>
        <w:rPr>
          <w:rFonts w:ascii="Times New Roman"/>
          <w:noProof/>
          <w:sz w:val="24"/>
        </w:rPr>
        <w:t>liora</w:t>
      </w:r>
      <w:r>
        <w:rPr>
          <w:rFonts w:ascii="Times New Roman"/>
          <w:noProof/>
          <w:sz w:val="24"/>
        </w:rPr>
        <w:t>tion de 0,5</w:t>
      </w:r>
      <w:r>
        <w:rPr>
          <w:rFonts w:ascii="Times New Roman"/>
          <w:noProof/>
          <w:sz w:val="24"/>
        </w:rPr>
        <w:t> </w:t>
      </w:r>
      <w:r>
        <w:rPr>
          <w:rFonts w:ascii="Times New Roman"/>
          <w:noProof/>
          <w:sz w:val="24"/>
        </w:rPr>
        <w:t>%. L</w:t>
      </w:r>
      <w:r>
        <w:rPr>
          <w:rFonts w:ascii="Times New Roman"/>
          <w:noProof/>
          <w:sz w:val="24"/>
        </w:rPr>
        <w:t>’</w:t>
      </w:r>
      <w:r>
        <w:rPr>
          <w:rFonts w:ascii="Times New Roman"/>
          <w:noProof/>
          <w:sz w:val="24"/>
        </w:rPr>
        <w:t>effort budg</w:t>
      </w:r>
      <w:r>
        <w:rPr>
          <w:rFonts w:ascii="Times New Roman"/>
          <w:noProof/>
          <w:sz w:val="24"/>
        </w:rPr>
        <w:t>é</w:t>
      </w:r>
      <w:r>
        <w:rPr>
          <w:rFonts w:ascii="Times New Roman"/>
          <w:noProof/>
          <w:sz w:val="24"/>
        </w:rPr>
        <w:t>taire calcul</w:t>
      </w:r>
      <w:r>
        <w:rPr>
          <w:rFonts w:ascii="Times New Roman"/>
          <w:noProof/>
          <w:sz w:val="24"/>
        </w:rPr>
        <w:t>é</w:t>
      </w:r>
      <w:r>
        <w:rPr>
          <w:rFonts w:ascii="Times New Roman"/>
          <w:noProof/>
          <w:sz w:val="24"/>
        </w:rPr>
        <w:t xml:space="preserve"> selon l</w:t>
      </w:r>
      <w:r>
        <w:rPr>
          <w:rFonts w:ascii="Times New Roman"/>
          <w:noProof/>
          <w:sz w:val="24"/>
        </w:rPr>
        <w:t>’</w:t>
      </w:r>
      <w:r>
        <w:rPr>
          <w:rFonts w:ascii="Times New Roman"/>
          <w:noProof/>
          <w:sz w:val="24"/>
        </w:rPr>
        <w:t xml:space="preserve">approche </w:t>
      </w:r>
      <w:r>
        <w:rPr>
          <w:rFonts w:ascii="Times New Roman"/>
          <w:noProof/>
          <w:sz w:val="24"/>
        </w:rPr>
        <w:t>«</w:t>
      </w:r>
      <w:r>
        <w:rPr>
          <w:rFonts w:ascii="Times New Roman"/>
          <w:noProof/>
          <w:sz w:val="24"/>
        </w:rPr>
        <w:t>ascendante</w:t>
      </w:r>
      <w:r>
        <w:rPr>
          <w:rFonts w:ascii="Times New Roman"/>
          <w:noProof/>
          <w:sz w:val="24"/>
        </w:rPr>
        <w:t>»</w:t>
      </w:r>
      <w:r>
        <w:rPr>
          <w:rFonts w:ascii="Times New Roman"/>
          <w:noProof/>
          <w:sz w:val="24"/>
        </w:rPr>
        <w:t xml:space="preserve"> devrait se maintenir au niveau annonc</w:t>
      </w:r>
      <w:r>
        <w:rPr>
          <w:rFonts w:ascii="Times New Roman"/>
          <w:noProof/>
          <w:sz w:val="24"/>
        </w:rPr>
        <w:t>é</w:t>
      </w:r>
      <w:r>
        <w:rPr>
          <w:rFonts w:ascii="Times New Roman"/>
          <w:noProof/>
          <w:sz w:val="24"/>
        </w:rPr>
        <w:t xml:space="preserve"> dans les pr</w:t>
      </w:r>
      <w:r>
        <w:rPr>
          <w:rFonts w:ascii="Times New Roman"/>
          <w:noProof/>
          <w:sz w:val="24"/>
        </w:rPr>
        <w:t>é</w:t>
      </w:r>
      <w:r>
        <w:rPr>
          <w:rFonts w:ascii="Times New Roman"/>
          <w:noProof/>
          <w:sz w:val="24"/>
        </w:rPr>
        <w:t>visions du printemps 2015 de la Commission (0,0</w:t>
      </w:r>
      <w:r>
        <w:rPr>
          <w:rFonts w:ascii="Times New Roman"/>
          <w:noProof/>
          <w:sz w:val="24"/>
        </w:rPr>
        <w:t> </w:t>
      </w:r>
      <w:r>
        <w:rPr>
          <w:rFonts w:ascii="Times New Roman"/>
          <w:noProof/>
          <w:sz w:val="24"/>
        </w:rPr>
        <w:t>% du PIB), alors que le Conseil a recommand</w:t>
      </w:r>
      <w:r>
        <w:rPr>
          <w:rFonts w:ascii="Times New Roman"/>
          <w:noProof/>
          <w:sz w:val="24"/>
        </w:rPr>
        <w:t>é</w:t>
      </w:r>
      <w:r>
        <w:rPr>
          <w:rFonts w:ascii="Times New Roman"/>
          <w:noProof/>
          <w:sz w:val="24"/>
        </w:rPr>
        <w:t xml:space="preserve"> un effort de 0,2</w:t>
      </w:r>
      <w:r>
        <w:rPr>
          <w:rFonts w:ascii="Times New Roman"/>
          <w:noProof/>
          <w:sz w:val="24"/>
        </w:rPr>
        <w:t> </w:t>
      </w:r>
      <w:r>
        <w:rPr>
          <w:rFonts w:ascii="Times New Roman"/>
          <w:noProof/>
          <w:sz w:val="24"/>
        </w:rPr>
        <w:t>% du PIB. En effet, l</w:t>
      </w:r>
      <w:r>
        <w:rPr>
          <w:rFonts w:ascii="Times New Roman"/>
          <w:noProof/>
          <w:sz w:val="24"/>
        </w:rPr>
        <w:t>’</w:t>
      </w:r>
      <w:r>
        <w:rPr>
          <w:rFonts w:ascii="Times New Roman"/>
          <w:noProof/>
          <w:sz w:val="24"/>
        </w:rPr>
        <w:t>impact des mesures suppl</w:t>
      </w:r>
      <w:r>
        <w:rPr>
          <w:rFonts w:ascii="Times New Roman"/>
          <w:noProof/>
          <w:sz w:val="24"/>
        </w:rPr>
        <w:t>é</w:t>
      </w:r>
      <w:r>
        <w:rPr>
          <w:rFonts w:ascii="Times New Roman"/>
          <w:noProof/>
          <w:sz w:val="24"/>
        </w:rPr>
        <w:t>mentaires de 2015 d</w:t>
      </w:r>
      <w:r>
        <w:rPr>
          <w:rFonts w:ascii="Times New Roman"/>
          <w:noProof/>
          <w:sz w:val="24"/>
        </w:rPr>
        <w:t>é</w:t>
      </w:r>
      <w:r>
        <w:rPr>
          <w:rFonts w:ascii="Times New Roman"/>
          <w:noProof/>
          <w:sz w:val="24"/>
        </w:rPr>
        <w:t>crites dans le rapport sur l</w:t>
      </w:r>
      <w:r>
        <w:rPr>
          <w:rFonts w:ascii="Times New Roman"/>
          <w:noProof/>
          <w:sz w:val="24"/>
        </w:rPr>
        <w:t>’</w:t>
      </w:r>
      <w:r>
        <w:rPr>
          <w:rFonts w:ascii="Times New Roman"/>
          <w:noProof/>
          <w:sz w:val="24"/>
        </w:rPr>
        <w:t>action engag</w:t>
      </w:r>
      <w:r>
        <w:rPr>
          <w:rFonts w:ascii="Times New Roman"/>
          <w:noProof/>
          <w:sz w:val="24"/>
        </w:rPr>
        <w:t>é</w:t>
      </w:r>
      <w:r>
        <w:rPr>
          <w:rFonts w:ascii="Times New Roman"/>
          <w:noProof/>
          <w:sz w:val="24"/>
        </w:rPr>
        <w:t>e est compens</w:t>
      </w:r>
      <w:r>
        <w:rPr>
          <w:rFonts w:ascii="Times New Roman"/>
          <w:noProof/>
          <w:sz w:val="24"/>
        </w:rPr>
        <w:t>é</w:t>
      </w:r>
      <w:r>
        <w:rPr>
          <w:rFonts w:ascii="Times New Roman"/>
          <w:noProof/>
          <w:sz w:val="24"/>
        </w:rPr>
        <w:t xml:space="preserve"> par la correction appliqu</w:t>
      </w:r>
      <w:r>
        <w:rPr>
          <w:rFonts w:ascii="Times New Roman"/>
          <w:noProof/>
          <w:sz w:val="24"/>
        </w:rPr>
        <w:t>é</w:t>
      </w:r>
      <w:r>
        <w:rPr>
          <w:rFonts w:ascii="Times New Roman"/>
          <w:noProof/>
          <w:sz w:val="24"/>
        </w:rPr>
        <w:t>e sur la r</w:t>
      </w:r>
      <w:r>
        <w:rPr>
          <w:rFonts w:ascii="Times New Roman"/>
          <w:noProof/>
          <w:sz w:val="24"/>
        </w:rPr>
        <w:t>é</w:t>
      </w:r>
      <w:r>
        <w:rPr>
          <w:rFonts w:ascii="Times New Roman"/>
          <w:noProof/>
          <w:sz w:val="24"/>
        </w:rPr>
        <w:t>duction des charges d</w:t>
      </w:r>
      <w:r>
        <w:rPr>
          <w:rFonts w:ascii="Times New Roman"/>
          <w:noProof/>
          <w:sz w:val="24"/>
        </w:rPr>
        <w:t>’</w:t>
      </w:r>
      <w:r>
        <w:rPr>
          <w:rFonts w:ascii="Times New Roman"/>
          <w:noProof/>
          <w:sz w:val="24"/>
        </w:rPr>
        <w:t>int</w:t>
      </w:r>
      <w:r>
        <w:rPr>
          <w:rFonts w:ascii="Times New Roman"/>
          <w:noProof/>
          <w:sz w:val="24"/>
        </w:rPr>
        <w:t>é</w:t>
      </w:r>
      <w:r>
        <w:rPr>
          <w:rFonts w:ascii="Times New Roman"/>
          <w:noProof/>
          <w:sz w:val="24"/>
        </w:rPr>
        <w:t>r</w:t>
      </w:r>
      <w:r>
        <w:rPr>
          <w:rFonts w:ascii="Times New Roman"/>
          <w:noProof/>
          <w:sz w:val="24"/>
        </w:rPr>
        <w:t>ê</w:t>
      </w:r>
      <w:r>
        <w:rPr>
          <w:rFonts w:ascii="Times New Roman"/>
          <w:noProof/>
          <w:sz w:val="24"/>
        </w:rPr>
        <w:t>ts, qui sont consid</w:t>
      </w:r>
      <w:r>
        <w:rPr>
          <w:rFonts w:ascii="Times New Roman"/>
          <w:noProof/>
          <w:sz w:val="24"/>
        </w:rPr>
        <w:t>é</w:t>
      </w:r>
      <w:r>
        <w:rPr>
          <w:rFonts w:ascii="Times New Roman"/>
          <w:noProof/>
          <w:sz w:val="24"/>
        </w:rPr>
        <w:t>r</w:t>
      </w:r>
      <w:r>
        <w:rPr>
          <w:rFonts w:ascii="Times New Roman"/>
          <w:noProof/>
          <w:sz w:val="24"/>
        </w:rPr>
        <w:t>é</w:t>
      </w:r>
      <w:r>
        <w:rPr>
          <w:rFonts w:ascii="Times New Roman"/>
          <w:noProof/>
          <w:sz w:val="24"/>
        </w:rPr>
        <w:t>es comme hors du contr</w:t>
      </w:r>
      <w:r>
        <w:rPr>
          <w:rFonts w:ascii="Times New Roman"/>
          <w:noProof/>
          <w:sz w:val="24"/>
        </w:rPr>
        <w:t>ô</w:t>
      </w:r>
      <w:r>
        <w:rPr>
          <w:rFonts w:ascii="Times New Roman"/>
          <w:noProof/>
          <w:sz w:val="24"/>
        </w:rPr>
        <w:t>le du gouvernement en vertu de la m</w:t>
      </w:r>
      <w:r>
        <w:rPr>
          <w:rFonts w:ascii="Times New Roman"/>
          <w:noProof/>
          <w:sz w:val="24"/>
        </w:rPr>
        <w:t>é</w:t>
      </w:r>
      <w:r>
        <w:rPr>
          <w:rFonts w:ascii="Times New Roman"/>
          <w:noProof/>
          <w:sz w:val="24"/>
        </w:rPr>
        <w:t>thode co</w:t>
      </w:r>
      <w:r>
        <w:rPr>
          <w:rFonts w:ascii="Times New Roman"/>
          <w:noProof/>
          <w:sz w:val="24"/>
        </w:rPr>
        <w:t>mmune d</w:t>
      </w:r>
      <w:r>
        <w:rPr>
          <w:rFonts w:ascii="Times New Roman"/>
          <w:noProof/>
          <w:sz w:val="24"/>
        </w:rPr>
        <w:t>’é</w:t>
      </w:r>
      <w:r>
        <w:rPr>
          <w:rFonts w:ascii="Times New Roman"/>
          <w:noProof/>
          <w:sz w:val="24"/>
        </w:rPr>
        <w:t>valuation de l</w:t>
      </w:r>
      <w:r>
        <w:rPr>
          <w:rFonts w:ascii="Times New Roman"/>
          <w:noProof/>
          <w:sz w:val="24"/>
        </w:rPr>
        <w:t>’</w:t>
      </w:r>
      <w:r>
        <w:rPr>
          <w:rFonts w:ascii="Times New Roman"/>
          <w:noProof/>
          <w:sz w:val="24"/>
        </w:rPr>
        <w:t>action suivie d</w:t>
      </w:r>
      <w:r>
        <w:rPr>
          <w:rFonts w:ascii="Times New Roman"/>
          <w:noProof/>
          <w:sz w:val="24"/>
        </w:rPr>
        <w:t>’</w:t>
      </w:r>
      <w:r>
        <w:rPr>
          <w:rFonts w:ascii="Times New Roman"/>
          <w:noProof/>
          <w:sz w:val="24"/>
        </w:rPr>
        <w:t>effets et ne sont donc pas prises en compte dans le calcul de l</w:t>
      </w:r>
      <w:r>
        <w:rPr>
          <w:rFonts w:ascii="Times New Roman"/>
          <w:noProof/>
          <w:sz w:val="24"/>
        </w:rPr>
        <w:t>’</w:t>
      </w:r>
      <w:r>
        <w:rPr>
          <w:rFonts w:ascii="Times New Roman"/>
          <w:noProof/>
          <w:sz w:val="24"/>
        </w:rPr>
        <w:t>effort budg</w:t>
      </w:r>
      <w:r>
        <w:rPr>
          <w:rFonts w:ascii="Times New Roman"/>
          <w:noProof/>
          <w:sz w:val="24"/>
        </w:rPr>
        <w:t>é</w:t>
      </w:r>
      <w:r>
        <w:rPr>
          <w:rFonts w:ascii="Times New Roman"/>
          <w:noProof/>
          <w:sz w:val="24"/>
        </w:rPr>
        <w:t>taire selon l</w:t>
      </w:r>
      <w:r>
        <w:rPr>
          <w:rFonts w:ascii="Times New Roman"/>
          <w:noProof/>
          <w:sz w:val="24"/>
        </w:rPr>
        <w:t>’</w:t>
      </w:r>
      <w:r>
        <w:rPr>
          <w:rFonts w:ascii="Times New Roman"/>
          <w:noProof/>
          <w:sz w:val="24"/>
        </w:rPr>
        <w:t xml:space="preserve">approche </w:t>
      </w:r>
      <w:r>
        <w:rPr>
          <w:rFonts w:ascii="Times New Roman"/>
          <w:noProof/>
          <w:sz w:val="24"/>
        </w:rPr>
        <w:t>«</w:t>
      </w:r>
      <w:r>
        <w:rPr>
          <w:rFonts w:ascii="Times New Roman"/>
          <w:noProof/>
          <w:sz w:val="24"/>
        </w:rPr>
        <w:t>ascendante</w:t>
      </w:r>
      <w:r>
        <w:rPr>
          <w:rFonts w:ascii="Times New Roman"/>
          <w:noProof/>
          <w:sz w:val="24"/>
        </w:rPr>
        <w:t>»</w:t>
      </w:r>
      <w:r>
        <w:rPr>
          <w:rFonts w:ascii="Times New Roman"/>
          <w:noProof/>
          <w:sz w:val="24"/>
        </w:rPr>
        <w:t xml:space="preserve"> pour 2015. </w:t>
      </w:r>
    </w:p>
    <w:p w:rsidR="001C524E" w:rsidRDefault="00896B22">
      <w:pPr>
        <w:tabs>
          <w:tab w:val="left" w:pos="360"/>
        </w:tabs>
        <w:spacing w:before="120" w:after="120" w:line="240" w:lineRule="auto"/>
        <w:jc w:val="both"/>
        <w:rPr>
          <w:rFonts w:ascii="Times New Roman"/>
          <w:noProof/>
          <w:sz w:val="24"/>
          <w:szCs w:val="24"/>
        </w:rPr>
      </w:pPr>
      <w:r>
        <w:rPr>
          <w:rFonts w:ascii="Times New Roman"/>
          <w:noProof/>
          <w:sz w:val="24"/>
        </w:rPr>
        <w:t>Pour 2016, l</w:t>
      </w:r>
      <w:r>
        <w:rPr>
          <w:rFonts w:ascii="Times New Roman"/>
          <w:noProof/>
          <w:sz w:val="24"/>
        </w:rPr>
        <w:t>’</w:t>
      </w:r>
      <w:r>
        <w:rPr>
          <w:rFonts w:ascii="Times New Roman"/>
          <w:noProof/>
          <w:sz w:val="24"/>
        </w:rPr>
        <w:t xml:space="preserve">analyse approfondie montre </w:t>
      </w:r>
      <w:r>
        <w:rPr>
          <w:rFonts w:ascii="Times New Roman"/>
          <w:noProof/>
          <w:sz w:val="24"/>
        </w:rPr>
        <w:t>é</w:t>
      </w:r>
      <w:r>
        <w:rPr>
          <w:rFonts w:ascii="Times New Roman"/>
          <w:noProof/>
          <w:sz w:val="24"/>
        </w:rPr>
        <w:t xml:space="preserve">galement un </w:t>
      </w:r>
      <w:r>
        <w:rPr>
          <w:rFonts w:ascii="Times New Roman"/>
          <w:noProof/>
          <w:sz w:val="24"/>
        </w:rPr>
        <w:t>é</w:t>
      </w:r>
      <w:r>
        <w:rPr>
          <w:rFonts w:ascii="Times New Roman"/>
          <w:noProof/>
          <w:sz w:val="24"/>
        </w:rPr>
        <w:t xml:space="preserve">cart par rapport </w:t>
      </w:r>
      <w:r>
        <w:rPr>
          <w:rFonts w:ascii="Times New Roman"/>
          <w:noProof/>
          <w:sz w:val="24"/>
        </w:rPr>
        <w:t>à</w:t>
      </w:r>
      <w:r>
        <w:rPr>
          <w:rFonts w:ascii="Times New Roman"/>
          <w:noProof/>
          <w:sz w:val="24"/>
        </w:rPr>
        <w:t xml:space="preserve"> l</w:t>
      </w:r>
      <w:r>
        <w:rPr>
          <w:rFonts w:ascii="Times New Roman"/>
          <w:noProof/>
          <w:sz w:val="24"/>
        </w:rPr>
        <w:t>’</w:t>
      </w:r>
      <w:r>
        <w:rPr>
          <w:rFonts w:ascii="Times New Roman"/>
          <w:noProof/>
          <w:sz w:val="24"/>
        </w:rPr>
        <w:t>effort budg</w:t>
      </w:r>
      <w:r>
        <w:rPr>
          <w:rFonts w:ascii="Times New Roman"/>
          <w:noProof/>
          <w:sz w:val="24"/>
        </w:rPr>
        <w:t>é</w:t>
      </w:r>
      <w:r>
        <w:rPr>
          <w:rFonts w:ascii="Times New Roman"/>
          <w:noProof/>
          <w:sz w:val="24"/>
        </w:rPr>
        <w:t>taire</w:t>
      </w:r>
      <w:r>
        <w:rPr>
          <w:rFonts w:ascii="Times New Roman"/>
          <w:noProof/>
          <w:sz w:val="24"/>
        </w:rPr>
        <w:t xml:space="preserve"> recommand</w:t>
      </w:r>
      <w:r>
        <w:rPr>
          <w:rFonts w:ascii="Times New Roman"/>
          <w:noProof/>
          <w:sz w:val="24"/>
        </w:rPr>
        <w:t>é</w:t>
      </w:r>
      <w:r>
        <w:rPr>
          <w:rFonts w:ascii="Times New Roman"/>
          <w:noProof/>
          <w:sz w:val="24"/>
        </w:rPr>
        <w:t xml:space="preserve"> par le Conseil. En tenant compte des mesures d</w:t>
      </w:r>
      <w:r>
        <w:rPr>
          <w:rFonts w:ascii="Times New Roman"/>
          <w:noProof/>
          <w:sz w:val="24"/>
        </w:rPr>
        <w:t>é</w:t>
      </w:r>
      <w:r>
        <w:rPr>
          <w:rFonts w:ascii="Times New Roman"/>
          <w:noProof/>
          <w:sz w:val="24"/>
        </w:rPr>
        <w:t>taill</w:t>
      </w:r>
      <w:r>
        <w:rPr>
          <w:rFonts w:ascii="Times New Roman"/>
          <w:noProof/>
          <w:sz w:val="24"/>
        </w:rPr>
        <w:t>é</w:t>
      </w:r>
      <w:r>
        <w:rPr>
          <w:rFonts w:ascii="Times New Roman"/>
          <w:noProof/>
          <w:sz w:val="24"/>
        </w:rPr>
        <w:t>es dans le rapport sur l</w:t>
      </w:r>
      <w:r>
        <w:rPr>
          <w:rFonts w:ascii="Times New Roman"/>
          <w:noProof/>
          <w:sz w:val="24"/>
        </w:rPr>
        <w:t>’</w:t>
      </w:r>
      <w:r>
        <w:rPr>
          <w:rFonts w:ascii="Times New Roman"/>
          <w:noProof/>
          <w:sz w:val="24"/>
        </w:rPr>
        <w:t>action engag</w:t>
      </w:r>
      <w:r>
        <w:rPr>
          <w:rFonts w:ascii="Times New Roman"/>
          <w:noProof/>
          <w:sz w:val="24"/>
        </w:rPr>
        <w:t>é</w:t>
      </w:r>
      <w:r>
        <w:rPr>
          <w:rFonts w:ascii="Times New Roman"/>
          <w:noProof/>
          <w:sz w:val="24"/>
        </w:rPr>
        <w:t>e ainsi que des corrections li</w:t>
      </w:r>
      <w:r>
        <w:rPr>
          <w:rFonts w:ascii="Times New Roman"/>
          <w:noProof/>
          <w:sz w:val="24"/>
        </w:rPr>
        <w:t>é</w:t>
      </w:r>
      <w:r>
        <w:rPr>
          <w:rFonts w:ascii="Times New Roman"/>
          <w:noProof/>
          <w:sz w:val="24"/>
        </w:rPr>
        <w:t>es aux variations de la croissance potentielle et aux plus-values fiscales enregistr</w:t>
      </w:r>
      <w:r>
        <w:rPr>
          <w:rFonts w:ascii="Times New Roman"/>
          <w:noProof/>
          <w:sz w:val="24"/>
        </w:rPr>
        <w:t>é</w:t>
      </w:r>
      <w:r>
        <w:rPr>
          <w:rFonts w:ascii="Times New Roman"/>
          <w:noProof/>
          <w:sz w:val="24"/>
        </w:rPr>
        <w:t>es depuis l</w:t>
      </w:r>
      <w:r>
        <w:rPr>
          <w:rFonts w:ascii="Times New Roman"/>
          <w:noProof/>
          <w:sz w:val="24"/>
        </w:rPr>
        <w:t>’</w:t>
      </w:r>
      <w:r>
        <w:rPr>
          <w:rFonts w:ascii="Times New Roman"/>
          <w:noProof/>
          <w:sz w:val="24"/>
        </w:rPr>
        <w:t>adoption de la recommanda</w:t>
      </w:r>
      <w:r>
        <w:rPr>
          <w:rFonts w:ascii="Times New Roman"/>
          <w:noProof/>
          <w:sz w:val="24"/>
        </w:rPr>
        <w:t>tion du Conseil, le solde structurel corrig</w:t>
      </w:r>
      <w:r>
        <w:rPr>
          <w:rFonts w:ascii="Times New Roman"/>
          <w:noProof/>
          <w:sz w:val="24"/>
        </w:rPr>
        <w:t>é</w:t>
      </w:r>
      <w:r>
        <w:rPr>
          <w:rFonts w:ascii="Times New Roman"/>
          <w:noProof/>
          <w:sz w:val="24"/>
        </w:rPr>
        <w:t xml:space="preserve"> devrait rester constant, alors que le Conseil a recommand</w:t>
      </w:r>
      <w:r>
        <w:rPr>
          <w:rFonts w:ascii="Times New Roman"/>
          <w:noProof/>
          <w:sz w:val="24"/>
        </w:rPr>
        <w:t>é</w:t>
      </w:r>
      <w:r>
        <w:rPr>
          <w:rFonts w:ascii="Times New Roman"/>
          <w:noProof/>
          <w:sz w:val="24"/>
        </w:rPr>
        <w:t xml:space="preserve"> une am</w:t>
      </w:r>
      <w:r>
        <w:rPr>
          <w:rFonts w:ascii="Times New Roman"/>
          <w:noProof/>
          <w:sz w:val="24"/>
        </w:rPr>
        <w:t>é</w:t>
      </w:r>
      <w:r>
        <w:rPr>
          <w:rFonts w:ascii="Times New Roman"/>
          <w:noProof/>
          <w:sz w:val="24"/>
        </w:rPr>
        <w:t>lioration de 0,8</w:t>
      </w:r>
      <w:r>
        <w:rPr>
          <w:rFonts w:ascii="Times New Roman"/>
          <w:noProof/>
          <w:sz w:val="24"/>
        </w:rPr>
        <w:t> </w:t>
      </w:r>
      <w:r>
        <w:rPr>
          <w:rFonts w:ascii="Times New Roman"/>
          <w:noProof/>
          <w:sz w:val="24"/>
        </w:rPr>
        <w:t>% du PIB. De m</w:t>
      </w:r>
      <w:r>
        <w:rPr>
          <w:rFonts w:ascii="Times New Roman"/>
          <w:noProof/>
          <w:sz w:val="24"/>
        </w:rPr>
        <w:t>ê</w:t>
      </w:r>
      <w:r>
        <w:rPr>
          <w:rFonts w:ascii="Times New Roman"/>
          <w:noProof/>
          <w:sz w:val="24"/>
        </w:rPr>
        <w:t>me, les r</w:t>
      </w:r>
      <w:r>
        <w:rPr>
          <w:rFonts w:ascii="Times New Roman"/>
          <w:noProof/>
          <w:sz w:val="24"/>
        </w:rPr>
        <w:t>é</w:t>
      </w:r>
      <w:r>
        <w:rPr>
          <w:rFonts w:ascii="Times New Roman"/>
          <w:noProof/>
          <w:sz w:val="24"/>
        </w:rPr>
        <w:t>ductions suppl</w:t>
      </w:r>
      <w:r>
        <w:rPr>
          <w:rFonts w:ascii="Times New Roman"/>
          <w:noProof/>
          <w:sz w:val="24"/>
        </w:rPr>
        <w:t>é</w:t>
      </w:r>
      <w:r>
        <w:rPr>
          <w:rFonts w:ascii="Times New Roman"/>
          <w:noProof/>
          <w:sz w:val="24"/>
        </w:rPr>
        <w:t>mentaires des d</w:t>
      </w:r>
      <w:r>
        <w:rPr>
          <w:rFonts w:ascii="Times New Roman"/>
          <w:noProof/>
          <w:sz w:val="24"/>
        </w:rPr>
        <w:t>é</w:t>
      </w:r>
      <w:r>
        <w:rPr>
          <w:rFonts w:ascii="Times New Roman"/>
          <w:noProof/>
          <w:sz w:val="24"/>
        </w:rPr>
        <w:t>penses de l</w:t>
      </w:r>
      <w:r>
        <w:rPr>
          <w:rFonts w:ascii="Times New Roman"/>
          <w:noProof/>
          <w:sz w:val="24"/>
        </w:rPr>
        <w:t>’É</w:t>
      </w:r>
      <w:r>
        <w:rPr>
          <w:rFonts w:ascii="Times New Roman"/>
          <w:noProof/>
          <w:sz w:val="24"/>
        </w:rPr>
        <w:t>tat devraient porter l</w:t>
      </w:r>
      <w:r>
        <w:rPr>
          <w:rFonts w:ascii="Times New Roman"/>
          <w:noProof/>
          <w:sz w:val="24"/>
        </w:rPr>
        <w:t>’</w:t>
      </w:r>
      <w:r>
        <w:rPr>
          <w:rFonts w:ascii="Times New Roman"/>
          <w:noProof/>
          <w:sz w:val="24"/>
        </w:rPr>
        <w:t>effort budg</w:t>
      </w:r>
      <w:r>
        <w:rPr>
          <w:rFonts w:ascii="Times New Roman"/>
          <w:noProof/>
          <w:sz w:val="24"/>
        </w:rPr>
        <w:t>é</w:t>
      </w:r>
      <w:r>
        <w:rPr>
          <w:rFonts w:ascii="Times New Roman"/>
          <w:noProof/>
          <w:sz w:val="24"/>
        </w:rPr>
        <w:t>taire calcul</w:t>
      </w:r>
      <w:r>
        <w:rPr>
          <w:rFonts w:ascii="Times New Roman"/>
          <w:noProof/>
          <w:sz w:val="24"/>
        </w:rPr>
        <w:t>é</w:t>
      </w:r>
      <w:r>
        <w:rPr>
          <w:rFonts w:ascii="Times New Roman"/>
          <w:noProof/>
          <w:sz w:val="24"/>
        </w:rPr>
        <w:t xml:space="preserve"> selon l</w:t>
      </w:r>
      <w:r>
        <w:rPr>
          <w:rFonts w:ascii="Times New Roman"/>
          <w:noProof/>
          <w:sz w:val="24"/>
        </w:rPr>
        <w:t>’</w:t>
      </w:r>
      <w:r>
        <w:rPr>
          <w:rFonts w:ascii="Times New Roman"/>
          <w:noProof/>
          <w:sz w:val="24"/>
        </w:rPr>
        <w:t>ap</w:t>
      </w:r>
      <w:r>
        <w:rPr>
          <w:rFonts w:ascii="Times New Roman"/>
          <w:noProof/>
          <w:sz w:val="24"/>
        </w:rPr>
        <w:t xml:space="preserve">proche </w:t>
      </w:r>
      <w:r>
        <w:rPr>
          <w:rFonts w:ascii="Times New Roman"/>
          <w:noProof/>
          <w:sz w:val="24"/>
        </w:rPr>
        <w:t>«</w:t>
      </w:r>
      <w:r>
        <w:rPr>
          <w:rFonts w:ascii="Times New Roman"/>
          <w:noProof/>
          <w:sz w:val="24"/>
        </w:rPr>
        <w:t>ascendante</w:t>
      </w:r>
      <w:r>
        <w:rPr>
          <w:rFonts w:ascii="Times New Roman"/>
          <w:noProof/>
          <w:sz w:val="24"/>
        </w:rPr>
        <w:t>»</w:t>
      </w:r>
      <w:r>
        <w:rPr>
          <w:rFonts w:ascii="Times New Roman"/>
          <w:noProof/>
          <w:sz w:val="24"/>
        </w:rPr>
        <w:t>, estim</w:t>
      </w:r>
      <w:r>
        <w:rPr>
          <w:rFonts w:ascii="Times New Roman"/>
          <w:noProof/>
          <w:sz w:val="24"/>
        </w:rPr>
        <w:t>é</w:t>
      </w:r>
      <w:r>
        <w:rPr>
          <w:rFonts w:ascii="Times New Roman"/>
          <w:noProof/>
          <w:sz w:val="24"/>
        </w:rPr>
        <w:t xml:space="preserve"> </w:t>
      </w:r>
      <w:r>
        <w:rPr>
          <w:rFonts w:ascii="Times New Roman"/>
          <w:noProof/>
          <w:sz w:val="24"/>
        </w:rPr>
        <w:t>à</w:t>
      </w:r>
      <w:r>
        <w:rPr>
          <w:rFonts w:ascii="Times New Roman"/>
          <w:noProof/>
          <w:sz w:val="24"/>
        </w:rPr>
        <w:t xml:space="preserve"> 0,3</w:t>
      </w:r>
      <w:r>
        <w:rPr>
          <w:rFonts w:ascii="Times New Roman"/>
          <w:noProof/>
          <w:sz w:val="24"/>
        </w:rPr>
        <w:t> </w:t>
      </w:r>
      <w:r>
        <w:rPr>
          <w:rFonts w:ascii="Times New Roman"/>
          <w:noProof/>
          <w:sz w:val="24"/>
        </w:rPr>
        <w:t>% du PIB dans les pr</w:t>
      </w:r>
      <w:r>
        <w:rPr>
          <w:rFonts w:ascii="Times New Roman"/>
          <w:noProof/>
          <w:sz w:val="24"/>
        </w:rPr>
        <w:t>é</w:t>
      </w:r>
      <w:r>
        <w:rPr>
          <w:rFonts w:ascii="Times New Roman"/>
          <w:noProof/>
          <w:sz w:val="24"/>
        </w:rPr>
        <w:t xml:space="preserve">visions de printemps, </w:t>
      </w:r>
      <w:r>
        <w:rPr>
          <w:rFonts w:ascii="Times New Roman"/>
          <w:noProof/>
          <w:sz w:val="24"/>
        </w:rPr>
        <w:t>à</w:t>
      </w:r>
      <w:r>
        <w:rPr>
          <w:rFonts w:ascii="Times New Roman"/>
          <w:noProof/>
          <w:sz w:val="24"/>
        </w:rPr>
        <w:t xml:space="preserve"> 0,4</w:t>
      </w:r>
      <w:r>
        <w:rPr>
          <w:rFonts w:ascii="Times New Roman"/>
          <w:noProof/>
          <w:sz w:val="24"/>
        </w:rPr>
        <w:t> </w:t>
      </w:r>
      <w:r>
        <w:rPr>
          <w:rFonts w:ascii="Times New Roman"/>
          <w:noProof/>
          <w:sz w:val="24"/>
        </w:rPr>
        <w:t>% du PIB, ce qui reste inf</w:t>
      </w:r>
      <w:r>
        <w:rPr>
          <w:rFonts w:ascii="Times New Roman"/>
          <w:noProof/>
          <w:sz w:val="24"/>
        </w:rPr>
        <w:t>é</w:t>
      </w:r>
      <w:r>
        <w:rPr>
          <w:rFonts w:ascii="Times New Roman"/>
          <w:noProof/>
          <w:sz w:val="24"/>
        </w:rPr>
        <w:t xml:space="preserve">rieur </w:t>
      </w:r>
      <w:r>
        <w:rPr>
          <w:rFonts w:ascii="Times New Roman"/>
          <w:noProof/>
          <w:sz w:val="24"/>
        </w:rPr>
        <w:t>à</w:t>
      </w:r>
      <w:r>
        <w:rPr>
          <w:rFonts w:ascii="Times New Roman"/>
          <w:noProof/>
          <w:sz w:val="24"/>
        </w:rPr>
        <w:t xml:space="preserve"> l</w:t>
      </w:r>
      <w:r>
        <w:rPr>
          <w:rFonts w:ascii="Times New Roman"/>
          <w:noProof/>
          <w:sz w:val="24"/>
        </w:rPr>
        <w:t>’</w:t>
      </w:r>
      <w:r>
        <w:rPr>
          <w:rFonts w:ascii="Times New Roman"/>
          <w:noProof/>
          <w:sz w:val="24"/>
        </w:rPr>
        <w:t>effort de 1,2</w:t>
      </w:r>
      <w:r>
        <w:rPr>
          <w:rFonts w:ascii="Times New Roman"/>
          <w:noProof/>
          <w:sz w:val="24"/>
        </w:rPr>
        <w:t> </w:t>
      </w:r>
      <w:r>
        <w:rPr>
          <w:rFonts w:ascii="Times New Roman"/>
          <w:noProof/>
          <w:sz w:val="24"/>
        </w:rPr>
        <w:t>% du PIB recommand</w:t>
      </w:r>
      <w:r>
        <w:rPr>
          <w:rFonts w:ascii="Times New Roman"/>
          <w:noProof/>
          <w:sz w:val="24"/>
        </w:rPr>
        <w:t>é</w:t>
      </w:r>
      <w:r>
        <w:rPr>
          <w:rFonts w:ascii="Times New Roman"/>
          <w:noProof/>
          <w:sz w:val="24"/>
        </w:rPr>
        <w:t xml:space="preserve"> par le Conseil le 10</w:t>
      </w:r>
      <w:r>
        <w:rPr>
          <w:rFonts w:ascii="Times New Roman"/>
          <w:noProof/>
          <w:sz w:val="24"/>
        </w:rPr>
        <w:t> </w:t>
      </w:r>
      <w:r>
        <w:rPr>
          <w:rFonts w:ascii="Times New Roman"/>
          <w:noProof/>
          <w:sz w:val="24"/>
        </w:rPr>
        <w:t xml:space="preserve">mars 2015. </w:t>
      </w:r>
    </w:p>
    <w:p w:rsidR="001C524E" w:rsidRDefault="00896B22">
      <w:pPr>
        <w:tabs>
          <w:tab w:val="left" w:pos="360"/>
        </w:tabs>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La recommandation du Conseil du 10 mars 2015 invitait également les a</w:t>
      </w:r>
      <w:r>
        <w:rPr>
          <w:rFonts w:ascii="Times New Roman" w:hAnsi="Times New Roman"/>
          <w:noProof/>
          <w:sz w:val="24"/>
        </w:rPr>
        <w:t>utorités françaises à fournir une évaluation des principales mesures prévues pour 2016 et 2017. Or cette évaluation n’apparaît pas dans le rapport sur l’action engagée. En particulier, les autorités françaises font reposer les économies prévues pour 2016 e</w:t>
      </w:r>
      <w:r>
        <w:rPr>
          <w:rFonts w:ascii="Times New Roman" w:hAnsi="Times New Roman"/>
          <w:noProof/>
          <w:sz w:val="24"/>
        </w:rPr>
        <w:t>t 2017 sur les gains qui seront tirés de revues de dépenses qui soit sont toujours en cours, soit n’ont pas encore été lancées. Enfin, contrairement à ce qu’a recommandé le Conseil, la loi de programmation des finances publiques n’a pas été mise à jour.</w:t>
      </w:r>
    </w:p>
    <w:p w:rsidR="001C524E" w:rsidRDefault="001C524E">
      <w:pPr>
        <w:tabs>
          <w:tab w:val="left" w:pos="360"/>
        </w:tabs>
        <w:spacing w:before="120" w:after="120" w:line="240" w:lineRule="auto"/>
        <w:jc w:val="both"/>
        <w:rPr>
          <w:rFonts w:ascii="Times New Roman" w:eastAsia="Times New Roman" w:hAnsi="Times New Roman" w:cs="Times New Roman"/>
          <w:noProof/>
          <w:sz w:val="24"/>
          <w:szCs w:val="24"/>
        </w:rPr>
      </w:pPr>
    </w:p>
    <w:p w:rsidR="001C524E" w:rsidRDefault="00896B22">
      <w:pPr>
        <w:spacing w:before="120" w:after="120" w:line="240" w:lineRule="auto"/>
        <w:jc w:val="center"/>
        <w:rPr>
          <w:rFonts w:ascii="Times New Roman" w:eastAsia="Times New Roman" w:hAnsi="Times New Roman" w:cs="Times New Roman"/>
          <w:b/>
          <w:bCs/>
          <w:noProof/>
          <w:sz w:val="24"/>
          <w:szCs w:val="24"/>
        </w:rPr>
      </w:pPr>
      <w:r>
        <w:rPr>
          <w:rFonts w:ascii="Times New Roman"/>
          <w:b/>
          <w:noProof/>
          <w:sz w:val="24"/>
        </w:rPr>
        <w:t>T</w:t>
      </w:r>
      <w:r>
        <w:rPr>
          <w:rFonts w:ascii="Times New Roman"/>
          <w:b/>
          <w:noProof/>
          <w:sz w:val="24"/>
        </w:rPr>
        <w:t>ableau n</w:t>
      </w:r>
      <w:r>
        <w:rPr>
          <w:rFonts w:ascii="Times New Roman"/>
          <w:b/>
          <w:noProof/>
          <w:sz w:val="24"/>
        </w:rPr>
        <w:t>° </w:t>
      </w:r>
      <w:r>
        <w:rPr>
          <w:rFonts w:ascii="Times New Roman"/>
          <w:b/>
          <w:noProof/>
          <w:sz w:val="24"/>
        </w:rPr>
        <w:t>2. Comparaison de la variation corrig</w:t>
      </w:r>
      <w:r>
        <w:rPr>
          <w:rFonts w:ascii="Times New Roman"/>
          <w:b/>
          <w:noProof/>
          <w:sz w:val="24"/>
        </w:rPr>
        <w:t>é</w:t>
      </w:r>
      <w:r>
        <w:rPr>
          <w:rFonts w:ascii="Times New Roman"/>
          <w:b/>
          <w:noProof/>
          <w:sz w:val="24"/>
        </w:rPr>
        <w:t>e du solde structurel et de l</w:t>
      </w:r>
      <w:r>
        <w:rPr>
          <w:rFonts w:ascii="Times New Roman"/>
          <w:b/>
          <w:noProof/>
          <w:sz w:val="24"/>
        </w:rPr>
        <w:t>’</w:t>
      </w:r>
      <w:r>
        <w:rPr>
          <w:rFonts w:ascii="Times New Roman"/>
          <w:b/>
          <w:noProof/>
          <w:sz w:val="24"/>
        </w:rPr>
        <w:t>effort budg</w:t>
      </w:r>
      <w:r>
        <w:rPr>
          <w:rFonts w:ascii="Times New Roman"/>
          <w:b/>
          <w:noProof/>
          <w:sz w:val="24"/>
        </w:rPr>
        <w:t>é</w:t>
      </w:r>
      <w:r>
        <w:rPr>
          <w:rFonts w:ascii="Times New Roman"/>
          <w:b/>
          <w:noProof/>
          <w:sz w:val="24"/>
        </w:rPr>
        <w:t>taire sur la base des pr</w:t>
      </w:r>
      <w:r>
        <w:rPr>
          <w:rFonts w:ascii="Times New Roman"/>
          <w:b/>
          <w:noProof/>
          <w:sz w:val="24"/>
        </w:rPr>
        <w:t>é</w:t>
      </w:r>
      <w:r>
        <w:rPr>
          <w:rFonts w:ascii="Times New Roman"/>
          <w:b/>
          <w:noProof/>
          <w:sz w:val="24"/>
        </w:rPr>
        <w:t>visions du printemps 2015 de la Commission</w:t>
      </w:r>
    </w:p>
    <w:p w:rsidR="001C524E" w:rsidRDefault="00896B22">
      <w:pPr>
        <w:spacing w:before="120" w:after="120" w:line="240" w:lineRule="auto"/>
        <w:jc w:val="center"/>
        <w:rPr>
          <w:noProof/>
        </w:rPr>
      </w:pPr>
      <w:r>
        <w:rPr>
          <w:noProof/>
        </w:rPr>
        <w:t xml:space="preserve"> </w:t>
      </w:r>
      <w:r w:rsidR="007C73F2">
        <w:rPr>
          <w:noProof/>
        </w:rPr>
        <w:pict>
          <v:shape id="_x0000_i1027" type="#_x0000_t75" style="width:453.3pt;height:152.15pt">
            <v:imagedata r:id="rId17" o:title=""/>
          </v:shape>
        </w:pict>
      </w:r>
    </w:p>
    <w:p w:rsidR="001C524E" w:rsidRDefault="00896B22">
      <w:pPr>
        <w:pStyle w:val="Heading1"/>
        <w:numPr>
          <w:ilvl w:val="0"/>
          <w:numId w:val="2"/>
        </w:numPr>
        <w:rPr>
          <w:noProof/>
        </w:rPr>
      </w:pPr>
      <w:r>
        <w:rPr>
          <w:noProof/>
        </w:rPr>
        <w:t>Conclusions</w:t>
      </w:r>
    </w:p>
    <w:p w:rsidR="001C524E" w:rsidRDefault="00896B22">
      <w:pPr>
        <w:spacing w:before="120" w:after="120" w:line="240" w:lineRule="auto"/>
        <w:jc w:val="both"/>
        <w:rPr>
          <w:rFonts w:ascii="Times New Roman" w:eastAsia="Times New Roman" w:hAnsi="Times New Roman" w:cs="Times New Roman"/>
          <w:noProof/>
          <w:sz w:val="24"/>
          <w:szCs w:val="24"/>
        </w:rPr>
      </w:pPr>
      <w:r>
        <w:rPr>
          <w:rFonts w:ascii="Times New Roman"/>
          <w:noProof/>
          <w:sz w:val="24"/>
        </w:rPr>
        <w:t>Le rapport sur l</w:t>
      </w:r>
      <w:r>
        <w:rPr>
          <w:rFonts w:ascii="Times New Roman"/>
          <w:noProof/>
          <w:sz w:val="24"/>
        </w:rPr>
        <w:t>’</w:t>
      </w:r>
      <w:r>
        <w:rPr>
          <w:rFonts w:ascii="Times New Roman"/>
          <w:noProof/>
          <w:sz w:val="24"/>
        </w:rPr>
        <w:t>action engag</w:t>
      </w:r>
      <w:r>
        <w:rPr>
          <w:rFonts w:ascii="Times New Roman"/>
          <w:noProof/>
          <w:sz w:val="24"/>
        </w:rPr>
        <w:t>é</w:t>
      </w:r>
      <w:r>
        <w:rPr>
          <w:rFonts w:ascii="Times New Roman"/>
          <w:noProof/>
          <w:sz w:val="24"/>
        </w:rPr>
        <w:t>e remis par la France le 10</w:t>
      </w:r>
      <w:r>
        <w:rPr>
          <w:rFonts w:ascii="Times New Roman"/>
          <w:noProof/>
          <w:sz w:val="24"/>
        </w:rPr>
        <w:t> </w:t>
      </w:r>
      <w:r>
        <w:rPr>
          <w:rFonts w:ascii="Times New Roman"/>
          <w:noProof/>
          <w:sz w:val="24"/>
        </w:rPr>
        <w:t>juin 2015 confirme l</w:t>
      </w:r>
      <w:r>
        <w:rPr>
          <w:rFonts w:ascii="Times New Roman"/>
          <w:noProof/>
          <w:sz w:val="24"/>
        </w:rPr>
        <w:t>’</w:t>
      </w:r>
      <w:r>
        <w:rPr>
          <w:rFonts w:ascii="Times New Roman"/>
          <w:noProof/>
          <w:sz w:val="24"/>
        </w:rPr>
        <w:t>inte</w:t>
      </w:r>
      <w:r>
        <w:rPr>
          <w:rFonts w:ascii="Times New Roman"/>
          <w:noProof/>
          <w:sz w:val="24"/>
        </w:rPr>
        <w:t>ntion du gouvernement fran</w:t>
      </w:r>
      <w:r>
        <w:rPr>
          <w:rFonts w:ascii="Times New Roman"/>
          <w:noProof/>
          <w:sz w:val="24"/>
        </w:rPr>
        <w:t>ç</w:t>
      </w:r>
      <w:r>
        <w:rPr>
          <w:rFonts w:ascii="Times New Roman"/>
          <w:noProof/>
          <w:sz w:val="24"/>
        </w:rPr>
        <w:t>ais de corriger le d</w:t>
      </w:r>
      <w:r>
        <w:rPr>
          <w:rFonts w:ascii="Times New Roman"/>
          <w:noProof/>
          <w:sz w:val="24"/>
        </w:rPr>
        <w:t>é</w:t>
      </w:r>
      <w:r>
        <w:rPr>
          <w:rFonts w:ascii="Times New Roman"/>
          <w:noProof/>
          <w:sz w:val="24"/>
        </w:rPr>
        <w:t>ficit excessif dans le d</w:t>
      </w:r>
      <w:r>
        <w:rPr>
          <w:rFonts w:ascii="Times New Roman"/>
          <w:noProof/>
          <w:sz w:val="24"/>
        </w:rPr>
        <w:t>é</w:t>
      </w:r>
      <w:r>
        <w:rPr>
          <w:rFonts w:ascii="Times New Roman"/>
          <w:noProof/>
          <w:sz w:val="24"/>
        </w:rPr>
        <w:t>lai fix</w:t>
      </w:r>
      <w:r>
        <w:rPr>
          <w:rFonts w:ascii="Times New Roman"/>
          <w:noProof/>
          <w:sz w:val="24"/>
        </w:rPr>
        <w:t>é</w:t>
      </w:r>
      <w:r>
        <w:rPr>
          <w:rFonts w:ascii="Times New Roman"/>
          <w:noProof/>
          <w:sz w:val="24"/>
        </w:rPr>
        <w:t xml:space="preserve"> par le Conseil (2017 au plus tard) et pr</w:t>
      </w:r>
      <w:r>
        <w:rPr>
          <w:rFonts w:ascii="Times New Roman"/>
          <w:noProof/>
          <w:sz w:val="24"/>
        </w:rPr>
        <w:t>é</w:t>
      </w:r>
      <w:r>
        <w:rPr>
          <w:rFonts w:ascii="Times New Roman"/>
          <w:noProof/>
          <w:sz w:val="24"/>
        </w:rPr>
        <w:t>cise les mesures qui sous-tendent la strat</w:t>
      </w:r>
      <w:r>
        <w:rPr>
          <w:rFonts w:ascii="Times New Roman"/>
          <w:noProof/>
          <w:sz w:val="24"/>
        </w:rPr>
        <w:t>é</w:t>
      </w:r>
      <w:r>
        <w:rPr>
          <w:rFonts w:ascii="Times New Roman"/>
          <w:noProof/>
          <w:sz w:val="24"/>
        </w:rPr>
        <w:t>gie budg</w:t>
      </w:r>
      <w:r>
        <w:rPr>
          <w:rFonts w:ascii="Times New Roman"/>
          <w:noProof/>
          <w:sz w:val="24"/>
        </w:rPr>
        <w:t>é</w:t>
      </w:r>
      <w:r>
        <w:rPr>
          <w:rFonts w:ascii="Times New Roman"/>
          <w:noProof/>
          <w:sz w:val="24"/>
        </w:rPr>
        <w:t>taire expos</w:t>
      </w:r>
      <w:r>
        <w:rPr>
          <w:rFonts w:ascii="Times New Roman"/>
          <w:noProof/>
          <w:sz w:val="24"/>
        </w:rPr>
        <w:t>é</w:t>
      </w:r>
      <w:r>
        <w:rPr>
          <w:rFonts w:ascii="Times New Roman"/>
          <w:noProof/>
          <w:sz w:val="24"/>
        </w:rPr>
        <w:t>e dans le programme de stabilit</w:t>
      </w:r>
      <w:r>
        <w:rPr>
          <w:rFonts w:ascii="Times New Roman"/>
          <w:noProof/>
          <w:sz w:val="24"/>
        </w:rPr>
        <w:t>é</w:t>
      </w:r>
      <w:r>
        <w:rPr>
          <w:rFonts w:ascii="Times New Roman"/>
          <w:noProof/>
          <w:sz w:val="24"/>
        </w:rPr>
        <w:t xml:space="preserve"> de la France. Il n</w:t>
      </w:r>
      <w:r>
        <w:rPr>
          <w:rFonts w:ascii="Times New Roman"/>
          <w:noProof/>
          <w:sz w:val="24"/>
        </w:rPr>
        <w:t>’</w:t>
      </w:r>
      <w:r>
        <w:rPr>
          <w:rFonts w:ascii="Times New Roman"/>
          <w:noProof/>
          <w:sz w:val="24"/>
        </w:rPr>
        <w:t>annonce toutefois</w:t>
      </w:r>
      <w:r>
        <w:rPr>
          <w:rFonts w:ascii="Times New Roman"/>
          <w:noProof/>
          <w:sz w:val="24"/>
        </w:rPr>
        <w:t xml:space="preserve"> aucune mesure nouvelle par rapport au programme de stabilit</w:t>
      </w:r>
      <w:r>
        <w:rPr>
          <w:rFonts w:ascii="Times New Roman"/>
          <w:noProof/>
          <w:sz w:val="24"/>
        </w:rPr>
        <w:t>é</w:t>
      </w:r>
      <w:r>
        <w:rPr>
          <w:rFonts w:ascii="Times New Roman"/>
          <w:noProof/>
          <w:sz w:val="24"/>
        </w:rPr>
        <w:t xml:space="preserve">. </w:t>
      </w:r>
    </w:p>
    <w:p w:rsidR="001C524E" w:rsidRDefault="00896B22">
      <w:pPr>
        <w:spacing w:before="120" w:after="120" w:line="240" w:lineRule="auto"/>
        <w:jc w:val="both"/>
        <w:rPr>
          <w:rFonts w:ascii="Times New Roman"/>
          <w:noProof/>
          <w:sz w:val="24"/>
          <w:szCs w:val="24"/>
        </w:rPr>
      </w:pPr>
      <w:r>
        <w:rPr>
          <w:rFonts w:ascii="Times New Roman"/>
          <w:noProof/>
          <w:sz w:val="24"/>
        </w:rPr>
        <w:t>Globalement, d'apr</w:t>
      </w:r>
      <w:r>
        <w:rPr>
          <w:rFonts w:ascii="Times New Roman"/>
          <w:noProof/>
          <w:sz w:val="24"/>
        </w:rPr>
        <w:t>è</w:t>
      </w:r>
      <w:r>
        <w:rPr>
          <w:rFonts w:ascii="Times New Roman"/>
          <w:noProof/>
          <w:sz w:val="24"/>
        </w:rPr>
        <w:t xml:space="preserve">s les informations disponibles </w:t>
      </w:r>
      <w:r>
        <w:rPr>
          <w:rFonts w:ascii="Times New Roman"/>
          <w:noProof/>
          <w:sz w:val="24"/>
        </w:rPr>
        <w:t>à</w:t>
      </w:r>
      <w:r>
        <w:rPr>
          <w:rFonts w:ascii="Times New Roman"/>
          <w:noProof/>
          <w:sz w:val="24"/>
        </w:rPr>
        <w:t xml:space="preserve"> ce stade, le d</w:t>
      </w:r>
      <w:r>
        <w:rPr>
          <w:rFonts w:ascii="Times New Roman"/>
          <w:noProof/>
          <w:sz w:val="24"/>
        </w:rPr>
        <w:t>é</w:t>
      </w:r>
      <w:r>
        <w:rPr>
          <w:rFonts w:ascii="Times New Roman"/>
          <w:noProof/>
          <w:sz w:val="24"/>
        </w:rPr>
        <w:t>ficit public devrait atteindre 3,8</w:t>
      </w:r>
      <w:r>
        <w:rPr>
          <w:rFonts w:ascii="Times New Roman"/>
          <w:noProof/>
          <w:sz w:val="24"/>
        </w:rPr>
        <w:t> </w:t>
      </w:r>
      <w:r>
        <w:rPr>
          <w:rFonts w:ascii="Times New Roman"/>
          <w:noProof/>
          <w:sz w:val="24"/>
        </w:rPr>
        <w:t>% du PIB en 2015 et 3,4</w:t>
      </w:r>
      <w:r>
        <w:rPr>
          <w:rFonts w:ascii="Times New Roman"/>
          <w:noProof/>
          <w:sz w:val="24"/>
        </w:rPr>
        <w:t> </w:t>
      </w:r>
      <w:r>
        <w:rPr>
          <w:rFonts w:ascii="Times New Roman"/>
          <w:noProof/>
          <w:sz w:val="24"/>
        </w:rPr>
        <w:t>% en 2016, ce qui correspondrait aux objectifs recommand</w:t>
      </w:r>
      <w:r>
        <w:rPr>
          <w:rFonts w:ascii="Times New Roman"/>
          <w:noProof/>
          <w:sz w:val="24"/>
        </w:rPr>
        <w:t>é</w:t>
      </w:r>
      <w:r>
        <w:rPr>
          <w:rFonts w:ascii="Times New Roman"/>
          <w:noProof/>
          <w:sz w:val="24"/>
        </w:rPr>
        <w:t xml:space="preserve">s par le </w:t>
      </w:r>
      <w:r>
        <w:rPr>
          <w:rFonts w:ascii="Times New Roman"/>
          <w:noProof/>
          <w:sz w:val="24"/>
        </w:rPr>
        <w:t>Conseil le 10</w:t>
      </w:r>
      <w:r>
        <w:rPr>
          <w:rFonts w:ascii="Times New Roman"/>
          <w:noProof/>
          <w:sz w:val="24"/>
        </w:rPr>
        <w:t> </w:t>
      </w:r>
      <w:r>
        <w:rPr>
          <w:rFonts w:ascii="Times New Roman"/>
          <w:noProof/>
          <w:sz w:val="24"/>
        </w:rPr>
        <w:t>mars 2015. En revanche, l</w:t>
      </w:r>
      <w:r>
        <w:rPr>
          <w:rFonts w:ascii="Times New Roman"/>
          <w:noProof/>
          <w:sz w:val="24"/>
        </w:rPr>
        <w:t>’</w:t>
      </w:r>
      <w:r>
        <w:rPr>
          <w:rFonts w:ascii="Times New Roman"/>
          <w:noProof/>
          <w:sz w:val="24"/>
        </w:rPr>
        <w:t>am</w:t>
      </w:r>
      <w:r>
        <w:rPr>
          <w:rFonts w:ascii="Times New Roman"/>
          <w:noProof/>
          <w:sz w:val="24"/>
        </w:rPr>
        <w:t>é</w:t>
      </w:r>
      <w:r>
        <w:rPr>
          <w:rFonts w:ascii="Times New Roman"/>
          <w:noProof/>
          <w:sz w:val="24"/>
        </w:rPr>
        <w:t>lioration du solde structurel, telle que la Commission l</w:t>
      </w:r>
      <w:r>
        <w:rPr>
          <w:rFonts w:ascii="Times New Roman"/>
          <w:noProof/>
          <w:sz w:val="24"/>
        </w:rPr>
        <w:t>’</w:t>
      </w:r>
      <w:r>
        <w:rPr>
          <w:rFonts w:ascii="Times New Roman"/>
          <w:noProof/>
          <w:sz w:val="24"/>
        </w:rPr>
        <w:t>a estim</w:t>
      </w:r>
      <w:r>
        <w:rPr>
          <w:rFonts w:ascii="Times New Roman"/>
          <w:noProof/>
          <w:sz w:val="24"/>
        </w:rPr>
        <w:t>é</w:t>
      </w:r>
      <w:r>
        <w:rPr>
          <w:rFonts w:ascii="Times New Roman"/>
          <w:noProof/>
          <w:sz w:val="24"/>
        </w:rPr>
        <w:t xml:space="preserve">e sur la base des informations dont elle disposait </w:t>
      </w:r>
      <w:r>
        <w:rPr>
          <w:rFonts w:ascii="Times New Roman"/>
          <w:noProof/>
          <w:sz w:val="24"/>
        </w:rPr>
        <w:t>à</w:t>
      </w:r>
      <w:r>
        <w:rPr>
          <w:rFonts w:ascii="Times New Roman"/>
          <w:noProof/>
          <w:sz w:val="24"/>
        </w:rPr>
        <w:t xml:space="preserve"> la date du 10</w:t>
      </w:r>
      <w:r>
        <w:rPr>
          <w:rFonts w:ascii="Times New Roman"/>
          <w:noProof/>
          <w:sz w:val="24"/>
        </w:rPr>
        <w:t> </w:t>
      </w:r>
      <w:r>
        <w:rPr>
          <w:rFonts w:ascii="Times New Roman"/>
          <w:noProof/>
          <w:sz w:val="24"/>
        </w:rPr>
        <w:t>juin, est insuffisante pour respecter la recommandation tant en 2015 qu</w:t>
      </w:r>
      <w:r>
        <w:rPr>
          <w:rFonts w:ascii="Times New Roman"/>
          <w:noProof/>
          <w:sz w:val="24"/>
        </w:rPr>
        <w:t>’</w:t>
      </w:r>
      <w:r>
        <w:rPr>
          <w:rFonts w:ascii="Times New Roman"/>
          <w:noProof/>
          <w:sz w:val="24"/>
        </w:rPr>
        <w:t xml:space="preserve">en 2016. </w:t>
      </w:r>
      <w:r>
        <w:rPr>
          <w:rFonts w:ascii="Times New Roman"/>
          <w:noProof/>
          <w:sz w:val="24"/>
        </w:rPr>
        <w:t>Une analyse approfondie, fond</w:t>
      </w:r>
      <w:r>
        <w:rPr>
          <w:rFonts w:ascii="Times New Roman"/>
          <w:noProof/>
          <w:sz w:val="24"/>
        </w:rPr>
        <w:t>é</w:t>
      </w:r>
      <w:r>
        <w:rPr>
          <w:rFonts w:ascii="Times New Roman"/>
          <w:noProof/>
          <w:sz w:val="24"/>
        </w:rPr>
        <w:t xml:space="preserve">e </w:t>
      </w:r>
      <w:r>
        <w:rPr>
          <w:rFonts w:ascii="Times New Roman"/>
          <w:noProof/>
          <w:sz w:val="24"/>
        </w:rPr>
        <w:t>à</w:t>
      </w:r>
      <w:r>
        <w:rPr>
          <w:rFonts w:ascii="Times New Roman"/>
          <w:noProof/>
          <w:sz w:val="24"/>
        </w:rPr>
        <w:t xml:space="preserve"> la fois sur l</w:t>
      </w:r>
      <w:r>
        <w:rPr>
          <w:rFonts w:ascii="Times New Roman"/>
          <w:noProof/>
          <w:sz w:val="24"/>
        </w:rPr>
        <w:t>’é</w:t>
      </w:r>
      <w:r>
        <w:rPr>
          <w:rFonts w:ascii="Times New Roman"/>
          <w:noProof/>
          <w:sz w:val="24"/>
        </w:rPr>
        <w:t>valuation de la variation corrig</w:t>
      </w:r>
      <w:r>
        <w:rPr>
          <w:rFonts w:ascii="Times New Roman"/>
          <w:noProof/>
          <w:sz w:val="24"/>
        </w:rPr>
        <w:t>é</w:t>
      </w:r>
      <w:r>
        <w:rPr>
          <w:rFonts w:ascii="Times New Roman"/>
          <w:noProof/>
          <w:sz w:val="24"/>
        </w:rPr>
        <w:t>e du solde structurel (approche descendante) et de l'ampleur des mesures pr</w:t>
      </w:r>
      <w:r>
        <w:rPr>
          <w:rFonts w:ascii="Times New Roman"/>
          <w:noProof/>
          <w:sz w:val="24"/>
        </w:rPr>
        <w:t>é</w:t>
      </w:r>
      <w:r>
        <w:rPr>
          <w:rFonts w:ascii="Times New Roman"/>
          <w:noProof/>
          <w:sz w:val="24"/>
        </w:rPr>
        <w:t xml:space="preserve">vues (approche ascendante), conclut </w:t>
      </w:r>
      <w:r>
        <w:rPr>
          <w:rFonts w:ascii="Times New Roman"/>
          <w:noProof/>
          <w:sz w:val="24"/>
        </w:rPr>
        <w:t>é</w:t>
      </w:r>
      <w:r>
        <w:rPr>
          <w:rFonts w:ascii="Times New Roman"/>
          <w:noProof/>
          <w:sz w:val="24"/>
        </w:rPr>
        <w:t>galement que l</w:t>
      </w:r>
      <w:r>
        <w:rPr>
          <w:rFonts w:ascii="Times New Roman"/>
          <w:noProof/>
          <w:sz w:val="24"/>
        </w:rPr>
        <w:t>’</w:t>
      </w:r>
      <w:r>
        <w:rPr>
          <w:rFonts w:ascii="Times New Roman"/>
          <w:noProof/>
          <w:sz w:val="24"/>
        </w:rPr>
        <w:t>effort budg</w:t>
      </w:r>
      <w:r>
        <w:rPr>
          <w:rFonts w:ascii="Times New Roman"/>
          <w:noProof/>
          <w:sz w:val="24"/>
        </w:rPr>
        <w:t>é</w:t>
      </w:r>
      <w:r>
        <w:rPr>
          <w:rFonts w:ascii="Times New Roman"/>
          <w:noProof/>
          <w:sz w:val="24"/>
        </w:rPr>
        <w:t>taire n</w:t>
      </w:r>
      <w:r>
        <w:rPr>
          <w:rFonts w:ascii="Times New Roman"/>
          <w:noProof/>
          <w:sz w:val="24"/>
        </w:rPr>
        <w:t>’</w:t>
      </w:r>
      <w:r>
        <w:rPr>
          <w:rFonts w:ascii="Times New Roman"/>
          <w:noProof/>
          <w:sz w:val="24"/>
        </w:rPr>
        <w:t>atteindra pas le niveau re</w:t>
      </w:r>
      <w:r>
        <w:rPr>
          <w:rFonts w:ascii="Times New Roman"/>
          <w:noProof/>
          <w:sz w:val="24"/>
        </w:rPr>
        <w:t>command</w:t>
      </w:r>
      <w:r>
        <w:rPr>
          <w:rFonts w:ascii="Times New Roman"/>
          <w:noProof/>
          <w:sz w:val="24"/>
        </w:rPr>
        <w:t>é</w:t>
      </w:r>
      <w:r>
        <w:rPr>
          <w:rFonts w:ascii="Times New Roman"/>
          <w:noProof/>
          <w:sz w:val="24"/>
        </w:rPr>
        <w:t xml:space="preserve"> par le Conseil. Par ailleurs, le rapport sur l</w:t>
      </w:r>
      <w:r>
        <w:rPr>
          <w:rFonts w:ascii="Times New Roman"/>
          <w:noProof/>
          <w:sz w:val="24"/>
        </w:rPr>
        <w:t>’</w:t>
      </w:r>
      <w:r>
        <w:rPr>
          <w:rFonts w:ascii="Times New Roman"/>
          <w:noProof/>
          <w:sz w:val="24"/>
        </w:rPr>
        <w:t>action engag</w:t>
      </w:r>
      <w:r>
        <w:rPr>
          <w:rFonts w:ascii="Times New Roman"/>
          <w:noProof/>
          <w:sz w:val="24"/>
        </w:rPr>
        <w:t>é</w:t>
      </w:r>
      <w:r>
        <w:rPr>
          <w:rFonts w:ascii="Times New Roman"/>
          <w:noProof/>
          <w:sz w:val="24"/>
        </w:rPr>
        <w:t xml:space="preserve">e ne contient aucune </w:t>
      </w:r>
      <w:r>
        <w:rPr>
          <w:rFonts w:ascii="Times New Roman"/>
          <w:noProof/>
          <w:sz w:val="24"/>
        </w:rPr>
        <w:t>é</w:t>
      </w:r>
      <w:r>
        <w:rPr>
          <w:rFonts w:ascii="Times New Roman"/>
          <w:noProof/>
          <w:sz w:val="24"/>
        </w:rPr>
        <w:t>valuation des principales mesures pr</w:t>
      </w:r>
      <w:r>
        <w:rPr>
          <w:rFonts w:ascii="Times New Roman"/>
          <w:noProof/>
          <w:sz w:val="24"/>
        </w:rPr>
        <w:t>é</w:t>
      </w:r>
      <w:r>
        <w:rPr>
          <w:rFonts w:ascii="Times New Roman"/>
          <w:noProof/>
          <w:sz w:val="24"/>
        </w:rPr>
        <w:t>vues pour 2016 et 2017, en d</w:t>
      </w:r>
      <w:r>
        <w:rPr>
          <w:rFonts w:ascii="Times New Roman"/>
          <w:noProof/>
          <w:sz w:val="24"/>
        </w:rPr>
        <w:t>é</w:t>
      </w:r>
      <w:r>
        <w:rPr>
          <w:rFonts w:ascii="Times New Roman"/>
          <w:noProof/>
          <w:sz w:val="24"/>
        </w:rPr>
        <w:t>pit de la recommandation du Conseil en ce sens. Enfin, la loi de programmation des finances publiqu</w:t>
      </w:r>
      <w:r>
        <w:rPr>
          <w:rFonts w:ascii="Times New Roman"/>
          <w:noProof/>
          <w:sz w:val="24"/>
        </w:rPr>
        <w:t>es n</w:t>
      </w:r>
      <w:r>
        <w:rPr>
          <w:rFonts w:ascii="Times New Roman"/>
          <w:noProof/>
          <w:sz w:val="24"/>
        </w:rPr>
        <w:t>’</w:t>
      </w:r>
      <w:r>
        <w:rPr>
          <w:rFonts w:ascii="Times New Roman"/>
          <w:noProof/>
          <w:sz w:val="24"/>
        </w:rPr>
        <w:t xml:space="preserve">a pas </w:t>
      </w:r>
      <w:r>
        <w:rPr>
          <w:rFonts w:ascii="Times New Roman"/>
          <w:noProof/>
          <w:sz w:val="24"/>
        </w:rPr>
        <w:t>é</w:t>
      </w:r>
      <w:r>
        <w:rPr>
          <w:rFonts w:ascii="Times New Roman"/>
          <w:noProof/>
          <w:sz w:val="24"/>
        </w:rPr>
        <w:t>t</w:t>
      </w:r>
      <w:r>
        <w:rPr>
          <w:rFonts w:ascii="Times New Roman"/>
          <w:noProof/>
          <w:sz w:val="24"/>
        </w:rPr>
        <w:t>é</w:t>
      </w:r>
      <w:r>
        <w:rPr>
          <w:rFonts w:ascii="Times New Roman"/>
          <w:noProof/>
          <w:sz w:val="24"/>
        </w:rPr>
        <w:t xml:space="preserve"> mise </w:t>
      </w:r>
      <w:r>
        <w:rPr>
          <w:rFonts w:ascii="Times New Roman"/>
          <w:noProof/>
          <w:sz w:val="24"/>
        </w:rPr>
        <w:t>à</w:t>
      </w:r>
      <w:r>
        <w:rPr>
          <w:rFonts w:ascii="Times New Roman"/>
          <w:noProof/>
          <w:sz w:val="24"/>
        </w:rPr>
        <w:t xml:space="preserve"> jour comme l</w:t>
      </w:r>
      <w:r>
        <w:rPr>
          <w:rFonts w:ascii="Times New Roman"/>
          <w:noProof/>
          <w:sz w:val="24"/>
        </w:rPr>
        <w:t>’</w:t>
      </w:r>
      <w:r>
        <w:rPr>
          <w:rFonts w:ascii="Times New Roman"/>
          <w:noProof/>
          <w:sz w:val="24"/>
        </w:rPr>
        <w:t>a recommand</w:t>
      </w:r>
      <w:r>
        <w:rPr>
          <w:rFonts w:ascii="Times New Roman"/>
          <w:noProof/>
          <w:sz w:val="24"/>
        </w:rPr>
        <w:t>é</w:t>
      </w:r>
      <w:r>
        <w:rPr>
          <w:rFonts w:ascii="Times New Roman"/>
          <w:noProof/>
          <w:sz w:val="24"/>
        </w:rPr>
        <w:t xml:space="preserve"> le Conseil. </w:t>
      </w:r>
    </w:p>
    <w:p w:rsidR="001C524E" w:rsidRDefault="00896B22">
      <w:pPr>
        <w:spacing w:before="120" w:after="120" w:line="240" w:lineRule="auto"/>
        <w:jc w:val="both"/>
        <w:rPr>
          <w:rFonts w:ascii="Times New Roman"/>
          <w:noProof/>
          <w:sz w:val="24"/>
          <w:szCs w:val="24"/>
        </w:rPr>
      </w:pPr>
      <w:r>
        <w:rPr>
          <w:rFonts w:ascii="Times New Roman"/>
          <w:noProof/>
          <w:sz w:val="24"/>
        </w:rPr>
        <w:t>La strat</w:t>
      </w:r>
      <w:r>
        <w:rPr>
          <w:rFonts w:ascii="Times New Roman"/>
          <w:noProof/>
          <w:sz w:val="24"/>
        </w:rPr>
        <w:t>é</w:t>
      </w:r>
      <w:r>
        <w:rPr>
          <w:rFonts w:ascii="Times New Roman"/>
          <w:noProof/>
          <w:sz w:val="24"/>
        </w:rPr>
        <w:t>gie d</w:t>
      </w:r>
      <w:r>
        <w:rPr>
          <w:rFonts w:ascii="Times New Roman"/>
          <w:noProof/>
          <w:sz w:val="24"/>
        </w:rPr>
        <w:t>’</w:t>
      </w:r>
      <w:r>
        <w:rPr>
          <w:rFonts w:ascii="Times New Roman"/>
          <w:noProof/>
          <w:sz w:val="24"/>
        </w:rPr>
        <w:t>assainissement men</w:t>
      </w:r>
      <w:r>
        <w:rPr>
          <w:rFonts w:ascii="Times New Roman"/>
          <w:noProof/>
          <w:sz w:val="24"/>
        </w:rPr>
        <w:t>é</w:t>
      </w:r>
      <w:r>
        <w:rPr>
          <w:rFonts w:ascii="Times New Roman"/>
          <w:noProof/>
          <w:sz w:val="24"/>
        </w:rPr>
        <w:t>e par la France repose principalement sur l</w:t>
      </w:r>
      <w:r>
        <w:rPr>
          <w:rFonts w:ascii="Times New Roman"/>
          <w:noProof/>
          <w:sz w:val="24"/>
        </w:rPr>
        <w:t>’</w:t>
      </w:r>
      <w:r>
        <w:rPr>
          <w:rFonts w:ascii="Times New Roman"/>
          <w:noProof/>
          <w:sz w:val="24"/>
        </w:rPr>
        <w:t>embellie conjoncturelle et la persistance de taux d</w:t>
      </w:r>
      <w:r>
        <w:rPr>
          <w:rFonts w:ascii="Times New Roman"/>
          <w:noProof/>
          <w:sz w:val="24"/>
        </w:rPr>
        <w:t>’</w:t>
      </w:r>
      <w:r>
        <w:rPr>
          <w:rFonts w:ascii="Times New Roman"/>
          <w:noProof/>
          <w:sz w:val="24"/>
        </w:rPr>
        <w:t>int</w:t>
      </w:r>
      <w:r>
        <w:rPr>
          <w:rFonts w:ascii="Times New Roman"/>
          <w:noProof/>
          <w:sz w:val="24"/>
        </w:rPr>
        <w:t>é</w:t>
      </w:r>
      <w:r>
        <w:rPr>
          <w:rFonts w:ascii="Times New Roman"/>
          <w:noProof/>
          <w:sz w:val="24"/>
        </w:rPr>
        <w:t>r</w:t>
      </w:r>
      <w:r>
        <w:rPr>
          <w:rFonts w:ascii="Times New Roman"/>
          <w:noProof/>
          <w:sz w:val="24"/>
        </w:rPr>
        <w:t>ê</w:t>
      </w:r>
      <w:r>
        <w:rPr>
          <w:rFonts w:ascii="Times New Roman"/>
          <w:noProof/>
          <w:sz w:val="24"/>
        </w:rPr>
        <w:t>t bas. Pour garantir une correction durable de son d</w:t>
      </w:r>
      <w:r>
        <w:rPr>
          <w:rFonts w:ascii="Times New Roman"/>
          <w:noProof/>
          <w:sz w:val="24"/>
        </w:rPr>
        <w:t>é</w:t>
      </w:r>
      <w:r>
        <w:rPr>
          <w:rFonts w:ascii="Times New Roman"/>
          <w:noProof/>
          <w:sz w:val="24"/>
        </w:rPr>
        <w:t xml:space="preserve">ficit </w:t>
      </w:r>
      <w:r>
        <w:rPr>
          <w:rFonts w:ascii="Times New Roman"/>
          <w:noProof/>
          <w:sz w:val="24"/>
        </w:rPr>
        <w:t>excessif dans le d</w:t>
      </w:r>
      <w:r>
        <w:rPr>
          <w:rFonts w:ascii="Times New Roman"/>
          <w:noProof/>
          <w:sz w:val="24"/>
        </w:rPr>
        <w:t>é</w:t>
      </w:r>
      <w:r>
        <w:rPr>
          <w:rFonts w:ascii="Times New Roman"/>
          <w:noProof/>
          <w:sz w:val="24"/>
        </w:rPr>
        <w:t>lai prescrit, la France devrait donc renforcer encore sa strat</w:t>
      </w:r>
      <w:r>
        <w:rPr>
          <w:rFonts w:ascii="Times New Roman"/>
          <w:noProof/>
          <w:sz w:val="24"/>
        </w:rPr>
        <w:t>é</w:t>
      </w:r>
      <w:r>
        <w:rPr>
          <w:rFonts w:ascii="Times New Roman"/>
          <w:noProof/>
          <w:sz w:val="24"/>
        </w:rPr>
        <w:t>gie budg</w:t>
      </w:r>
      <w:r>
        <w:rPr>
          <w:rFonts w:ascii="Times New Roman"/>
          <w:noProof/>
          <w:sz w:val="24"/>
        </w:rPr>
        <w:t>é</w:t>
      </w:r>
      <w:r>
        <w:rPr>
          <w:rFonts w:ascii="Times New Roman"/>
          <w:noProof/>
          <w:sz w:val="24"/>
        </w:rPr>
        <w:t>taire. Les autorit</w:t>
      </w:r>
      <w:r>
        <w:rPr>
          <w:rFonts w:ascii="Times New Roman"/>
          <w:noProof/>
          <w:sz w:val="24"/>
        </w:rPr>
        <w:t>é</w:t>
      </w:r>
      <w:r>
        <w:rPr>
          <w:rFonts w:ascii="Times New Roman"/>
          <w:noProof/>
          <w:sz w:val="24"/>
        </w:rPr>
        <w:t>s fran</w:t>
      </w:r>
      <w:r>
        <w:rPr>
          <w:rFonts w:ascii="Times New Roman"/>
          <w:noProof/>
          <w:sz w:val="24"/>
        </w:rPr>
        <w:t>ç</w:t>
      </w:r>
      <w:r>
        <w:rPr>
          <w:rFonts w:ascii="Times New Roman"/>
          <w:noProof/>
          <w:sz w:val="24"/>
        </w:rPr>
        <w:t>aises doivent notamment d</w:t>
      </w:r>
      <w:r>
        <w:rPr>
          <w:rFonts w:ascii="Times New Roman"/>
          <w:noProof/>
          <w:sz w:val="24"/>
        </w:rPr>
        <w:t>é</w:t>
      </w:r>
      <w:r>
        <w:rPr>
          <w:rFonts w:ascii="Times New Roman"/>
          <w:noProof/>
          <w:sz w:val="24"/>
        </w:rPr>
        <w:t xml:space="preserve">tailler davantage les </w:t>
      </w:r>
      <w:r>
        <w:rPr>
          <w:rFonts w:ascii="Times New Roman"/>
          <w:noProof/>
          <w:sz w:val="24"/>
        </w:rPr>
        <w:t>é</w:t>
      </w:r>
      <w:r>
        <w:rPr>
          <w:rFonts w:ascii="Times New Roman"/>
          <w:noProof/>
          <w:sz w:val="24"/>
        </w:rPr>
        <w:t>conomies pr</w:t>
      </w:r>
      <w:r>
        <w:rPr>
          <w:rFonts w:ascii="Times New Roman"/>
          <w:noProof/>
          <w:sz w:val="24"/>
        </w:rPr>
        <w:t>é</w:t>
      </w:r>
      <w:r>
        <w:rPr>
          <w:rFonts w:ascii="Times New Roman"/>
          <w:noProof/>
          <w:sz w:val="24"/>
        </w:rPr>
        <w:t xml:space="preserve">vues pour 2016 et 2017 et elles devraient affecter </w:t>
      </w:r>
      <w:r>
        <w:rPr>
          <w:rFonts w:ascii="Times New Roman"/>
          <w:noProof/>
          <w:sz w:val="24"/>
        </w:rPr>
        <w:t>à</w:t>
      </w:r>
      <w:r>
        <w:rPr>
          <w:rFonts w:ascii="Times New Roman"/>
          <w:noProof/>
          <w:sz w:val="24"/>
        </w:rPr>
        <w:t xml:space="preserve"> la r</w:t>
      </w:r>
      <w:r>
        <w:rPr>
          <w:rFonts w:ascii="Times New Roman"/>
          <w:noProof/>
          <w:sz w:val="24"/>
        </w:rPr>
        <w:t>é</w:t>
      </w:r>
      <w:r>
        <w:rPr>
          <w:rFonts w:ascii="Times New Roman"/>
          <w:noProof/>
          <w:sz w:val="24"/>
        </w:rPr>
        <w:t>duction du d</w:t>
      </w:r>
      <w:r>
        <w:rPr>
          <w:rFonts w:ascii="Times New Roman"/>
          <w:noProof/>
          <w:sz w:val="24"/>
        </w:rPr>
        <w:t>é</w:t>
      </w:r>
      <w:r>
        <w:rPr>
          <w:rFonts w:ascii="Times New Roman"/>
          <w:noProof/>
          <w:sz w:val="24"/>
        </w:rPr>
        <w:t>ficit l</w:t>
      </w:r>
      <w:r>
        <w:rPr>
          <w:rFonts w:ascii="Times New Roman"/>
          <w:noProof/>
          <w:sz w:val="24"/>
        </w:rPr>
        <w:t>es gains exceptionnels, notamment ceux d</w:t>
      </w:r>
      <w:r>
        <w:rPr>
          <w:rFonts w:ascii="Times New Roman"/>
          <w:noProof/>
          <w:sz w:val="24"/>
        </w:rPr>
        <w:t>é</w:t>
      </w:r>
      <w:r>
        <w:rPr>
          <w:rFonts w:ascii="Times New Roman"/>
          <w:noProof/>
          <w:sz w:val="24"/>
        </w:rPr>
        <w:t xml:space="preserve">coulant d'une </w:t>
      </w:r>
      <w:r>
        <w:rPr>
          <w:rFonts w:ascii="Times New Roman"/>
          <w:noProof/>
          <w:sz w:val="24"/>
        </w:rPr>
        <w:t>é</w:t>
      </w:r>
      <w:r>
        <w:rPr>
          <w:rFonts w:ascii="Times New Roman"/>
          <w:noProof/>
          <w:sz w:val="24"/>
        </w:rPr>
        <w:t>volution plus favorable que pr</w:t>
      </w:r>
      <w:r>
        <w:rPr>
          <w:rFonts w:ascii="Times New Roman"/>
          <w:noProof/>
          <w:sz w:val="24"/>
        </w:rPr>
        <w:t>é</w:t>
      </w:r>
      <w:r>
        <w:rPr>
          <w:rFonts w:ascii="Times New Roman"/>
          <w:noProof/>
          <w:sz w:val="24"/>
        </w:rPr>
        <w:t>vu des recettes fiscales ou des taux d</w:t>
      </w:r>
      <w:r>
        <w:rPr>
          <w:rFonts w:ascii="Times New Roman"/>
          <w:noProof/>
          <w:sz w:val="24"/>
        </w:rPr>
        <w:t>’</w:t>
      </w:r>
      <w:r>
        <w:rPr>
          <w:rFonts w:ascii="Times New Roman"/>
          <w:noProof/>
          <w:sz w:val="24"/>
        </w:rPr>
        <w:t>int</w:t>
      </w:r>
      <w:r>
        <w:rPr>
          <w:rFonts w:ascii="Times New Roman"/>
          <w:noProof/>
          <w:sz w:val="24"/>
        </w:rPr>
        <w:t>é</w:t>
      </w:r>
      <w:r>
        <w:rPr>
          <w:rFonts w:ascii="Times New Roman"/>
          <w:noProof/>
          <w:sz w:val="24"/>
        </w:rPr>
        <w:t>r</w:t>
      </w:r>
      <w:r>
        <w:rPr>
          <w:rFonts w:ascii="Times New Roman"/>
          <w:noProof/>
          <w:sz w:val="24"/>
        </w:rPr>
        <w:t>ê</w:t>
      </w:r>
      <w:r>
        <w:rPr>
          <w:rFonts w:ascii="Times New Roman"/>
          <w:noProof/>
          <w:sz w:val="24"/>
        </w:rPr>
        <w:t xml:space="preserve">t. Elles devraient </w:t>
      </w:r>
      <w:r>
        <w:rPr>
          <w:rFonts w:ascii="Times New Roman"/>
          <w:noProof/>
          <w:sz w:val="24"/>
        </w:rPr>
        <w:t>é</w:t>
      </w:r>
      <w:r>
        <w:rPr>
          <w:rFonts w:ascii="Times New Roman"/>
          <w:noProof/>
          <w:sz w:val="24"/>
        </w:rPr>
        <w:t>galement s</w:t>
      </w:r>
      <w:r>
        <w:rPr>
          <w:rFonts w:ascii="Times New Roman"/>
          <w:noProof/>
          <w:sz w:val="24"/>
        </w:rPr>
        <w:t>’</w:t>
      </w:r>
      <w:r>
        <w:rPr>
          <w:rFonts w:ascii="Times New Roman"/>
          <w:noProof/>
          <w:sz w:val="24"/>
        </w:rPr>
        <w:t>efforcer de rendre les revues de d</w:t>
      </w:r>
      <w:r>
        <w:rPr>
          <w:rFonts w:ascii="Times New Roman"/>
          <w:noProof/>
          <w:sz w:val="24"/>
        </w:rPr>
        <w:t>é</w:t>
      </w:r>
      <w:r>
        <w:rPr>
          <w:rFonts w:ascii="Times New Roman"/>
          <w:noProof/>
          <w:sz w:val="24"/>
        </w:rPr>
        <w:t>penses plus efficaces et recenser les possibilit</w:t>
      </w:r>
      <w:r>
        <w:rPr>
          <w:rFonts w:ascii="Times New Roman"/>
          <w:noProof/>
          <w:sz w:val="24"/>
        </w:rPr>
        <w:t>é</w:t>
      </w:r>
      <w:r>
        <w:rPr>
          <w:rFonts w:ascii="Times New Roman"/>
          <w:noProof/>
          <w:sz w:val="24"/>
        </w:rPr>
        <w:t>s d</w:t>
      </w:r>
      <w:r>
        <w:rPr>
          <w:rFonts w:ascii="Times New Roman"/>
          <w:noProof/>
          <w:sz w:val="24"/>
        </w:rPr>
        <w:t>’é</w:t>
      </w:r>
      <w:r>
        <w:rPr>
          <w:rFonts w:ascii="Times New Roman"/>
          <w:noProof/>
          <w:sz w:val="24"/>
        </w:rPr>
        <w:t>cono</w:t>
      </w:r>
      <w:r>
        <w:rPr>
          <w:rFonts w:ascii="Times New Roman"/>
          <w:noProof/>
          <w:sz w:val="24"/>
        </w:rPr>
        <w:t>mies dans tous les sous-secteurs des administrations publiques, notamment aux niveaux de la s</w:t>
      </w:r>
      <w:r>
        <w:rPr>
          <w:rFonts w:ascii="Times New Roman"/>
          <w:noProof/>
          <w:sz w:val="24"/>
        </w:rPr>
        <w:t>é</w:t>
      </w:r>
      <w:r>
        <w:rPr>
          <w:rFonts w:ascii="Times New Roman"/>
          <w:noProof/>
          <w:sz w:val="24"/>
        </w:rPr>
        <w:t>curit</w:t>
      </w:r>
      <w:r>
        <w:rPr>
          <w:rFonts w:ascii="Times New Roman"/>
          <w:noProof/>
          <w:sz w:val="24"/>
        </w:rPr>
        <w:t>é</w:t>
      </w:r>
      <w:r>
        <w:rPr>
          <w:rFonts w:ascii="Times New Roman"/>
          <w:noProof/>
          <w:sz w:val="24"/>
        </w:rPr>
        <w:t xml:space="preserve"> sociale et des collectivit</w:t>
      </w:r>
      <w:r>
        <w:rPr>
          <w:rFonts w:ascii="Times New Roman"/>
          <w:noProof/>
          <w:sz w:val="24"/>
        </w:rPr>
        <w:t>é</w:t>
      </w:r>
      <w:r>
        <w:rPr>
          <w:rFonts w:ascii="Times New Roman"/>
          <w:noProof/>
          <w:sz w:val="24"/>
        </w:rPr>
        <w:t>s locales, conform</w:t>
      </w:r>
      <w:r>
        <w:rPr>
          <w:rFonts w:ascii="Times New Roman"/>
          <w:noProof/>
          <w:sz w:val="24"/>
        </w:rPr>
        <w:t>é</w:t>
      </w:r>
      <w:r>
        <w:rPr>
          <w:rFonts w:ascii="Times New Roman"/>
          <w:noProof/>
          <w:sz w:val="24"/>
        </w:rPr>
        <w:t xml:space="preserve">ment </w:t>
      </w:r>
      <w:r>
        <w:rPr>
          <w:rFonts w:ascii="Times New Roman"/>
          <w:noProof/>
          <w:sz w:val="24"/>
        </w:rPr>
        <w:t>à</w:t>
      </w:r>
      <w:r>
        <w:rPr>
          <w:rFonts w:ascii="Times New Roman"/>
          <w:noProof/>
          <w:sz w:val="24"/>
        </w:rPr>
        <w:t xml:space="preserve"> la recommandation du Conseil. Enfin, il importe que l</w:t>
      </w:r>
      <w:r>
        <w:rPr>
          <w:rFonts w:ascii="Times New Roman"/>
          <w:noProof/>
          <w:sz w:val="24"/>
        </w:rPr>
        <w:t>’</w:t>
      </w:r>
      <w:r>
        <w:rPr>
          <w:rFonts w:ascii="Times New Roman"/>
          <w:noProof/>
          <w:sz w:val="24"/>
        </w:rPr>
        <w:t>assainissement budg</w:t>
      </w:r>
      <w:r>
        <w:rPr>
          <w:rFonts w:ascii="Times New Roman"/>
          <w:noProof/>
          <w:sz w:val="24"/>
        </w:rPr>
        <w:t>é</w:t>
      </w:r>
      <w:r>
        <w:rPr>
          <w:rFonts w:ascii="Times New Roman"/>
          <w:noProof/>
          <w:sz w:val="24"/>
        </w:rPr>
        <w:t xml:space="preserve">taire soit </w:t>
      </w:r>
      <w:r>
        <w:rPr>
          <w:rFonts w:ascii="Times New Roman"/>
          <w:noProof/>
          <w:sz w:val="24"/>
        </w:rPr>
        <w:t>é</w:t>
      </w:r>
      <w:r>
        <w:rPr>
          <w:rFonts w:ascii="Times New Roman"/>
          <w:noProof/>
          <w:sz w:val="24"/>
        </w:rPr>
        <w:t>tay</w:t>
      </w:r>
      <w:r>
        <w:rPr>
          <w:rFonts w:ascii="Times New Roman"/>
          <w:noProof/>
          <w:sz w:val="24"/>
        </w:rPr>
        <w:t>é</w:t>
      </w:r>
      <w:r>
        <w:rPr>
          <w:rFonts w:ascii="Times New Roman"/>
          <w:noProof/>
          <w:sz w:val="24"/>
        </w:rPr>
        <w:t xml:space="preserve"> par des r</w:t>
      </w:r>
      <w:r>
        <w:rPr>
          <w:rFonts w:ascii="Times New Roman"/>
          <w:noProof/>
          <w:sz w:val="24"/>
        </w:rPr>
        <w:t>é</w:t>
      </w:r>
      <w:r>
        <w:rPr>
          <w:rFonts w:ascii="Times New Roman"/>
          <w:noProof/>
          <w:sz w:val="24"/>
        </w:rPr>
        <w:t>f</w:t>
      </w:r>
      <w:r>
        <w:rPr>
          <w:rFonts w:ascii="Times New Roman"/>
          <w:noProof/>
          <w:sz w:val="24"/>
        </w:rPr>
        <w:t>ormes structurelles globales et ambitieuses, conform</w:t>
      </w:r>
      <w:r>
        <w:rPr>
          <w:rFonts w:ascii="Times New Roman"/>
          <w:noProof/>
          <w:sz w:val="24"/>
        </w:rPr>
        <w:t>é</w:t>
      </w:r>
      <w:r>
        <w:rPr>
          <w:rFonts w:ascii="Times New Roman"/>
          <w:noProof/>
          <w:sz w:val="24"/>
        </w:rPr>
        <w:t>ment aux recommandations adress</w:t>
      </w:r>
      <w:r>
        <w:rPr>
          <w:rFonts w:ascii="Times New Roman"/>
          <w:noProof/>
          <w:sz w:val="24"/>
        </w:rPr>
        <w:t>é</w:t>
      </w:r>
      <w:r>
        <w:rPr>
          <w:rFonts w:ascii="Times New Roman"/>
          <w:noProof/>
          <w:sz w:val="24"/>
        </w:rPr>
        <w:t xml:space="preserve">es par le Conseil </w:t>
      </w:r>
      <w:r>
        <w:rPr>
          <w:rFonts w:ascii="Times New Roman"/>
          <w:noProof/>
          <w:sz w:val="24"/>
        </w:rPr>
        <w:t>à</w:t>
      </w:r>
      <w:r>
        <w:rPr>
          <w:rFonts w:ascii="Times New Roman"/>
          <w:noProof/>
          <w:sz w:val="24"/>
        </w:rPr>
        <w:t xml:space="preserve"> la France dans le contexte du semestre europ</w:t>
      </w:r>
      <w:r>
        <w:rPr>
          <w:rFonts w:ascii="Times New Roman"/>
          <w:noProof/>
          <w:sz w:val="24"/>
        </w:rPr>
        <w:t>é</w:t>
      </w:r>
      <w:r>
        <w:rPr>
          <w:rFonts w:ascii="Times New Roman"/>
          <w:noProof/>
          <w:sz w:val="24"/>
        </w:rPr>
        <w:t>en, en particulier en lien avec la proc</w:t>
      </w:r>
      <w:r>
        <w:rPr>
          <w:rFonts w:ascii="Times New Roman"/>
          <w:noProof/>
          <w:sz w:val="24"/>
        </w:rPr>
        <w:t>é</w:t>
      </w:r>
      <w:r>
        <w:rPr>
          <w:rFonts w:ascii="Times New Roman"/>
          <w:noProof/>
          <w:sz w:val="24"/>
        </w:rPr>
        <w:t>dure concernant les d</w:t>
      </w:r>
      <w:r>
        <w:rPr>
          <w:rFonts w:ascii="Times New Roman"/>
          <w:noProof/>
          <w:sz w:val="24"/>
        </w:rPr>
        <w:t>é</w:t>
      </w:r>
      <w:r>
        <w:rPr>
          <w:rFonts w:ascii="Times New Roman"/>
          <w:noProof/>
          <w:sz w:val="24"/>
        </w:rPr>
        <w:t>s</w:t>
      </w:r>
      <w:r>
        <w:rPr>
          <w:rFonts w:ascii="Times New Roman"/>
          <w:noProof/>
          <w:sz w:val="24"/>
        </w:rPr>
        <w:t>é</w:t>
      </w:r>
      <w:r>
        <w:rPr>
          <w:rFonts w:ascii="Times New Roman"/>
          <w:noProof/>
          <w:sz w:val="24"/>
        </w:rPr>
        <w:t>quilibres macro</w:t>
      </w:r>
      <w:r>
        <w:rPr>
          <w:rFonts w:ascii="Times New Roman"/>
          <w:noProof/>
          <w:sz w:val="24"/>
        </w:rPr>
        <w:t>é</w:t>
      </w:r>
      <w:r>
        <w:rPr>
          <w:rFonts w:ascii="Times New Roman"/>
          <w:noProof/>
          <w:sz w:val="24"/>
        </w:rPr>
        <w:t xml:space="preserve">conomiques. </w:t>
      </w:r>
    </w:p>
    <w:p w:rsidR="001C524E" w:rsidRDefault="00896B22">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En résumé, la</w:t>
      </w:r>
      <w:r>
        <w:rPr>
          <w:rFonts w:ascii="Times New Roman" w:hAnsi="Times New Roman"/>
          <w:noProof/>
          <w:sz w:val="24"/>
        </w:rPr>
        <w:t xml:space="preserve"> Commission s’attend à ce que la France respecte ses objectifs de déficit nominal en 2015 et en 2016, alors que l’effort budgétaire restera, quel que soit le mode de calcul, inférieur au niveau recommandé pour ces deux années. </w:t>
      </w:r>
      <w:r>
        <w:rPr>
          <w:rFonts w:ascii="Times New Roman"/>
          <w:noProof/>
          <w:sz w:val="24"/>
        </w:rPr>
        <w:t>En vertu de la m</w:t>
      </w:r>
      <w:r>
        <w:rPr>
          <w:rFonts w:ascii="Times New Roman"/>
          <w:noProof/>
          <w:sz w:val="24"/>
        </w:rPr>
        <w:t>é</w:t>
      </w:r>
      <w:r>
        <w:rPr>
          <w:rFonts w:ascii="Times New Roman"/>
          <w:noProof/>
          <w:sz w:val="24"/>
        </w:rPr>
        <w:t>thode d</w:t>
      </w:r>
      <w:r>
        <w:rPr>
          <w:rFonts w:ascii="Times New Roman"/>
          <w:noProof/>
          <w:sz w:val="24"/>
        </w:rPr>
        <w:t>’é</w:t>
      </w:r>
      <w:r>
        <w:rPr>
          <w:rFonts w:ascii="Times New Roman"/>
          <w:noProof/>
          <w:sz w:val="24"/>
        </w:rPr>
        <w:t>val</w:t>
      </w:r>
      <w:r>
        <w:rPr>
          <w:rFonts w:ascii="Times New Roman"/>
          <w:noProof/>
          <w:sz w:val="24"/>
        </w:rPr>
        <w:t>uation de l</w:t>
      </w:r>
      <w:r>
        <w:rPr>
          <w:rFonts w:ascii="Times New Roman"/>
          <w:noProof/>
          <w:sz w:val="24"/>
        </w:rPr>
        <w:t>’</w:t>
      </w:r>
      <w:r>
        <w:rPr>
          <w:rFonts w:ascii="Times New Roman"/>
          <w:noProof/>
          <w:sz w:val="24"/>
        </w:rPr>
        <w:t>action suivie d</w:t>
      </w:r>
      <w:r>
        <w:rPr>
          <w:rFonts w:ascii="Times New Roman"/>
          <w:noProof/>
          <w:sz w:val="24"/>
        </w:rPr>
        <w:t>’</w:t>
      </w:r>
      <w:r>
        <w:rPr>
          <w:rFonts w:ascii="Times New Roman"/>
          <w:noProof/>
          <w:sz w:val="24"/>
        </w:rPr>
        <w:t>effets, la Commission consid</w:t>
      </w:r>
      <w:r>
        <w:rPr>
          <w:rFonts w:ascii="Times New Roman"/>
          <w:noProof/>
          <w:sz w:val="24"/>
        </w:rPr>
        <w:t>è</w:t>
      </w:r>
      <w:r>
        <w:rPr>
          <w:rFonts w:ascii="Times New Roman"/>
          <w:noProof/>
          <w:sz w:val="24"/>
        </w:rPr>
        <w:t>re d</w:t>
      </w:r>
      <w:r>
        <w:rPr>
          <w:rFonts w:ascii="Times New Roman"/>
          <w:noProof/>
          <w:sz w:val="24"/>
        </w:rPr>
        <w:t>è</w:t>
      </w:r>
      <w:r>
        <w:rPr>
          <w:rFonts w:ascii="Times New Roman"/>
          <w:noProof/>
          <w:sz w:val="24"/>
        </w:rPr>
        <w:t>s lors que la proc</w:t>
      </w:r>
      <w:r>
        <w:rPr>
          <w:rFonts w:ascii="Times New Roman"/>
          <w:noProof/>
          <w:sz w:val="24"/>
        </w:rPr>
        <w:t>é</w:t>
      </w:r>
      <w:r>
        <w:rPr>
          <w:rFonts w:ascii="Times New Roman"/>
          <w:noProof/>
          <w:sz w:val="24"/>
        </w:rPr>
        <w:t xml:space="preserve">dure doit </w:t>
      </w:r>
      <w:r>
        <w:rPr>
          <w:rFonts w:ascii="Times New Roman"/>
          <w:noProof/>
          <w:sz w:val="24"/>
        </w:rPr>
        <w:t>ê</w:t>
      </w:r>
      <w:r>
        <w:rPr>
          <w:rFonts w:ascii="Times New Roman"/>
          <w:noProof/>
          <w:sz w:val="24"/>
        </w:rPr>
        <w:t xml:space="preserve">tre suspendue. </w:t>
      </w:r>
    </w:p>
    <w:p w:rsidR="001C524E" w:rsidRDefault="00896B22">
      <w:pPr>
        <w:spacing w:before="120" w:after="120" w:line="240" w:lineRule="auto"/>
        <w:jc w:val="center"/>
        <w:rPr>
          <w:rFonts w:ascii="Times New Roman" w:eastAsia="Times New Roman" w:hAnsi="Times New Roman" w:cs="Times New Roman"/>
          <w:b/>
          <w:bCs/>
          <w:noProof/>
          <w:sz w:val="24"/>
          <w:szCs w:val="24"/>
        </w:rPr>
      </w:pPr>
      <w:r>
        <w:rPr>
          <w:noProof/>
        </w:rPr>
        <w:br w:type="page"/>
      </w:r>
      <w:r>
        <w:rPr>
          <w:rFonts w:ascii="Times New Roman"/>
          <w:b/>
          <w:noProof/>
          <w:sz w:val="24"/>
        </w:rPr>
        <w:t xml:space="preserve">Tableaux relatifs </w:t>
      </w:r>
      <w:r>
        <w:rPr>
          <w:rFonts w:ascii="Times New Roman"/>
          <w:b/>
          <w:noProof/>
          <w:sz w:val="24"/>
        </w:rPr>
        <w:t>à</w:t>
      </w:r>
      <w:r>
        <w:rPr>
          <w:rFonts w:ascii="Times New Roman"/>
          <w:b/>
          <w:noProof/>
          <w:sz w:val="24"/>
        </w:rPr>
        <w:t xml:space="preserve"> la PDE</w:t>
      </w:r>
    </w:p>
    <w:p w:rsidR="001C524E" w:rsidRDefault="001C524E">
      <w:pPr>
        <w:spacing w:before="120" w:after="120" w:line="240" w:lineRule="auto"/>
        <w:jc w:val="both"/>
        <w:rPr>
          <w:rFonts w:ascii="Times New Roman" w:eastAsia="Times New Roman" w:hAnsi="Times New Roman" w:cs="Times New Roman"/>
          <w:b/>
          <w:bCs/>
          <w:noProof/>
          <w:sz w:val="24"/>
          <w:szCs w:val="24"/>
        </w:rPr>
      </w:pPr>
    </w:p>
    <w:p w:rsidR="001C524E" w:rsidRDefault="00896B22">
      <w:pPr>
        <w:spacing w:after="0" w:line="240" w:lineRule="auto"/>
        <w:jc w:val="both"/>
        <w:rPr>
          <w:rFonts w:ascii="Times New Roman" w:eastAsia="Times New Roman" w:hAnsi="Times New Roman" w:cs="Times New Roman"/>
          <w:b/>
          <w:bCs/>
          <w:noProof/>
          <w:sz w:val="24"/>
          <w:szCs w:val="24"/>
        </w:rPr>
      </w:pPr>
      <w:r>
        <w:rPr>
          <w:rFonts w:ascii="Times New Roman"/>
          <w:b/>
          <w:noProof/>
          <w:sz w:val="24"/>
        </w:rPr>
        <w:t xml:space="preserve">Tableau A1. </w:t>
      </w:r>
      <w:r>
        <w:rPr>
          <w:b/>
          <w:noProof/>
        </w:rPr>
        <w:t xml:space="preserve">Ajustement de l’effort structurel apparent en fonction de la révision de la croissance potentielle – </w:t>
      </w:r>
      <w:r>
        <w:rPr>
          <w:rFonts w:asciiTheme="minorHAnsi" w:hAnsiTheme="minorHAnsi"/>
          <w:b/>
          <w:noProof/>
        </w:rPr>
        <w:t>Détail</w:t>
      </w:r>
      <w:r>
        <w:rPr>
          <w:rFonts w:asciiTheme="minorHAnsi" w:hAnsiTheme="minorHAnsi"/>
          <w:b/>
          <w:noProof/>
        </w:rPr>
        <w:t>s du calcul</w:t>
      </w:r>
    </w:p>
    <w:p w:rsidR="001C524E" w:rsidRDefault="001C524E">
      <w:pPr>
        <w:spacing w:before="120" w:after="120" w:line="240" w:lineRule="auto"/>
        <w:jc w:val="center"/>
        <w:rPr>
          <w:rFonts w:ascii="Times New Roman" w:eastAsia="Times New Roman" w:hAnsi="Times New Roman" w:cs="Times New Roman"/>
          <w:b/>
          <w:bCs/>
          <w:noProof/>
          <w:sz w:val="24"/>
          <w:szCs w:val="24"/>
        </w:rPr>
      </w:pPr>
    </w:p>
    <w:p w:rsidR="001C524E" w:rsidRDefault="007C73F2">
      <w:pPr>
        <w:spacing w:after="0" w:line="240" w:lineRule="auto"/>
        <w:jc w:val="both"/>
        <w:rPr>
          <w:rFonts w:ascii="Times New Roman" w:eastAsia="Times New Roman" w:hAnsi="Times New Roman" w:cs="Times New Roman"/>
          <w:b/>
          <w:bCs/>
          <w:noProof/>
          <w:sz w:val="24"/>
          <w:szCs w:val="24"/>
        </w:rPr>
      </w:pPr>
      <w:r>
        <w:rPr>
          <w:noProof/>
        </w:rPr>
        <w:pict>
          <v:shape id="_x0000_i1028" type="#_x0000_t75" style="width:452.65pt;height:100.8pt">
            <v:imagedata r:id="rId18" o:title=""/>
          </v:shape>
        </w:pict>
      </w:r>
    </w:p>
    <w:p w:rsidR="001C524E" w:rsidRDefault="00896B22">
      <w:pPr>
        <w:spacing w:after="0" w:line="240" w:lineRule="auto"/>
        <w:jc w:val="both"/>
        <w:rPr>
          <w:rFonts w:ascii="Times New Roman" w:eastAsia="Times New Roman" w:hAnsi="Times New Roman" w:cs="Times New Roman"/>
          <w:b/>
          <w:bCs/>
          <w:noProof/>
          <w:sz w:val="24"/>
          <w:szCs w:val="24"/>
        </w:rPr>
      </w:pPr>
      <w:r>
        <w:rPr>
          <w:rFonts w:ascii="Times New Roman"/>
          <w:b/>
          <w:noProof/>
          <w:sz w:val="24"/>
        </w:rPr>
        <w:t xml:space="preserve">Tableau A2. </w:t>
      </w:r>
      <w:r>
        <w:rPr>
          <w:b/>
          <w:noProof/>
        </w:rPr>
        <w:t>Ajustement de l’effort structurel apparent en fonction des moins-values/plus-values fiscales – Détails du calcul</w:t>
      </w:r>
    </w:p>
    <w:p w:rsidR="001C524E" w:rsidRDefault="001C524E">
      <w:pPr>
        <w:spacing w:after="0" w:line="240" w:lineRule="auto"/>
        <w:jc w:val="both"/>
        <w:rPr>
          <w:rFonts w:ascii="Times New Roman" w:eastAsia="Times New Roman" w:hAnsi="Times New Roman" w:cs="Times New Roman"/>
          <w:b/>
          <w:bCs/>
          <w:noProof/>
          <w:sz w:val="24"/>
          <w:szCs w:val="24"/>
        </w:rPr>
      </w:pPr>
    </w:p>
    <w:p w:rsidR="001C524E" w:rsidRDefault="007C73F2">
      <w:pPr>
        <w:spacing w:after="0" w:line="240" w:lineRule="auto"/>
        <w:jc w:val="both"/>
        <w:rPr>
          <w:noProof/>
        </w:rPr>
      </w:pPr>
      <w:r>
        <w:rPr>
          <w:noProof/>
        </w:rPr>
        <w:pict>
          <v:shape id="_x0000_i1029" type="#_x0000_t75" style="width:452.05pt;height:93.3pt">
            <v:imagedata r:id="rId19" o:title=""/>
          </v:shape>
        </w:pict>
      </w:r>
    </w:p>
    <w:sectPr w:rsidR="001C524E">
      <w:headerReference w:type="even" r:id="rId20"/>
      <w:headerReference w:type="default" r:id="rId21"/>
      <w:footerReference w:type="even" r:id="rId22"/>
      <w:footerReference w:type="default" r:id="rId23"/>
      <w:headerReference w:type="first" r:id="rId24"/>
      <w:footerReference w:type="first" r:id="rId25"/>
      <w:pgSz w:w="11900" w:h="16840"/>
      <w:pgMar w:top="1417" w:right="1417" w:bottom="1417" w:left="1417" w:header="708" w:footer="708"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24E" w:rsidRDefault="00896B22">
      <w:pPr>
        <w:spacing w:after="0" w:line="240" w:lineRule="auto"/>
      </w:pPr>
      <w:r>
        <w:separator/>
      </w:r>
    </w:p>
  </w:endnote>
  <w:endnote w:type="continuationSeparator" w:id="0">
    <w:p w:rsidR="001C524E" w:rsidRDefault="00896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B22" w:rsidRDefault="00896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F2" w:rsidRPr="007C73F2" w:rsidRDefault="007C73F2" w:rsidP="007C73F2">
    <w:pPr>
      <w:pStyle w:val="FooterCoverPage"/>
      <w:rPr>
        <w:rFonts w:ascii="Arial" w:hAnsi="Arial" w:cs="Arial"/>
        <w:b/>
        <w:sz w:val="48"/>
      </w:rPr>
    </w:pPr>
    <w:r w:rsidRPr="007C73F2">
      <w:rPr>
        <w:rFonts w:ascii="Arial" w:hAnsi="Arial" w:cs="Arial"/>
        <w:b/>
        <w:sz w:val="48"/>
      </w:rPr>
      <w:t>FR</w:t>
    </w:r>
    <w:r w:rsidRPr="007C73F2">
      <w:rPr>
        <w:rFonts w:ascii="Arial" w:hAnsi="Arial" w:cs="Arial"/>
        <w:b/>
        <w:sz w:val="48"/>
      </w:rPr>
      <w:tab/>
    </w:r>
    <w:r w:rsidRPr="007C73F2">
      <w:rPr>
        <w:rFonts w:ascii="Arial" w:hAnsi="Arial" w:cs="Arial"/>
        <w:b/>
        <w:sz w:val="48"/>
      </w:rPr>
      <w:tab/>
    </w:r>
    <w:fldSimple w:instr=" DOCVARIABLE &quot;LW_Confidence&quot; \* MERGEFORMAT ">
      <w:r w:rsidR="00896B22">
        <w:t xml:space="preserve"> </w:t>
      </w:r>
    </w:fldSimple>
    <w:r w:rsidRPr="007C73F2">
      <w:tab/>
    </w:r>
    <w:r w:rsidRPr="007C73F2">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B22" w:rsidRDefault="00896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24E" w:rsidRDefault="001C524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24E" w:rsidRDefault="00896B22">
    <w:pPr>
      <w:pStyle w:val="Footer"/>
      <w:jc w:val="center"/>
    </w:pPr>
    <w:r>
      <w:fldChar w:fldCharType="begin"/>
    </w:r>
    <w:r>
      <w:instrText xml:space="preserve"> PAGE   \* MERGEFORMAT </w:instrText>
    </w:r>
    <w:r>
      <w:fldChar w:fldCharType="separate"/>
    </w:r>
    <w:r>
      <w:rPr>
        <w:noProof/>
      </w:rPr>
      <w:t>2</w:t>
    </w:r>
    <w:r>
      <w:rPr>
        <w:noProof/>
      </w:rPr>
      <w:fldChar w:fldCharType="end"/>
    </w:r>
  </w:p>
  <w:p w:rsidR="001C524E" w:rsidRDefault="001C524E">
    <w:pPr>
      <w:pStyle w:val="Footer"/>
      <w:tabs>
        <w:tab w:val="clear" w:pos="9072"/>
        <w:tab w:val="right" w:pos="9046"/>
      </w:tabs>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24E" w:rsidRDefault="001C52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24E" w:rsidRDefault="00896B22">
      <w:r>
        <w:separator/>
      </w:r>
    </w:p>
  </w:footnote>
  <w:footnote w:type="continuationSeparator" w:id="0">
    <w:p w:rsidR="001C524E" w:rsidRDefault="00896B22">
      <w:r>
        <w:continuationSeparator/>
      </w:r>
    </w:p>
  </w:footnote>
  <w:footnote w:type="continuationNotice" w:id="1">
    <w:p w:rsidR="001C524E" w:rsidRDefault="001C524E"/>
  </w:footnote>
  <w:footnote w:id="2">
    <w:p w:rsidR="001C524E" w:rsidRDefault="00896B22">
      <w:pPr>
        <w:pStyle w:val="FootnoteText"/>
        <w:ind w:left="426" w:hanging="437"/>
      </w:pPr>
      <w:r>
        <w:rPr>
          <w:sz w:val="24"/>
          <w:vertAlign w:val="superscript"/>
        </w:rPr>
        <w:footnoteRef/>
      </w:r>
      <w:r>
        <w:t xml:space="preserve"> </w:t>
      </w:r>
      <w:r>
        <w:tab/>
      </w:r>
      <w:r>
        <w:t xml:space="preserve"> «Assessment of the 2015 Stability Programme for France», disponible en anglais à l’adresse suivante: </w:t>
      </w:r>
      <w:hyperlink r:id="rId1" w:history="1">
        <w:r>
          <w:rPr>
            <w:rStyle w:val="Hyperlink"/>
          </w:rPr>
          <w:t>http://ec.europa.eu/economy_finance/economic</w:t>
        </w:r>
        <w:r>
          <w:rPr>
            <w:rStyle w:val="Hyperlink"/>
          </w:rPr>
          <w:t>_governance/sgp/pdf/20_scps/2015/10_fr_scp_en.pdf</w:t>
        </w:r>
      </w:hyperlink>
    </w:p>
  </w:footnote>
  <w:footnote w:id="3">
    <w:p w:rsidR="001C524E" w:rsidRDefault="00896B22">
      <w:pPr>
        <w:pStyle w:val="FootnoteText"/>
        <w:ind w:left="426" w:hanging="426"/>
      </w:pPr>
      <w:r>
        <w:rPr>
          <w:rStyle w:val="FootnoteReference"/>
        </w:rPr>
        <w:footnoteRef/>
      </w:r>
      <w:r>
        <w:t xml:space="preserve"> </w:t>
      </w:r>
      <w:r>
        <w:tab/>
        <w:t>Le calcul de l’effort budgétaire se fonde sur le rythme de croissance des dépenses publiques plutôt que sur leur niveau (voir l’encadré nº 1).</w:t>
      </w:r>
    </w:p>
  </w:footnote>
  <w:footnote w:id="4">
    <w:p w:rsidR="001C524E" w:rsidRDefault="00896B22">
      <w:pPr>
        <w:pStyle w:val="FootnoteText"/>
        <w:ind w:left="426" w:hanging="426"/>
      </w:pPr>
      <w:r>
        <w:rPr>
          <w:rStyle w:val="FootnoteReference"/>
        </w:rPr>
        <w:footnoteRef/>
      </w:r>
      <w:r>
        <w:t xml:space="preserve"> </w:t>
      </w:r>
      <w:r>
        <w:tab/>
        <w:t>Spécifications relatives à la mise en œuvre du pacte de s</w:t>
      </w:r>
      <w:r>
        <w:t>tabilité et de croissance et lignes directrices concernant la présentation et le contenu des programmes de stabilité et de convergence, disponibles à l’adresse suivante:</w:t>
      </w:r>
      <w:r>
        <w:tab/>
      </w:r>
      <w:r>
        <w:br/>
      </w:r>
      <w:hyperlink r:id="rId2">
        <w:r>
          <w:t>http://ec.europa.eu/economy_finance/economic_governance/sgp/index_fr.htm</w:t>
        </w:r>
      </w:hyperlink>
    </w:p>
  </w:footnote>
  <w:footnote w:id="5">
    <w:p w:rsidR="001C524E" w:rsidRDefault="00896B22">
      <w:pPr>
        <w:pStyle w:val="FootnoteText"/>
        <w:ind w:left="426" w:hanging="426"/>
      </w:pPr>
      <w:r>
        <w:rPr>
          <w:rStyle w:val="FootnoteReference"/>
        </w:rPr>
        <w:footnoteRef/>
      </w:r>
      <w:r>
        <w:t xml:space="preserve"> </w:t>
      </w:r>
      <w:r>
        <w:tab/>
        <w:t>Adoptée par le Conseil le 20 juin 2014</w:t>
      </w:r>
      <w:r>
        <w:tab/>
      </w:r>
      <w:r>
        <w:br/>
        <w:t>(</w:t>
      </w:r>
      <w:hyperlink r:id="rId3">
        <w:r>
          <w:t>http://www.consilium.e</w:t>
        </w:r>
        <w:r>
          <w:t>uropa.eu/uedocs/cms_data/docs/pressdata/fr/ecofin/143638.pdf</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B22" w:rsidRDefault="00896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B22" w:rsidRDefault="00896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B22" w:rsidRDefault="00896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24E" w:rsidRDefault="001C524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24E" w:rsidRDefault="001C524E">
    <w:pPr>
      <w:pStyle w:val="HeaderFoo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24E" w:rsidRDefault="001C52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9B77A2"/>
    <w:multiLevelType w:val="multilevel"/>
    <w:tmpl w:val="B85069E8"/>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
    <w:nsid w:val="3D534DB1"/>
    <w:multiLevelType w:val="multilevel"/>
    <w:tmpl w:val="B1E06868"/>
    <w:styleLink w:val="ImportedStyle1"/>
    <w:lvl w:ilvl="0">
      <w:start w:val="1"/>
      <w:numFmt w:val="decimal"/>
      <w:pStyle w:val="HeaderCoverPage"/>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oNotTrackMoves/>
  <w:defaultTabStop w:val="708"/>
  <w:hyphenationZone w:val="425"/>
  <w:characterSpacingControl w:val="doNotCompress"/>
  <w:footnotePr>
    <w:footnote w:id="-1"/>
    <w:footnote w:id="0"/>
    <w:footnote w:id="1"/>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EU RESTRICTED"/>
    <w:docVar w:name="LW_CORRIGENDUM" w:val="&lt;UNUSED&gt;"/>
    <w:docVar w:name="LW_COVERPAGE_GUID" w:val="15AE74DC6364466390488BBC5BC62684"/>
    <w:docVar w:name="LW_CROSSREFERENCE" w:val="{SWD(2015) 130 final}"/>
    <w:docVar w:name="LW_DocType" w:val="NORMAL"/>
    <w:docVar w:name="LW_EMISSION" w:val="1.7.2015"/>
    <w:docVar w:name="LW_EMISSION_ISODATE" w:val="2015-07-01"/>
    <w:docVar w:name="LW_EMISSION_LOCATION" w:val="BRX"/>
    <w:docVar w:name="LW_EMISSION_PREFIX" w:val="Bruxelles, le "/>
    <w:docVar w:name="LW_EMISSION_SUFFIX" w:val=" "/>
    <w:docVar w:name="LW_ID_DOCTYPE_NONLW" w:val="CP-009"/>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5) 326"/>
    <w:docVar w:name="LW_REF.INTERNE" w:val="&lt;UNUSED&gt;"/>
    <w:docVar w:name="LW_SOUS.TITRE.OBJ.CP" w:val="&lt;UNUSED&gt;"/>
    <w:docVar w:name="LW_SUPERTITRE" w:val="&lt;UNUSED&gt;"/>
    <w:docVar w:name="LW_TITRE.OBJ.CP" w:val="Évaluation de l'action engagée_x000b__x000b_par la FRANCE_x000b__x000b_en réponse à la recommandation du Conseil du 10 mars 2015 visant à ce qu\u8217?il soit mis fin à la situation de déficit public excessif"/>
    <w:docVar w:name="LW_TYPE.DOC.CP" w:val="COMMUNICATION DE LA COMMISSION"/>
    <w:docVar w:name="LW_TYPE.DOC.CP.USERTEXT" w:val="&lt;EMPTY&gt;"/>
  </w:docVars>
  <w:rsids>
    <w:rsidRoot w:val="001C524E"/>
    <w:rsid w:val="001C524E"/>
    <w:rsid w:val="007C73F2"/>
    <w:rsid w:val="00896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styleId="Heading1">
    <w:name w:val="heading 1"/>
    <w:next w:val="Normal"/>
    <w:link w:val="Heading1Char"/>
    <w:pPr>
      <w:keepNext/>
      <w:pBdr>
        <w:top w:val="nil"/>
        <w:left w:val="nil"/>
        <w:bottom w:val="nil"/>
        <w:right w:val="nil"/>
        <w:between w:val="nil"/>
        <w:bar w:val="nil"/>
      </w:pBdr>
      <w:tabs>
        <w:tab w:val="left" w:pos="850"/>
      </w:tabs>
      <w:spacing w:before="360" w:after="120"/>
      <w:ind w:left="850" w:hanging="850"/>
      <w:jc w:val="both"/>
      <w:outlineLvl w:val="0"/>
    </w:pPr>
    <w:rPr>
      <w:rFonts w:eastAsia="Times New Roman"/>
      <w:b/>
      <w:bCs/>
      <w:smallCaps/>
      <w:color w:val="000000"/>
      <w:sz w:val="24"/>
      <w:szCs w:val="24"/>
      <w:u w:color="000000"/>
      <w:bdr w:val="nil"/>
    </w:rPr>
  </w:style>
  <w:style w:type="paragraph" w:styleId="Heading2">
    <w:name w:val="heading 2"/>
    <w:next w:val="Normal"/>
    <w:pPr>
      <w:keepNext/>
      <w:pBdr>
        <w:top w:val="nil"/>
        <w:left w:val="nil"/>
        <w:bottom w:val="nil"/>
        <w:right w:val="nil"/>
        <w:between w:val="nil"/>
        <w:bar w:val="nil"/>
      </w:pBdr>
      <w:tabs>
        <w:tab w:val="left" w:pos="851"/>
      </w:tabs>
      <w:spacing w:before="120" w:after="120"/>
      <w:jc w:val="both"/>
      <w:outlineLvl w:val="1"/>
    </w:pPr>
    <w:rPr>
      <w:rFonts w:hAnsi="Arial Unicode MS" w:cs="Arial Unicode MS"/>
      <w:b/>
      <w:bCs/>
      <w:color w:val="000000"/>
      <w:sz w:val="24"/>
      <w:szCs w:val="24"/>
      <w:u w:color="000000"/>
      <w:bdr w:val="ni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pBdr>
        <w:top w:val="nil"/>
        <w:left w:val="nil"/>
        <w:bottom w:val="nil"/>
        <w:right w:val="nil"/>
        <w:between w:val="nil"/>
        <w:bar w:val="nil"/>
      </w:pBdr>
      <w:tabs>
        <w:tab w:val="right" w:pos="9020"/>
      </w:tabs>
    </w:pPr>
    <w:rPr>
      <w:rFonts w:ascii="Helvetica" w:hAnsi="Arial Unicode MS" w:cs="Arial Unicode MS"/>
      <w:color w:val="000000"/>
      <w:sz w:val="24"/>
      <w:szCs w:val="24"/>
      <w:bdr w:val="nil"/>
    </w:rPr>
  </w:style>
  <w:style w:type="paragraph" w:customStyle="1" w:styleId="FooterCoverPage">
    <w:name w:val="Footer Cover Page"/>
    <w:basedOn w:val="Normal"/>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paragraph" w:customStyle="1" w:styleId="Pagedecouverture">
    <w:name w:val="Page de couverture"/>
    <w:next w:val="Normal"/>
    <w:pPr>
      <w:pBdr>
        <w:top w:val="nil"/>
        <w:left w:val="nil"/>
        <w:bottom w:val="nil"/>
        <w:right w:val="nil"/>
        <w:between w:val="nil"/>
        <w:bar w:val="nil"/>
      </w:pBdr>
      <w:jc w:val="both"/>
    </w:pPr>
    <w:rPr>
      <w:rFonts w:eastAsia="Times New Roman"/>
      <w:color w:val="000000"/>
      <w:sz w:val="24"/>
      <w:szCs w:val="24"/>
      <w:u w:color="000000"/>
      <w:bdr w:val="nil"/>
    </w:rPr>
  </w:style>
  <w:style w:type="paragraph" w:styleId="Footer">
    <w:name w:val="footer"/>
    <w:link w:val="FooterChar"/>
    <w:uiPriority w:val="99"/>
    <w:pPr>
      <w:pBdr>
        <w:top w:val="nil"/>
        <w:left w:val="nil"/>
        <w:bottom w:val="nil"/>
        <w:right w:val="nil"/>
        <w:between w:val="nil"/>
        <w:bar w:val="nil"/>
      </w:pBdr>
      <w:tabs>
        <w:tab w:val="center" w:pos="4536"/>
        <w:tab w:val="right" w:pos="9072"/>
      </w:tabs>
      <w:spacing w:after="200" w:line="276" w:lineRule="auto"/>
    </w:pPr>
    <w:rPr>
      <w:rFonts w:ascii="Calibri" w:eastAsia="Calibri" w:hAnsi="Calibri" w:cs="Calibri"/>
      <w:color w:val="000000"/>
      <w:sz w:val="22"/>
      <w:szCs w:val="22"/>
      <w:u w:color="000000"/>
      <w:bdr w:val="nil"/>
    </w:rPr>
  </w:style>
  <w:style w:type="numbering" w:customStyle="1" w:styleId="ImportedStyle1">
    <w:name w:val="Imported Style 1"/>
    <w:pPr>
      <w:numPr>
        <w:numId w:val="2"/>
      </w:numPr>
    </w:pPr>
  </w:style>
  <w:style w:type="paragraph" w:styleId="FootnoteText">
    <w:name w:val="footnote text"/>
    <w:pPr>
      <w:pBdr>
        <w:top w:val="nil"/>
        <w:left w:val="nil"/>
        <w:bottom w:val="nil"/>
        <w:right w:val="nil"/>
        <w:between w:val="nil"/>
        <w:bar w:val="nil"/>
      </w:pBdr>
      <w:ind w:left="720" w:hanging="720"/>
      <w:jc w:val="both"/>
    </w:pPr>
    <w:rPr>
      <w:rFonts w:eastAsia="Times New Roman"/>
      <w:color w:val="000000"/>
      <w:u w:color="000000"/>
      <w:bdr w:val="nil"/>
    </w:rPr>
  </w:style>
  <w:style w:type="character" w:customStyle="1" w:styleId="Link">
    <w:name w:val="Link"/>
    <w:rPr>
      <w:color w:val="0000FF"/>
      <w:u w:val="single" w:color="0000FF"/>
    </w:rPr>
  </w:style>
  <w:style w:type="character" w:customStyle="1" w:styleId="Hyperlink0">
    <w:name w:val="Hyperlink.0"/>
    <w:rPr>
      <w:color w:val="000000"/>
      <w:u w:val="none" w:color="000000"/>
    </w:rPr>
  </w:style>
  <w:style w:type="character" w:customStyle="1" w:styleId="Hyperlink1">
    <w:name w:val="Hyperlink.1"/>
    <w:rPr>
      <w:color w:val="000000"/>
      <w:u w:val="single" w:color="000000"/>
    </w:rPr>
  </w:style>
  <w:style w:type="paragraph" w:customStyle="1" w:styleId="Default">
    <w:name w:val="Default"/>
    <w:pPr>
      <w:pBdr>
        <w:top w:val="nil"/>
        <w:left w:val="nil"/>
        <w:bottom w:val="nil"/>
        <w:right w:val="nil"/>
        <w:between w:val="nil"/>
        <w:bar w:val="nil"/>
      </w:pBdr>
    </w:pPr>
    <w:rPr>
      <w:rFonts w:ascii="Helvetica" w:eastAsia="Helvetica" w:hAnsi="Helvetica" w:cs="Helvetica"/>
      <w:color w:val="000000"/>
      <w:sz w:val="22"/>
      <w:szCs w:val="22"/>
      <w:bdr w:val="nil"/>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rFonts w:ascii="Calibri" w:eastAsia="Calibri" w:hAnsi="Calibri" w:cs="Calibri"/>
      <w:color w:val="000000"/>
      <w:u w:color="000000"/>
      <w:lang w:val="fr-FR" w:eastAsia="fr-FR"/>
    </w:rPr>
  </w:style>
  <w:style w:type="character" w:styleId="CommentReference">
    <w:name w:val="annotation reference"/>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Calibri" w:hAnsi="Tahoma" w:cs="Tahoma"/>
      <w:color w:val="000000"/>
      <w:sz w:val="16"/>
      <w:szCs w:val="16"/>
      <w:u w:color="000000"/>
      <w:lang w:val="fr-FR"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Calibri" w:eastAsia="Calibri" w:hAnsi="Calibri" w:cs="Calibri"/>
      <w:b/>
      <w:bCs/>
      <w:color w:val="000000"/>
      <w:u w:color="000000"/>
      <w:lang w:val="fr-FR" w:eastAsia="fr-FR"/>
    </w:rPr>
  </w:style>
  <w:style w:type="paragraph" w:styleId="Revision">
    <w:name w:val="Revision"/>
    <w:hidden/>
    <w:uiPriority w:val="99"/>
    <w:semiHidden/>
    <w:rPr>
      <w:rFonts w:ascii="Calibri" w:eastAsia="Calibri" w:hAnsi="Calibri" w:cs="Calibri"/>
      <w:color w:val="000000"/>
      <w:sz w:val="22"/>
      <w:szCs w:val="22"/>
      <w:u w:color="000000"/>
      <w:bdr w:val="nil"/>
    </w:rPr>
  </w:style>
  <w:style w:type="character" w:styleId="FootnoteReference">
    <w:name w:val="footnote reference"/>
    <w:uiPriority w:val="99"/>
    <w:semiHidden/>
    <w:unhideWhenUsed/>
    <w:rPr>
      <w:vertAlign w:val="superscript"/>
    </w:rPr>
  </w:style>
  <w:style w:type="character" w:customStyle="1" w:styleId="Marker">
    <w:name w:val="Marker"/>
    <w:rPr>
      <w:color w:val="0000FF"/>
      <w:shd w:val="clear" w:color="auto" w:fill="auto"/>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link w:val="Header"/>
    <w:uiPriority w:val="99"/>
    <w:rPr>
      <w:rFonts w:ascii="Calibri" w:eastAsia="Calibri" w:hAnsi="Calibri" w:cs="Calibri"/>
      <w:color w:val="000000"/>
      <w:sz w:val="22"/>
      <w:szCs w:val="22"/>
      <w:u w:color="000000"/>
      <w:lang w:val="fr-FR" w:eastAsia="fr-FR"/>
    </w:rPr>
  </w:style>
  <w:style w:type="paragraph" w:customStyle="1" w:styleId="HeaderCoverPage">
    <w:name w:val="Header Cover Page"/>
    <w:basedOn w:val="Normal"/>
    <w:link w:val="HeaderCoverPageChar"/>
    <w:pPr>
      <w:numPr>
        <w:numId w:val="2"/>
      </w:numPr>
      <w:tabs>
        <w:tab w:val="center" w:pos="4535"/>
        <w:tab w:val="right" w:pos="9071"/>
      </w:tabs>
      <w:spacing w:after="120" w:line="240" w:lineRule="auto"/>
      <w:jc w:val="both"/>
    </w:pPr>
    <w:rPr>
      <w:rFonts w:ascii="Times New Roman" w:hAnsi="Times New Roman" w:cs="Times New Roman"/>
      <w:sz w:val="24"/>
      <w:bdr w:val="none" w:sz="0" w:space="0" w:color="auto"/>
    </w:rPr>
  </w:style>
  <w:style w:type="character" w:customStyle="1" w:styleId="Heading1Char">
    <w:name w:val="Heading 1 Char"/>
    <w:link w:val="Heading1"/>
    <w:rPr>
      <w:rFonts w:eastAsia="Times New Roman"/>
      <w:b/>
      <w:bCs/>
      <w:smallCaps/>
      <w:color w:val="000000"/>
      <w:sz w:val="24"/>
      <w:szCs w:val="24"/>
      <w:u w:color="000000"/>
      <w:lang w:val="fr-FR"/>
    </w:rPr>
  </w:style>
  <w:style w:type="character" w:customStyle="1" w:styleId="HeaderCoverPageChar">
    <w:name w:val="Header Cover Page Char"/>
    <w:link w:val="HeaderCoverPage"/>
    <w:rPr>
      <w:rFonts w:eastAsia="Calibri"/>
      <w:color w:val="000000"/>
      <w:sz w:val="24"/>
      <w:szCs w:val="22"/>
      <w:u w:color="000000"/>
    </w:rPr>
  </w:style>
  <w:style w:type="character" w:customStyle="1" w:styleId="FooterChar">
    <w:name w:val="Footer Char"/>
    <w:link w:val="Footer"/>
    <w:uiPriority w:val="99"/>
    <w:rPr>
      <w:rFonts w:ascii="Calibri" w:eastAsia="Calibri" w:hAnsi="Calibri" w:cs="Calibri"/>
      <w:color w:val="000000"/>
      <w:sz w:val="22"/>
      <w:szCs w:val="22"/>
      <w:u w:color="000000"/>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yperlink">
    <w:name w:val="ImportedStyle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0705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consilium.europa.eu/uedocs/cms_data/docs/pressdata/fr/ecofin/143638.pdf" TargetMode="External"/><Relationship Id="rId2" Type="http://schemas.openxmlformats.org/officeDocument/2006/relationships/hyperlink" Target="http://ec.europa.eu/economy_finance/economic_governance/sgp/deficit/index_fr.htm" TargetMode="External"/><Relationship Id="rId1" Type="http://schemas.openxmlformats.org/officeDocument/2006/relationships/hyperlink" Target="http://ec.europa.eu/economy_finance/economic_governance/sgp/pdf/20_scps/2015/10_fr_scp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7A394-88A9-4318-9014-D72254CAB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9</Pages>
  <Words>2800</Words>
  <Characters>15096</Characters>
  <Application>Microsoft Office Word</Application>
  <DocSecurity>0</DocSecurity>
  <Lines>232</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17856</CharactersWithSpaces>
  <SharedDoc>false</SharedDoc>
  <HLinks>
    <vt:vector size="12" baseType="variant">
      <vt:variant>
        <vt:i4>983094</vt:i4>
      </vt:variant>
      <vt:variant>
        <vt:i4>3</vt:i4>
      </vt:variant>
      <vt:variant>
        <vt:i4>0</vt:i4>
      </vt:variant>
      <vt:variant>
        <vt:i4>5</vt:i4>
      </vt:variant>
      <vt:variant>
        <vt:lpwstr>http://www.consilium.europa.eu/uedocs/cms_data/docs/pressdata/en/ecofin/143293.pdf</vt:lpwstr>
      </vt:variant>
      <vt:variant>
        <vt:lpwstr/>
      </vt:variant>
      <vt:variant>
        <vt:i4>1048636</vt:i4>
      </vt:variant>
      <vt:variant>
        <vt:i4>0</vt:i4>
      </vt:variant>
      <vt:variant>
        <vt:i4>0</vt:i4>
      </vt:variant>
      <vt:variant>
        <vt:i4>5</vt:i4>
      </vt:variant>
      <vt:variant>
        <vt:lpwstr>http://ec.europa.eu/economy_finance/economic_governance/sgp/index_en.htm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DOMINGUEZ AGUIRRE Ana (SG)</cp:lastModifiedBy>
  <cp:revision>23</cp:revision>
  <cp:lastPrinted>2015-06-30T15:09:00Z</cp:lastPrinted>
  <dcterms:created xsi:type="dcterms:W3CDTF">2015-06-26T09:17:00Z</dcterms:created>
  <dcterms:modified xsi:type="dcterms:W3CDTF">2015-06-30T15:09:00Z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