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93" w:rsidRDefault="006A176E" w:rsidP="006A176E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56436E6B78DB4F3BAFF4C877BF8019C3" style="width:451pt;height:376pt">
            <v:imagedata r:id="rId9" o:title=""/>
          </v:shape>
        </w:pict>
      </w:r>
    </w:p>
    <w:bookmarkEnd w:id="0"/>
    <w:p w:rsidR="00C85F93" w:rsidRDefault="00C85F93">
      <w:pPr>
        <w:rPr>
          <w:noProof/>
        </w:rPr>
        <w:sectPr w:rsidR="00C85F93" w:rsidSect="006A17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 w:rsidR="00C85F93" w:rsidRDefault="006A176E">
      <w:pPr>
        <w:pStyle w:val="Heading1"/>
        <w:numPr>
          <w:ilvl w:val="0"/>
          <w:numId w:val="2"/>
        </w:numPr>
        <w:rPr>
          <w:noProof/>
        </w:rPr>
      </w:pPr>
      <w:bookmarkStart w:id="1" w:name="_GoBack"/>
      <w:bookmarkEnd w:id="1"/>
      <w:r>
        <w:rPr>
          <w:noProof/>
        </w:rPr>
        <w:lastRenderedPageBreak/>
        <w:t>Въведение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10 </w:t>
      </w:r>
      <w:r>
        <w:rPr>
          <w:rFonts w:ascii="Times New Roman"/>
          <w:noProof/>
          <w:sz w:val="24"/>
        </w:rPr>
        <w:t>март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Съветът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отправи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към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съгласно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член </w:t>
      </w:r>
      <w:r>
        <w:rPr>
          <w:rFonts w:ascii="Times New Roman"/>
          <w:noProof/>
          <w:sz w:val="24"/>
        </w:rPr>
        <w:t xml:space="preserve">126, </w:t>
      </w:r>
      <w:r>
        <w:rPr>
          <w:rFonts w:ascii="Times New Roman"/>
          <w:noProof/>
          <w:sz w:val="24"/>
        </w:rPr>
        <w:t>параграф </w:t>
      </w:r>
      <w:r>
        <w:rPr>
          <w:rFonts w:ascii="Times New Roman"/>
          <w:noProof/>
          <w:sz w:val="24"/>
        </w:rPr>
        <w:t xml:space="preserve">7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Договора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оглед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преодоляване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прекомерния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</w:t>
      </w:r>
      <w:r>
        <w:rPr>
          <w:rFonts w:ascii="Times New Roman"/>
          <w:noProof/>
          <w:sz w:val="24"/>
        </w:rPr>
        <w:t xml:space="preserve"> 2017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препоръчано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постигне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номинален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4,0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>., 3,4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2,8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2017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Въз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основа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макроикономическата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залегна</w:t>
      </w:r>
      <w:r>
        <w:rPr>
          <w:rFonts w:ascii="Times New Roman"/>
          <w:noProof/>
          <w:sz w:val="24"/>
        </w:rPr>
        <w:t>ла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това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беше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счетено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съответстващо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0,5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>., 0,8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0,9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2017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ще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изисква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размер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0,2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>., 1,2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1,3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2017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съответствие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член </w:t>
      </w:r>
      <w:r>
        <w:rPr>
          <w:rFonts w:ascii="Times New Roman"/>
          <w:noProof/>
          <w:sz w:val="24"/>
        </w:rPr>
        <w:t xml:space="preserve">3, </w:t>
      </w:r>
      <w:r>
        <w:rPr>
          <w:rFonts w:ascii="Times New Roman"/>
          <w:noProof/>
          <w:sz w:val="24"/>
        </w:rPr>
        <w:t>параграф</w:t>
      </w:r>
      <w:r>
        <w:rPr>
          <w:rFonts w:ascii="Times New Roman"/>
          <w:noProof/>
          <w:sz w:val="24"/>
        </w:rPr>
        <w:t xml:space="preserve"> 4</w:t>
      </w:r>
      <w:r>
        <w:rPr>
          <w:rFonts w:ascii="Times New Roman"/>
          <w:noProof/>
          <w:sz w:val="24"/>
        </w:rPr>
        <w:t>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Регламент</w:t>
      </w:r>
      <w:r>
        <w:rPr>
          <w:rFonts w:ascii="Times New Roman"/>
          <w:noProof/>
          <w:sz w:val="24"/>
        </w:rPr>
        <w:t xml:space="preserve"> (</w:t>
      </w:r>
      <w:r>
        <w:rPr>
          <w:rFonts w:ascii="Times New Roman"/>
          <w:noProof/>
          <w:sz w:val="24"/>
        </w:rPr>
        <w:t>ЕО</w:t>
      </w:r>
      <w:r>
        <w:rPr>
          <w:rFonts w:ascii="Times New Roman"/>
          <w:noProof/>
          <w:sz w:val="24"/>
        </w:rPr>
        <w:t xml:space="preserve">) </w:t>
      </w:r>
      <w:r>
        <w:rPr>
          <w:rFonts w:ascii="Times New Roman"/>
          <w:noProof/>
          <w:sz w:val="24"/>
        </w:rPr>
        <w:t>№ </w:t>
      </w:r>
      <w:r>
        <w:rPr>
          <w:rFonts w:ascii="Times New Roman"/>
          <w:noProof/>
          <w:sz w:val="24"/>
        </w:rPr>
        <w:t xml:space="preserve">1467/97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Съветът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определи</w:t>
      </w:r>
      <w:r>
        <w:rPr>
          <w:rFonts w:ascii="Times New Roman"/>
          <w:noProof/>
          <w:sz w:val="24"/>
        </w:rPr>
        <w:t xml:space="preserve"> 10 </w:t>
      </w:r>
      <w:r>
        <w:rPr>
          <w:rFonts w:ascii="Times New Roman"/>
          <w:noProof/>
          <w:sz w:val="24"/>
        </w:rPr>
        <w:t>юни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като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краен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срок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подробно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отношение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i) </w:t>
      </w:r>
      <w:r>
        <w:rPr>
          <w:rFonts w:ascii="Times New Roman"/>
          <w:noProof/>
          <w:sz w:val="24"/>
        </w:rPr>
        <w:t>допълнителните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дискре</w:t>
      </w:r>
      <w:r>
        <w:rPr>
          <w:rFonts w:ascii="Times New Roman"/>
          <w:noProof/>
          <w:sz w:val="24"/>
        </w:rPr>
        <w:t>ционни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представляващи</w:t>
      </w:r>
      <w:r>
        <w:rPr>
          <w:rFonts w:ascii="Times New Roman"/>
          <w:noProof/>
          <w:sz w:val="24"/>
        </w:rPr>
        <w:t xml:space="preserve"> 0,2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приети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цел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постигне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препоръчаното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 </w:t>
      </w:r>
      <w:r>
        <w:rPr>
          <w:rFonts w:ascii="Times New Roman"/>
          <w:noProof/>
          <w:sz w:val="24"/>
        </w:rPr>
        <w:t>г</w:t>
      </w:r>
      <w:r>
        <w:rPr>
          <w:rFonts w:ascii="Times New Roman"/>
          <w:noProof/>
          <w:sz w:val="24"/>
        </w:rPr>
        <w:t xml:space="preserve">.;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ii) </w:t>
      </w:r>
      <w:r>
        <w:rPr>
          <w:rFonts w:ascii="Times New Roman"/>
          <w:noProof/>
          <w:sz w:val="24"/>
        </w:rPr>
        <w:t>набелязаните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ключови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постигане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целите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2017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„</w:t>
      </w:r>
      <w:r>
        <w:rPr>
          <w:rFonts w:ascii="Times New Roman"/>
          <w:i/>
          <w:noProof/>
          <w:sz w:val="24"/>
        </w:rPr>
        <w:t>Loi de programmation des finances publi</w:t>
      </w:r>
      <w:r>
        <w:rPr>
          <w:rFonts w:ascii="Times New Roman"/>
          <w:i/>
          <w:noProof/>
          <w:sz w:val="24"/>
        </w:rPr>
        <w:t>ques</w:t>
      </w:r>
      <w:r>
        <w:rPr>
          <w:rFonts w:ascii="Times New Roman"/>
          <w:noProof/>
          <w:sz w:val="24"/>
        </w:rPr>
        <w:t>“</w:t>
      </w:r>
      <w:r>
        <w:rPr>
          <w:rFonts w:ascii="Times New Roman"/>
          <w:noProof/>
          <w:sz w:val="24"/>
        </w:rPr>
        <w:t xml:space="preserve"> (</w:t>
      </w:r>
      <w:r>
        <w:rPr>
          <w:rFonts w:ascii="Times New Roman"/>
          <w:noProof/>
          <w:sz w:val="24"/>
        </w:rPr>
        <w:t>Законът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планиране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публичните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финанси</w:t>
      </w:r>
      <w:r>
        <w:rPr>
          <w:rFonts w:ascii="Times New Roman"/>
          <w:noProof/>
          <w:sz w:val="24"/>
        </w:rPr>
        <w:t xml:space="preserve">) </w:t>
      </w:r>
      <w:r>
        <w:rPr>
          <w:rFonts w:ascii="Times New Roman"/>
          <w:noProof/>
          <w:sz w:val="24"/>
        </w:rPr>
        <w:t>следва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актуализира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отрази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новия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план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корекции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Освен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беше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изискано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предостави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предварителна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ключовите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които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основата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корекцията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2017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преди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крайния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срок</w:t>
      </w:r>
      <w:r>
        <w:rPr>
          <w:rFonts w:ascii="Times New Roman"/>
          <w:noProof/>
          <w:sz w:val="24"/>
        </w:rPr>
        <w:t>.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рамките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установения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срок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френските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органи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представиха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тях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отговор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който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набелязваше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също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консолидационната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стратегия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предвидена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постигане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определените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цели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разгледа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стратегия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въз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основа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информацията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включена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прецени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дали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спазила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10 </w:t>
      </w:r>
      <w:r>
        <w:rPr>
          <w:rFonts w:ascii="Times New Roman"/>
          <w:noProof/>
          <w:sz w:val="24"/>
        </w:rPr>
        <w:t>март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pStyle w:val="Heading1"/>
        <w:numPr>
          <w:ilvl w:val="0"/>
          <w:numId w:val="2"/>
        </w:numPr>
        <w:rPr>
          <w:noProof/>
        </w:rPr>
      </w:pPr>
      <w:r>
        <w:rPr>
          <w:noProof/>
        </w:rPr>
        <w:t>Включени в доклад</w:t>
      </w:r>
      <w:r>
        <w:rPr>
          <w:noProof/>
        </w:rPr>
        <w:t>а мерки относно предприетите действия и актуализирани бюджетни прогнози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публикуван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10 </w:t>
      </w:r>
      <w:r>
        <w:rPr>
          <w:rFonts w:ascii="Times New Roman"/>
          <w:noProof/>
          <w:sz w:val="24"/>
        </w:rPr>
        <w:t>юни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потвърждава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стратегия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очертана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програмата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стабилност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представена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30 </w:t>
      </w:r>
      <w:r>
        <w:rPr>
          <w:rFonts w:ascii="Times New Roman"/>
          <w:noProof/>
          <w:sz w:val="24"/>
        </w:rPr>
        <w:t>април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която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има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цел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коригира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прекомерния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</w:t>
      </w:r>
      <w:r>
        <w:rPr>
          <w:rFonts w:ascii="Times New Roman"/>
          <w:noProof/>
          <w:sz w:val="24"/>
        </w:rPr>
        <w:t xml:space="preserve"> 2017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определения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краен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срок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Докладът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включва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нови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предоставя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информация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естеството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прилагането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обявени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програмата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стабилнос</w:t>
      </w:r>
      <w:r>
        <w:rPr>
          <w:rFonts w:ascii="Times New Roman"/>
          <w:noProof/>
          <w:sz w:val="24"/>
        </w:rPr>
        <w:t>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отговор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10 </w:t>
      </w:r>
      <w:r>
        <w:rPr>
          <w:rFonts w:ascii="Times New Roman"/>
          <w:noProof/>
          <w:sz w:val="24"/>
        </w:rPr>
        <w:t>март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които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възлизат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4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5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отношение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потвърждава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обявеният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програмата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стабилност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пакет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размер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4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 (0,2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), </w:t>
      </w:r>
      <w:r>
        <w:rPr>
          <w:rFonts w:ascii="Times New Roman"/>
          <w:noProof/>
          <w:sz w:val="24"/>
        </w:rPr>
        <w:t>които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вече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били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изцяло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взети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предвид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Този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пакет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състои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намаляване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държавните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</w:t>
      </w:r>
      <w:r>
        <w:rPr>
          <w:rFonts w:ascii="Times New Roman"/>
          <w:noProof/>
          <w:sz w:val="24"/>
        </w:rPr>
        <w:t xml:space="preserve"> (1,2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),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ниски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лихвени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плащания</w:t>
      </w:r>
      <w:r>
        <w:rPr>
          <w:rFonts w:ascii="Times New Roman"/>
          <w:noProof/>
          <w:sz w:val="24"/>
        </w:rPr>
        <w:t xml:space="preserve"> (1,2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)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социални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трансфер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(1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), </w:t>
      </w:r>
      <w:r>
        <w:rPr>
          <w:rFonts w:ascii="Times New Roman"/>
          <w:noProof/>
          <w:sz w:val="24"/>
        </w:rPr>
        <w:t>както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отношение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приходите</w:t>
      </w:r>
      <w:r>
        <w:rPr>
          <w:rFonts w:ascii="Times New Roman"/>
          <w:noProof/>
          <w:sz w:val="24"/>
        </w:rPr>
        <w:t xml:space="preserve"> (0,6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). </w:t>
      </w:r>
      <w:r>
        <w:rPr>
          <w:rFonts w:ascii="Times New Roman"/>
          <w:noProof/>
          <w:sz w:val="24"/>
        </w:rPr>
        <w:t>Както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беше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lastRenderedPageBreak/>
        <w:t>изтъкнато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направената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службите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програмата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стабилност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стойност</w:t>
      </w:r>
      <w:r>
        <w:rPr>
          <w:rFonts w:ascii="Times New Roman"/>
          <w:noProof/>
          <w:sz w:val="24"/>
        </w:rPr>
        <w:t xml:space="preserve"> 1,2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били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преобразуване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</w:t>
      </w:r>
      <w:r>
        <w:rPr>
          <w:rFonts w:ascii="Times New Roman"/>
          <w:noProof/>
          <w:sz w:val="24"/>
        </w:rPr>
        <w:t>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наблюдаваното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2014 </w:t>
      </w:r>
      <w:r>
        <w:rPr>
          <w:rFonts w:ascii="Times New Roman"/>
          <w:noProof/>
          <w:sz w:val="24"/>
        </w:rPr>
        <w:t>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ниско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равнище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постоянни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икономии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Тези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означават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намаляване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равнището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разходите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планирани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органите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обаче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променят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темпа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растеж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публичните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следователно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ок</w:t>
      </w:r>
      <w:r>
        <w:rPr>
          <w:rFonts w:ascii="Times New Roman"/>
          <w:noProof/>
          <w:sz w:val="24"/>
        </w:rPr>
        <w:t>азват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влияние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върху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състоянието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бюджета</w:t>
      </w:r>
      <w:r>
        <w:rPr>
          <w:rStyle w:val="FootnoteReference"/>
          <w:rFonts w:ascii="Times New Roman"/>
          <w:noProof/>
          <w:sz w:val="24"/>
        </w:rPr>
        <w:footnoteReference w:id="3"/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отношение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предоставя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информация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мерките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които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основата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5-</w:t>
      </w:r>
      <w:r>
        <w:rPr>
          <w:rFonts w:ascii="Times New Roman"/>
          <w:noProof/>
          <w:sz w:val="24"/>
        </w:rPr>
        <w:t>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милиарда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 (0,2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) </w:t>
      </w:r>
      <w:r>
        <w:rPr>
          <w:rFonts w:ascii="Times New Roman"/>
          <w:noProof/>
          <w:sz w:val="24"/>
        </w:rPr>
        <w:t>икономии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бяха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достатъчно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конкретизирани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програмата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стабилност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съответно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бяха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включени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Разходите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биха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понижили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посредством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икономиите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страна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държавата</w:t>
      </w:r>
      <w:r>
        <w:rPr>
          <w:rFonts w:ascii="Times New Roman"/>
          <w:noProof/>
          <w:sz w:val="24"/>
        </w:rPr>
        <w:t xml:space="preserve"> (1,6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), </w:t>
      </w:r>
      <w:r>
        <w:rPr>
          <w:rFonts w:ascii="Times New Roman"/>
          <w:noProof/>
          <w:sz w:val="24"/>
        </w:rPr>
        <w:t>социалното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осигурява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(2,2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)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местната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администрация</w:t>
      </w:r>
      <w:r>
        <w:rPr>
          <w:rFonts w:ascii="Times New Roman"/>
          <w:noProof/>
          <w:sz w:val="24"/>
        </w:rPr>
        <w:t xml:space="preserve"> (1,2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).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етап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само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намаления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разходите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планирани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държавата</w:t>
      </w:r>
      <w:r>
        <w:rPr>
          <w:rFonts w:ascii="Times New Roman"/>
          <w:noProof/>
          <w:sz w:val="24"/>
        </w:rPr>
        <w:t xml:space="preserve"> (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размер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1,6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), </w:t>
      </w:r>
      <w:r>
        <w:rPr>
          <w:rFonts w:ascii="Times New Roman"/>
          <w:noProof/>
          <w:sz w:val="24"/>
        </w:rPr>
        <w:t>които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документирани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писма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изпратени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министър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председателя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всеки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министъ</w:t>
      </w:r>
      <w:r>
        <w:rPr>
          <w:rFonts w:ascii="Times New Roman"/>
          <w:noProof/>
          <w:sz w:val="24"/>
        </w:rPr>
        <w:t>р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24 </w:t>
      </w:r>
      <w:r>
        <w:rPr>
          <w:rFonts w:ascii="Times New Roman"/>
          <w:noProof/>
          <w:sz w:val="24"/>
        </w:rPr>
        <w:t>април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достатъчно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конкретни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бъдат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взети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внимание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Останалите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икономии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планирани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органите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могат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бъдат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включени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едва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след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като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изпълнение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стратег</w:t>
      </w:r>
      <w:r>
        <w:rPr>
          <w:rFonts w:ascii="Times New Roman"/>
          <w:noProof/>
          <w:sz w:val="24"/>
        </w:rPr>
        <w:t>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достатъчно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конкретни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2017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включени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нататъшни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нито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подробности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мерките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които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основата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планираната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корекция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Прогнозата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която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обхваща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предвижда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консолидирания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държавен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бъде</w:t>
      </w:r>
      <w:r>
        <w:rPr>
          <w:rFonts w:ascii="Times New Roman"/>
          <w:noProof/>
          <w:sz w:val="24"/>
        </w:rPr>
        <w:t xml:space="preserve"> 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3,8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което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целевата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стойност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4,0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определена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при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положение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политиката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остане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непроменена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про</w:t>
      </w:r>
      <w:r>
        <w:rPr>
          <w:rFonts w:ascii="Times New Roman"/>
          <w:noProof/>
          <w:sz w:val="24"/>
        </w:rPr>
        <w:t>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3,5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над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препоръчаната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стойност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3,4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светлината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информацията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предоставена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актуализираната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номиналният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остане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непроменен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равнище</w:t>
      </w:r>
      <w:r>
        <w:rPr>
          <w:rFonts w:ascii="Times New Roman"/>
          <w:noProof/>
          <w:sz w:val="24"/>
        </w:rPr>
        <w:t xml:space="preserve"> 3,8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намалее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</w:t>
      </w:r>
      <w:r>
        <w:rPr>
          <w:rFonts w:ascii="Times New Roman"/>
          <w:noProof/>
          <w:sz w:val="24"/>
        </w:rPr>
        <w:t xml:space="preserve"> 3,4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потвърждава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въздействието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върху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публичните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финанси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пакета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4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съгласно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само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консолидационни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планирани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държавните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възлизащи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1,6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>.</w:t>
      </w:r>
      <w:r>
        <w:rPr>
          <w:rFonts w:ascii="Times New Roman"/>
          <w:noProof/>
          <w:sz w:val="24"/>
        </w:rPr>
        <w:t> евро</w:t>
      </w:r>
      <w:r>
        <w:rPr>
          <w:rFonts w:ascii="Times New Roman"/>
          <w:noProof/>
          <w:sz w:val="24"/>
        </w:rPr>
        <w:t xml:space="preserve"> (0,1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), </w:t>
      </w:r>
      <w:r>
        <w:rPr>
          <w:rFonts w:ascii="Times New Roman"/>
          <w:noProof/>
          <w:sz w:val="24"/>
        </w:rPr>
        <w:t>изглеждат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достатъчно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конкретизирани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етап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поради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били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включени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актуализираната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</w:t>
      </w:r>
      <w:r>
        <w:rPr>
          <w:rFonts w:ascii="Times New Roman"/>
          <w:noProof/>
          <w:sz w:val="24"/>
        </w:rPr>
        <w:t>сията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lastRenderedPageBreak/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начин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предвиденият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консолидирания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държавен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намален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3,4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3,5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>.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</w:rPr>
      </w:pPr>
      <w:r>
        <w:rPr>
          <w:rFonts w:ascii="Times New Roman"/>
          <w:noProof/>
          <w:sz w:val="24"/>
        </w:rPr>
        <w:t>Рисковете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както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предвидено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актуализираната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изглеждат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като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цяло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балансирани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високият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ръст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първото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тримесечие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>. (0,6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сравнение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0,4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 xml:space="preserve">) </w:t>
      </w:r>
      <w:r>
        <w:rPr>
          <w:rFonts w:ascii="Times New Roman"/>
          <w:noProof/>
          <w:sz w:val="24"/>
        </w:rPr>
        <w:t>показва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икономическото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възстановяване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може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набира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сила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бързо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очакваното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допълнение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високата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еластичност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данъчните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приходи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може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окаже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положителен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ефект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върху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номиналния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Обратно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разочароващото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развитие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пазара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труда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може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окаже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отрицателно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>ъздействие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върху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публичните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финанси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начин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неотдавнашното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повишаване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доходността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държавните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облигации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може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доведе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увеличаване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лихвените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плащания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следователно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окаже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натиск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върху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целите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намаление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разходите</w:t>
      </w:r>
      <w:r>
        <w:rPr>
          <w:rFonts w:ascii="Times New Roman"/>
          <w:noProof/>
          <w:sz w:val="24"/>
        </w:rPr>
        <w:t>.</w:t>
      </w:r>
    </w:p>
    <w:p w:rsidR="00C85F93" w:rsidRDefault="006A176E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</w:rPr>
      </w:pPr>
      <w:r>
        <w:rPr>
          <w:noProof/>
        </w:rPr>
        <w:br w:type="page"/>
      </w:r>
    </w:p>
    <w:p w:rsidR="00C85F93" w:rsidRDefault="006A176E">
      <w:pPr>
        <w:pStyle w:val="Heading1"/>
        <w:numPr>
          <w:ilvl w:val="0"/>
          <w:numId w:val="2"/>
        </w:numPr>
        <w:rPr>
          <w:noProof/>
        </w:rPr>
      </w:pPr>
      <w:r>
        <w:rPr>
          <w:noProof/>
        </w:rPr>
        <w:t>Оценка на предприетите действия</w:t>
      </w:r>
    </w:p>
    <w:p w:rsidR="00C85F93" w:rsidRDefault="006A176E">
      <w:pPr>
        <w:spacing w:before="120" w:after="120" w:line="240" w:lineRule="auto"/>
        <w:jc w:val="both"/>
        <w:rPr>
          <w:noProof/>
        </w:rPr>
      </w:pPr>
      <w:r>
        <w:rPr>
          <w:rFonts w:ascii="Times New Roman"/>
          <w:noProof/>
          <w:sz w:val="24"/>
        </w:rPr>
        <w:t>Въз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основа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информацията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представена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актуализираната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предвижда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номинален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3,8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което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поставената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целева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стойност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тази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година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3,4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което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съответствие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определената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цел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Корекцията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обаче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остане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ниска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препоръчаното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двете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години</w:t>
      </w:r>
      <w:r>
        <w:rPr>
          <w:rFonts w:ascii="Times New Roman"/>
          <w:noProof/>
          <w:sz w:val="24"/>
        </w:rPr>
        <w:t>.</w:t>
      </w:r>
    </w:p>
    <w:p w:rsidR="00C85F93" w:rsidRDefault="006A17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Клетка 1. Методологията за оценява</w:t>
      </w:r>
      <w:r>
        <w:rPr>
          <w:rFonts w:ascii="Times New Roman" w:hAnsi="Times New Roman"/>
          <w:b/>
          <w:noProof/>
          <w:sz w:val="24"/>
        </w:rPr>
        <w:t>не на ефективността на действията</w:t>
      </w:r>
    </w:p>
    <w:p w:rsidR="00C85F93" w:rsidRDefault="006A17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съответствие с Регламент (ЕО) № 1467/97 и Кодекса за поведение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 xml:space="preserve"> се счита, че държава членка е предприела ефективни действия, ако е действала в съответствие с препоръката, отправена съгласно член 126, параграф 7 от ДФЕС. </w:t>
      </w:r>
      <w:r>
        <w:rPr>
          <w:rFonts w:ascii="Times New Roman" w:hAnsi="Times New Roman"/>
          <w:noProof/>
          <w:sz w:val="24"/>
        </w:rPr>
        <w:t>Съгласно Кодекса за поведение при оценяване на ефективните действия следва да се отчете по-конкретно дали съответната държава членка е постигнала препоръчаните от Съвета годишни бюджетни цели и заложеното подобрение в салдото, коригирано спрямо фазата на и</w:t>
      </w:r>
      <w:r>
        <w:rPr>
          <w:rFonts w:ascii="Times New Roman" w:hAnsi="Times New Roman"/>
          <w:noProof/>
          <w:sz w:val="24"/>
        </w:rPr>
        <w:t xml:space="preserve">кономическия цикъл, минус еднократните и другите временни мерки. </w:t>
      </w:r>
    </w:p>
    <w:p w:rsidR="00C85F93" w:rsidRDefault="006A17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Съгласно методологията за оценяване на ефективността на действията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най-напред се изисква преценка дали държавата членка изпълнява целта за номинален дефицит и очакваното подобрение на струк</w:t>
      </w:r>
      <w:r>
        <w:rPr>
          <w:rFonts w:ascii="Times New Roman" w:hAnsi="Times New Roman"/>
          <w:noProof/>
          <w:sz w:val="24"/>
        </w:rPr>
        <w:t xml:space="preserve">турното салдо, както се изисква в препоръката по процедурата при прекомерен дефицит (ППД). Ако такова изпълнение е налице, процедурата бива временно прекратена. </w:t>
      </w:r>
    </w:p>
    <w:p w:rsidR="00C85F93" w:rsidRDefault="006A17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Ако държавата членка не изпълни, или съществува риск да не изпълни, целта за номинален дефицит или изискваното подобрение на структурното салдо, се извършва обстоен анализ на причините за недостига. В обстойния анализ се прави оценка дали държавата членка </w:t>
      </w:r>
      <w:r>
        <w:rPr>
          <w:rFonts w:ascii="Times New Roman" w:hAnsi="Times New Roman"/>
          <w:noProof/>
          <w:sz w:val="24"/>
        </w:rPr>
        <w:t>е действала в съответствие с препоръката, като се основава на две допълващи се мерки за подобрение на състоянието на бюджета: i) подход „отгоре-надолу“, който се състои в измерване на изменението в структурното салдо, коригирано с оглед на преразгледания п</w:t>
      </w:r>
      <w:r>
        <w:rPr>
          <w:rFonts w:ascii="Times New Roman" w:hAnsi="Times New Roman"/>
          <w:noProof/>
          <w:sz w:val="24"/>
        </w:rPr>
        <w:t>отенциален растеж на производството, извънредните приходи/разходи и неочакваните събития; и ii) подход „отдолу-нагоре“, в който се прави оценка на бюджетното отражение на отделните взети дискреционни фискални мерки и промените в разходите под контрола на п</w:t>
      </w:r>
      <w:r>
        <w:rPr>
          <w:rFonts w:ascii="Times New Roman" w:hAnsi="Times New Roman"/>
          <w:noProof/>
          <w:sz w:val="24"/>
        </w:rPr>
        <w:t>равителството в сравнение с базовия сценарий в основата на препоръката на Съвета. Обстойният анализ се допълва също така с друг относим качествен анализ, който ще позволи на Комисията да направи квалифицирана преценка на това дали съответната държава членк</w:t>
      </w:r>
      <w:r>
        <w:rPr>
          <w:rFonts w:ascii="Times New Roman" w:hAnsi="Times New Roman"/>
          <w:noProof/>
          <w:sz w:val="24"/>
        </w:rPr>
        <w:t xml:space="preserve">а е </w:t>
      </w:r>
      <w:r>
        <w:rPr>
          <w:rFonts w:ascii="Times New Roman" w:hAnsi="Times New Roman"/>
          <w:noProof/>
          <w:sz w:val="24"/>
        </w:rPr>
        <w:lastRenderedPageBreak/>
        <w:t xml:space="preserve">предприела достатъчни политически действия за изпълнението на препоръката по ППД. </w:t>
      </w:r>
    </w:p>
    <w:p w:rsidR="00C85F93" w:rsidRDefault="006A17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Ако обстойният анализ покаже, че държавата членка е изпълнила своите политически ангажименти, в заключението на оценката се посочва, че са били предприети ефективни дейс</w:t>
      </w:r>
      <w:r>
        <w:rPr>
          <w:rFonts w:ascii="Times New Roman" w:hAnsi="Times New Roman"/>
          <w:noProof/>
          <w:sz w:val="24"/>
        </w:rPr>
        <w:t>твия. Ако обстойният анализ покаже неизпълнение на политическите ангажименти и се очаква целите за номиналния дефицит да не бъдат постигнати, в заключението на оценката се посочва, че не са били предприети ефективни действия. Независимо от това, ако се оча</w:t>
      </w:r>
      <w:r>
        <w:rPr>
          <w:rFonts w:ascii="Times New Roman" w:hAnsi="Times New Roman"/>
          <w:noProof/>
          <w:sz w:val="24"/>
        </w:rPr>
        <w:t>ква целите за номиналния дефицит да бъдат постигнати, процедурата се провежда при временно прекратяване, дори когато препоръчаната промяна на структурното салдо не е постигната. В същото време следва да бъде извършен обстоен анализ, за да се разбере по-доб</w:t>
      </w:r>
      <w:r>
        <w:rPr>
          <w:rFonts w:ascii="Times New Roman" w:hAnsi="Times New Roman"/>
          <w:noProof/>
          <w:sz w:val="24"/>
        </w:rPr>
        <w:t>ре естеството на промените в бюджета.</w:t>
      </w:r>
    </w:p>
    <w:p w:rsidR="00C85F93" w:rsidRDefault="006A17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произтичащо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актуализираната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възлиза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0,3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0,1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което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малко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0,5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0,8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препоръчано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отношение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очакваното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остава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непроменено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сравнение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0,3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към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момента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конкретно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допълнителният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пакет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размер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4 </w:t>
      </w:r>
      <w:r>
        <w:rPr>
          <w:rFonts w:ascii="Times New Roman"/>
          <w:noProof/>
          <w:sz w:val="24"/>
        </w:rPr>
        <w:t>милиарда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обявен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програмата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стабилност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увеличи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2,8 </w:t>
      </w:r>
      <w:r>
        <w:rPr>
          <w:rFonts w:ascii="Times New Roman"/>
          <w:noProof/>
          <w:sz w:val="24"/>
        </w:rPr>
        <w:t>млрд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евро</w:t>
      </w:r>
      <w:r>
        <w:rPr>
          <w:rFonts w:ascii="Times New Roman"/>
          <w:noProof/>
          <w:sz w:val="24"/>
        </w:rPr>
        <w:t xml:space="preserve"> (0,1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). </w:t>
      </w:r>
      <w:r>
        <w:rPr>
          <w:rFonts w:ascii="Times New Roman"/>
          <w:noProof/>
          <w:sz w:val="24"/>
        </w:rPr>
        <w:t>Това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въздействие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обаче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компенсира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промяна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низходяща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посока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еластичността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данъците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Що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отнася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било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оценено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0,0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–</w:t>
      </w:r>
      <w:r>
        <w:rPr>
          <w:rFonts w:ascii="Times New Roman"/>
          <w:noProof/>
          <w:sz w:val="24"/>
        </w:rPr>
        <w:t>0,4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базовия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сценарий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процедурата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прекомерен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Като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има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предвид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нататъшното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намаляване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разходите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посочено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понастоящем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0,1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което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още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далеч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стойността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0,8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препоръчана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Както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предвидено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методологията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оценяване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ефективността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</w:t>
      </w:r>
      <w:r>
        <w:rPr>
          <w:rFonts w:ascii="Times New Roman"/>
          <w:noProof/>
          <w:sz w:val="24"/>
        </w:rPr>
        <w:t>ята</w:t>
      </w:r>
      <w:r>
        <w:rPr>
          <w:rFonts w:ascii="Times New Roman"/>
          <w:noProof/>
          <w:sz w:val="24"/>
        </w:rPr>
        <w:t xml:space="preserve"> (</w:t>
      </w:r>
      <w:r>
        <w:rPr>
          <w:rFonts w:ascii="Times New Roman"/>
          <w:noProof/>
          <w:sz w:val="24"/>
        </w:rPr>
        <w:t>вж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каре </w:t>
      </w:r>
      <w:r>
        <w:rPr>
          <w:rFonts w:ascii="Times New Roman"/>
          <w:noProof/>
          <w:sz w:val="24"/>
        </w:rPr>
        <w:t xml:space="preserve">1), </w:t>
      </w:r>
      <w:r>
        <w:rPr>
          <w:rFonts w:ascii="Times New Roman"/>
          <w:noProof/>
          <w:sz w:val="24"/>
        </w:rPr>
        <w:t>тази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ситуация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нуждае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обстоен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анализ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състоянието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основан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коригираното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(</w:t>
      </w:r>
      <w:r>
        <w:rPr>
          <w:rFonts w:ascii="Times New Roman"/>
          <w:noProof/>
          <w:sz w:val="24"/>
        </w:rPr>
        <w:t>подход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„отгоре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надолу“</w:t>
      </w:r>
      <w:r>
        <w:rPr>
          <w:rFonts w:ascii="Times New Roman"/>
          <w:noProof/>
          <w:sz w:val="24"/>
        </w:rPr>
        <w:t xml:space="preserve">)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размера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(</w:t>
      </w:r>
      <w:r>
        <w:rPr>
          <w:rFonts w:ascii="Times New Roman"/>
          <w:noProof/>
          <w:sz w:val="24"/>
        </w:rPr>
        <w:t>подход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„отдолу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нагоре“</w:t>
      </w:r>
      <w:r>
        <w:rPr>
          <w:rFonts w:ascii="Times New Roman"/>
          <w:noProof/>
          <w:sz w:val="24"/>
        </w:rPr>
        <w:t>).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center"/>
        <w:rPr>
          <w:rFonts w:ascii="Times New Roman"/>
          <w:b/>
          <w:bCs/>
          <w:noProof/>
          <w:sz w:val="24"/>
          <w:szCs w:val="24"/>
        </w:rPr>
      </w:pPr>
      <w:r>
        <w:rPr>
          <w:rFonts w:ascii="Times New Roman"/>
          <w:b/>
          <w:noProof/>
          <w:sz w:val="24"/>
        </w:rPr>
        <w:t>Таблица</w:t>
      </w:r>
      <w:r>
        <w:rPr>
          <w:rFonts w:ascii="Times New Roman"/>
          <w:b/>
          <w:noProof/>
          <w:sz w:val="24"/>
        </w:rPr>
        <w:t xml:space="preserve"> 1. </w:t>
      </w:r>
      <w:r>
        <w:rPr>
          <w:rFonts w:ascii="Times New Roman"/>
          <w:b/>
          <w:noProof/>
          <w:sz w:val="24"/>
        </w:rPr>
        <w:t>Съп</w:t>
      </w:r>
      <w:r>
        <w:rPr>
          <w:rFonts w:ascii="Times New Roman"/>
          <w:b/>
          <w:noProof/>
          <w:sz w:val="24"/>
        </w:rPr>
        <w:t>оставка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бюджетните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прогнози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 </w:t>
      </w:r>
      <w:r>
        <w:rPr>
          <w:noProof/>
        </w:rPr>
        <w:pict>
          <v:shape id="_x0000_i1026" type="#_x0000_t75" style="width:453pt;height:164pt;mso-position-horizontal:absolute;mso-position-horizontal-relative:text;mso-position-vertical:absolute;mso-position-vertical-relative:text;mso-width-relative:page;mso-height-relative:page">
            <v:imagedata r:id="rId16" o:title=""/>
          </v:shape>
        </w:pict>
      </w:r>
    </w:p>
    <w:p w:rsidR="00C85F93" w:rsidRDefault="00C85F93">
      <w:pPr>
        <w:tabs>
          <w:tab w:val="left" w:pos="360"/>
        </w:tabs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отношение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обстойния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анализ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потвърждава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състоянието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малко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равнището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препоръчано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След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корекцията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промени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потенциалния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растеж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понижение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приходите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след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оповестяването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коригираното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оценява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0,4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сравнение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препоръчаните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0,5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%.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състоянието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„отдолу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нагоре“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остане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непроменено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0,0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според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сравнение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препоръчаните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0,2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действителност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въздействието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описани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компенсира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корекцията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икономиите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лихвени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плащания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счита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извън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контрола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правителството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общоприетата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методология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оценяване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ефективността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поради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вземат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предвид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изчисляването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състоянието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„отдолу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нагоре“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обстойният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анализ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също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така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показва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намаление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сравнение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състоянието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препоръчано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Като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вземат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предвид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мерките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оп</w:t>
      </w:r>
      <w:r>
        <w:rPr>
          <w:rFonts w:ascii="Times New Roman"/>
          <w:noProof/>
          <w:sz w:val="24"/>
        </w:rPr>
        <w:t>исани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след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корекции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промените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потенциалния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растеж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както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извънредните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приходи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след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оповестяването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коригираното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остане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постоянна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величина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сравнени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0,8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препоръчано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начин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икономии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държавата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увеличат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състоянието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„отдолу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нагоре“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0,3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очаквано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прогнозата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пролетта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до</w:t>
      </w:r>
      <w:r>
        <w:rPr>
          <w:rFonts w:ascii="Times New Roman"/>
          <w:noProof/>
          <w:sz w:val="24"/>
        </w:rPr>
        <w:t xml:space="preserve"> 0,4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>,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малко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1,2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препоръчани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10 </w:t>
      </w:r>
      <w:r>
        <w:rPr>
          <w:rFonts w:ascii="Times New Roman"/>
          <w:noProof/>
          <w:sz w:val="24"/>
        </w:rPr>
        <w:t>март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Препоръката на Съвета от 10 март 2015 г. също така призова за извършване на оценка на ключовите мерки, предвидени за 2016 г. и 2017 г. Тази оценка не е предоставена в доклада отно</w:t>
      </w:r>
      <w:r>
        <w:rPr>
          <w:rFonts w:ascii="Times New Roman" w:hAnsi="Times New Roman"/>
          <w:noProof/>
          <w:sz w:val="24"/>
        </w:rPr>
        <w:t>сно предприетите действия. По-специално, очаква се икономиите на разходи през 2016 и 2017 г. да бъдат подкрепени от резултатите от прегледите на разходите, които са в ход, или предстои да бъдат стартирани. Освен това „</w:t>
      </w:r>
      <w:r>
        <w:rPr>
          <w:rFonts w:ascii="Times New Roman" w:hAnsi="Times New Roman"/>
          <w:i/>
          <w:noProof/>
          <w:sz w:val="24"/>
        </w:rPr>
        <w:t>loi de programmation des finances publ</w:t>
      </w:r>
      <w:r>
        <w:rPr>
          <w:rFonts w:ascii="Times New Roman" w:hAnsi="Times New Roman"/>
          <w:i/>
          <w:noProof/>
          <w:sz w:val="24"/>
        </w:rPr>
        <w:t>iques</w:t>
      </w:r>
      <w:r>
        <w:rPr>
          <w:rFonts w:ascii="Times New Roman" w:hAnsi="Times New Roman"/>
          <w:noProof/>
          <w:sz w:val="24"/>
        </w:rPr>
        <w:t>“ не е актуализиран, както се препоръчва от Съвета.</w:t>
      </w:r>
    </w:p>
    <w:p w:rsidR="00C85F93" w:rsidRDefault="00C85F93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85F93" w:rsidRDefault="006A17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/>
          <w:b/>
          <w:noProof/>
          <w:sz w:val="24"/>
        </w:rPr>
        <w:t>Таблица</w:t>
      </w:r>
      <w:r>
        <w:rPr>
          <w:rFonts w:ascii="Times New Roman"/>
          <w:b/>
          <w:noProof/>
          <w:sz w:val="24"/>
        </w:rPr>
        <w:t xml:space="preserve"> 2. </w:t>
      </w:r>
      <w:r>
        <w:rPr>
          <w:rFonts w:ascii="Times New Roman"/>
          <w:b/>
          <w:noProof/>
          <w:sz w:val="24"/>
        </w:rPr>
        <w:t>Съпоставка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коригираната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промяна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в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структурното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салдо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и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подобренията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състоянието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бюджета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въз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основа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прогнозата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Комисията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от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пролетта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2015 </w:t>
      </w:r>
      <w:r>
        <w:rPr>
          <w:rFonts w:ascii="Times New Roman"/>
          <w:b/>
          <w:noProof/>
          <w:sz w:val="24"/>
        </w:rPr>
        <w:t>г</w:t>
      </w:r>
      <w:r>
        <w:rPr>
          <w:rFonts w:ascii="Times New Roman"/>
          <w:b/>
          <w:noProof/>
          <w:sz w:val="24"/>
        </w:rPr>
        <w:t>.</w:t>
      </w:r>
    </w:p>
    <w:p w:rsidR="00C85F93" w:rsidRDefault="006A176E">
      <w:pPr>
        <w:spacing w:before="120" w:after="120" w:line="240" w:lineRule="auto"/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pict>
          <v:shape id="_x0000_i1027" type="#_x0000_t75" style="width:453pt;height:121pt;mso-position-horizontal:absolute;mso-position-horizontal-relative:text;mso-position-vertical:absolute;mso-position-vertical-relative:text;mso-width-relative:page;mso-height-relative:page">
            <v:imagedata r:id="rId17" o:title=""/>
          </v:shape>
        </w:pict>
      </w:r>
    </w:p>
    <w:p w:rsidR="00C85F93" w:rsidRDefault="006A176E">
      <w:pPr>
        <w:pStyle w:val="Heading1"/>
        <w:numPr>
          <w:ilvl w:val="0"/>
          <w:numId w:val="2"/>
        </w:numPr>
        <w:rPr>
          <w:noProof/>
        </w:rPr>
      </w:pPr>
      <w:r>
        <w:rPr>
          <w:noProof/>
        </w:rPr>
        <w:t>Заключения</w:t>
      </w:r>
    </w:p>
    <w:p w:rsidR="00C85F93" w:rsidRDefault="006A17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>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представен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10 </w:t>
      </w:r>
      <w:r>
        <w:rPr>
          <w:rFonts w:ascii="Times New Roman"/>
          <w:noProof/>
          <w:sz w:val="24"/>
        </w:rPr>
        <w:t>юни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потвърждава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планът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френското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правителство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коригиране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прекомерния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</w:t>
      </w:r>
      <w:r>
        <w:rPr>
          <w:rFonts w:ascii="Times New Roman"/>
          <w:noProof/>
          <w:sz w:val="24"/>
        </w:rPr>
        <w:t xml:space="preserve"> 2017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определеният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краен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срок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предоставят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разяснения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>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основата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стратегия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посочени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програмата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стабилност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Независимо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това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представени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сравнение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вече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обявените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програмата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стабилност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Като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цяло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въз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основа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наличната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информация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етап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дефицитът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консолидирания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държавен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достигне</w:t>
      </w:r>
      <w:r>
        <w:rPr>
          <w:rFonts w:ascii="Times New Roman"/>
          <w:noProof/>
          <w:sz w:val="24"/>
        </w:rPr>
        <w:t xml:space="preserve"> 3,8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БВП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3,4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съответствие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целите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препоръчани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10 </w:t>
      </w:r>
      <w:r>
        <w:rPr>
          <w:rFonts w:ascii="Times New Roman"/>
          <w:noProof/>
          <w:sz w:val="24"/>
        </w:rPr>
        <w:t>март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оценено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въз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основа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наличната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информация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10 </w:t>
      </w:r>
      <w:r>
        <w:rPr>
          <w:rFonts w:ascii="Times New Roman"/>
          <w:noProof/>
          <w:sz w:val="24"/>
        </w:rPr>
        <w:t>юни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изглежда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малко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препоръчаното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както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2015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така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през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Обстойният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анализ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основан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както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коригираната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промяна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салдо</w:t>
      </w:r>
      <w:r>
        <w:rPr>
          <w:rFonts w:ascii="Times New Roman"/>
          <w:noProof/>
          <w:sz w:val="24"/>
        </w:rPr>
        <w:t xml:space="preserve"> (</w:t>
      </w:r>
      <w:r>
        <w:rPr>
          <w:rFonts w:ascii="Times New Roman"/>
          <w:noProof/>
          <w:sz w:val="24"/>
        </w:rPr>
        <w:t>подход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„отгоре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надолу“</w:t>
      </w:r>
      <w:r>
        <w:rPr>
          <w:rFonts w:ascii="Times New Roman"/>
          <w:noProof/>
          <w:sz w:val="24"/>
        </w:rPr>
        <w:t xml:space="preserve">), </w:t>
      </w:r>
      <w:r>
        <w:rPr>
          <w:rFonts w:ascii="Times New Roman"/>
          <w:noProof/>
          <w:sz w:val="24"/>
        </w:rPr>
        <w:t>така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размера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пла</w:t>
      </w:r>
      <w:r>
        <w:rPr>
          <w:rFonts w:ascii="Times New Roman"/>
          <w:noProof/>
          <w:sz w:val="24"/>
        </w:rPr>
        <w:t>нираните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мерки</w:t>
      </w:r>
      <w:r>
        <w:rPr>
          <w:rFonts w:ascii="Times New Roman"/>
          <w:noProof/>
          <w:sz w:val="24"/>
        </w:rPr>
        <w:t xml:space="preserve"> (</w:t>
      </w:r>
      <w:r>
        <w:rPr>
          <w:rFonts w:ascii="Times New Roman"/>
          <w:noProof/>
          <w:sz w:val="24"/>
        </w:rPr>
        <w:t>подход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„отдолу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нагоре“</w:t>
      </w:r>
      <w:r>
        <w:rPr>
          <w:rFonts w:ascii="Times New Roman"/>
          <w:noProof/>
          <w:sz w:val="24"/>
        </w:rPr>
        <w:t xml:space="preserve">), </w:t>
      </w:r>
      <w:r>
        <w:rPr>
          <w:rFonts w:ascii="Times New Roman"/>
          <w:noProof/>
          <w:sz w:val="24"/>
        </w:rPr>
        <w:t>също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така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заключава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подобрението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състоянието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малко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равнището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препоръчано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Освен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това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въпреки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отправен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призив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ключовите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</w:t>
      </w:r>
      <w:r>
        <w:rPr>
          <w:rFonts w:ascii="Times New Roman"/>
          <w:noProof/>
          <w:sz w:val="24"/>
        </w:rPr>
        <w:t>рки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планирани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2016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2017</w:t>
      </w:r>
      <w:r>
        <w:rPr>
          <w:rFonts w:ascii="Times New Roman"/>
          <w:noProof/>
          <w:sz w:val="24"/>
        </w:rPr>
        <w:t> 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тази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оценка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беше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предоставена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доклада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относно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предприетите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Накрая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„</w:t>
      </w:r>
      <w:r>
        <w:rPr>
          <w:rFonts w:ascii="Times New Roman"/>
          <w:i/>
          <w:noProof/>
          <w:sz w:val="24"/>
        </w:rPr>
        <w:t>loi de programmation des finances publiques</w:t>
      </w:r>
      <w:r>
        <w:rPr>
          <w:rFonts w:ascii="Times New Roman"/>
          <w:noProof/>
          <w:sz w:val="24"/>
        </w:rPr>
        <w:t>“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актуализиран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както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препоръчва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Стратегията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консолидация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следвана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разчита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главно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подобряващите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циклични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условия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продължаване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средата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ниски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лихви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Следователно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гарантира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устойчива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корекция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прекомерния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рамките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установения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срок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бюджетната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стратегия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ще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трябва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бъде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</w:t>
      </w:r>
      <w:r>
        <w:rPr>
          <w:rFonts w:ascii="Times New Roman"/>
          <w:noProof/>
          <w:sz w:val="24"/>
        </w:rPr>
        <w:t>лнително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подсилена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специално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икономиите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планирани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2016 </w:t>
      </w:r>
      <w:r>
        <w:rPr>
          <w:rFonts w:ascii="Times New Roman"/>
          <w:noProof/>
          <w:sz w:val="24"/>
        </w:rPr>
        <w:t>г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2017 </w:t>
      </w:r>
      <w:r>
        <w:rPr>
          <w:rFonts w:ascii="Times New Roman"/>
          <w:noProof/>
          <w:sz w:val="24"/>
        </w:rPr>
        <w:t>г</w:t>
      </w:r>
      <w:r>
        <w:rPr>
          <w:rFonts w:ascii="Times New Roman"/>
          <w:noProof/>
          <w:sz w:val="24"/>
        </w:rPr>
        <w:t xml:space="preserve">., </w:t>
      </w:r>
      <w:r>
        <w:rPr>
          <w:rFonts w:ascii="Times New Roman"/>
          <w:noProof/>
          <w:sz w:val="24"/>
        </w:rPr>
        <w:t>трябва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бъдат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допълнително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уточнени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извънредните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приходи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специално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резултат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високи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очакваните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данъчни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постъпления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или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ниски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лихви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следва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използват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намаляване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дефицита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Освен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следва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увеличат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усилията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ефективно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извършване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прегледа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разходите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идентифициране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възможностите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икономии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във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всички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подсектори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сектор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„Държавно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управление“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включително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соц</w:t>
      </w:r>
      <w:r>
        <w:rPr>
          <w:rFonts w:ascii="Times New Roman"/>
          <w:noProof/>
          <w:sz w:val="24"/>
        </w:rPr>
        <w:t>иалното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осигуряване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местното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управление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както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препоръчва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Съвета</w:t>
      </w:r>
      <w:r>
        <w:rPr>
          <w:rFonts w:ascii="Times New Roman"/>
          <w:noProof/>
          <w:sz w:val="24"/>
        </w:rPr>
        <w:t xml:space="preserve">. </w:t>
      </w:r>
      <w:r>
        <w:rPr>
          <w:rFonts w:ascii="Times New Roman"/>
          <w:noProof/>
          <w:sz w:val="24"/>
        </w:rPr>
        <w:t>Освен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важно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консолидацията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бюджета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бъде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подкрепена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осъществяването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комплексни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амбициозни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структурни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реформи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съответствие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препоръките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които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Съветът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отправи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къ</w:t>
      </w:r>
      <w:r>
        <w:rPr>
          <w:rFonts w:ascii="Times New Roman"/>
          <w:noProof/>
          <w:sz w:val="24"/>
        </w:rPr>
        <w:t>м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Франция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рамките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европейския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семестър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по</w:t>
      </w:r>
      <w:r>
        <w:rPr>
          <w:rFonts w:ascii="Times New Roman"/>
          <w:noProof/>
          <w:sz w:val="24"/>
        </w:rPr>
        <w:t>-</w:t>
      </w:r>
      <w:r>
        <w:rPr>
          <w:rFonts w:ascii="Times New Roman"/>
          <w:noProof/>
          <w:sz w:val="24"/>
        </w:rPr>
        <w:t>специално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тези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които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отнасят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процедурата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макроикономически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дисбаланси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обобщение, очаква се целите за номиналният дефицит да бъдат постигнати както през 2015, така и 2016 г., а подобрението на с</w:t>
      </w:r>
      <w:r>
        <w:rPr>
          <w:rFonts w:ascii="Times New Roman" w:hAnsi="Times New Roman"/>
          <w:noProof/>
          <w:sz w:val="24"/>
        </w:rPr>
        <w:t xml:space="preserve">ъстоянието на бюджета, в съответствие с всички показатели, да е по-малко от препоръчаното през 2015 г. и 2016 г. </w:t>
      </w:r>
      <w:r>
        <w:rPr>
          <w:rFonts w:ascii="Times New Roman"/>
          <w:noProof/>
          <w:sz w:val="24"/>
        </w:rPr>
        <w:t>Поради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това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според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методологията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за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оценяване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ефективността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на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действията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Комисията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счита</w:t>
      </w:r>
      <w:r>
        <w:rPr>
          <w:rFonts w:ascii="Times New Roman"/>
          <w:noProof/>
          <w:sz w:val="24"/>
        </w:rPr>
        <w:t xml:space="preserve">, </w:t>
      </w:r>
      <w:r>
        <w:rPr>
          <w:rFonts w:ascii="Times New Roman"/>
          <w:noProof/>
          <w:sz w:val="24"/>
        </w:rPr>
        <w:t>че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процедурата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трябва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да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бъде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временно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прекратен</w:t>
      </w:r>
      <w:r>
        <w:rPr>
          <w:rFonts w:ascii="Times New Roman"/>
          <w:noProof/>
          <w:sz w:val="24"/>
        </w:rPr>
        <w:t>а</w:t>
      </w:r>
      <w:r>
        <w:rPr>
          <w:rFonts w:ascii="Times New Roman"/>
          <w:noProof/>
          <w:sz w:val="24"/>
        </w:rPr>
        <w:t xml:space="preserve">. </w:t>
      </w:r>
    </w:p>
    <w:p w:rsidR="00C85F93" w:rsidRDefault="006A17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br w:type="page"/>
      </w:r>
      <w:r>
        <w:rPr>
          <w:rFonts w:ascii="Times New Roman"/>
          <w:b/>
          <w:noProof/>
          <w:sz w:val="24"/>
        </w:rPr>
        <w:t>Таблици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относно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ППД</w:t>
      </w:r>
    </w:p>
    <w:p w:rsidR="00C85F93" w:rsidRDefault="00C85F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C85F93" w:rsidRDefault="006A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/>
          <w:b/>
          <w:noProof/>
          <w:sz w:val="24"/>
        </w:rPr>
        <w:t>Таблица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А</w:t>
      </w:r>
      <w:r>
        <w:rPr>
          <w:rFonts w:ascii="Times New Roman"/>
          <w:b/>
          <w:noProof/>
          <w:sz w:val="24"/>
        </w:rPr>
        <w:t xml:space="preserve">1. </w:t>
      </w:r>
      <w:r>
        <w:rPr>
          <w:rFonts w:ascii="Times New Roman"/>
          <w:b/>
          <w:noProof/>
          <w:sz w:val="24"/>
        </w:rPr>
        <w:t>Корекция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видимото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структурно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подобрение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с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оглед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преразгледания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потенциален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растеж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hAnsi="Times New Roman"/>
          <w:b/>
          <w:noProof/>
          <w:sz w:val="24"/>
        </w:rPr>
        <w:t>–</w:t>
      </w:r>
    </w:p>
    <w:p w:rsidR="00C85F93" w:rsidRDefault="006A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/>
          <w:b/>
          <w:noProof/>
          <w:sz w:val="24"/>
        </w:rPr>
        <w:t>данни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относно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изчисленията</w:t>
      </w:r>
    </w:p>
    <w:p w:rsidR="00C85F93" w:rsidRDefault="006A17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pict>
          <v:shape id="_x0000_i1028" type="#_x0000_t75" style="width:453pt;height:91pt">
            <v:imagedata r:id="rId18" o:title=""/>
          </v:shape>
        </w:pict>
      </w:r>
    </w:p>
    <w:p w:rsidR="00C85F93" w:rsidRDefault="00C85F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C85F93" w:rsidRDefault="00C85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C85F93" w:rsidRDefault="006A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/>
          <w:b/>
          <w:noProof/>
          <w:sz w:val="24"/>
        </w:rPr>
        <w:t>Таблица</w:t>
      </w:r>
      <w:r>
        <w:rPr>
          <w:rFonts w:ascii="Times New Roman"/>
          <w:b/>
          <w:noProof/>
          <w:sz w:val="24"/>
        </w:rPr>
        <w:t xml:space="preserve"> A2. </w:t>
      </w:r>
      <w:r>
        <w:rPr>
          <w:rFonts w:ascii="Times New Roman"/>
          <w:b/>
          <w:noProof/>
          <w:sz w:val="24"/>
        </w:rPr>
        <w:t>Корекция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видимото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структурно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подобрение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с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оглед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на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преразгледаните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извънредни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приходи</w:t>
      </w:r>
      <w:r>
        <w:rPr>
          <w:rFonts w:ascii="Times New Roman"/>
          <w:b/>
          <w:noProof/>
          <w:sz w:val="24"/>
        </w:rPr>
        <w:t>/</w:t>
      </w:r>
      <w:r>
        <w:rPr>
          <w:rFonts w:ascii="Times New Roman"/>
          <w:b/>
          <w:noProof/>
          <w:sz w:val="24"/>
        </w:rPr>
        <w:t>разходи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–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данни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относно</w:t>
      </w:r>
      <w:r>
        <w:rPr>
          <w:rFonts w:ascii="Times New Roman"/>
          <w:b/>
          <w:noProof/>
          <w:sz w:val="24"/>
        </w:rPr>
        <w:t xml:space="preserve"> </w:t>
      </w:r>
      <w:r>
        <w:rPr>
          <w:rFonts w:ascii="Times New Roman"/>
          <w:b/>
          <w:noProof/>
          <w:sz w:val="24"/>
        </w:rPr>
        <w:t>изчисленията</w:t>
      </w:r>
    </w:p>
    <w:p w:rsidR="00C85F93" w:rsidRDefault="00C85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C85F93" w:rsidRDefault="006A176E">
      <w:pPr>
        <w:spacing w:after="0" w:line="240" w:lineRule="auto"/>
        <w:jc w:val="both"/>
        <w:rPr>
          <w:noProof/>
        </w:rPr>
      </w:pPr>
      <w:r>
        <w:rPr>
          <w:noProof/>
        </w:rPr>
        <w:pict>
          <v:shape id="_x0000_i1029" type="#_x0000_t75" style="width:453pt;height:86pt;mso-position-horizontal:absolute;mso-position-horizontal-relative:text;mso-position-vertical:absolute;mso-position-vertical-relative:text;mso-width-relative:page;mso-height-relative:page">
            <v:imagedata r:id="rId19" o:title=""/>
          </v:shape>
        </w:pict>
      </w:r>
    </w:p>
    <w:sectPr w:rsidR="00C85F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17" w:right="1417" w:bottom="1417" w:left="1417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93" w:rsidRDefault="006A176E">
      <w:pPr>
        <w:spacing w:after="0" w:line="240" w:lineRule="auto"/>
      </w:pPr>
      <w:r>
        <w:separator/>
      </w:r>
    </w:p>
  </w:endnote>
  <w:endnote w:type="continuationSeparator" w:id="0">
    <w:p w:rsidR="00C85F93" w:rsidRDefault="006A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6E" w:rsidRPr="006A176E" w:rsidRDefault="006A176E" w:rsidP="006A1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6E" w:rsidRPr="006A176E" w:rsidRDefault="006A176E" w:rsidP="006A176E">
    <w:pPr>
      <w:pStyle w:val="FooterCoverPage"/>
      <w:rPr>
        <w:rFonts w:ascii="Arial" w:hAnsi="Arial" w:cs="Arial"/>
        <w:b/>
        <w:sz w:val="48"/>
      </w:rPr>
    </w:pPr>
    <w:r w:rsidRPr="006A176E">
      <w:rPr>
        <w:rFonts w:ascii="Arial" w:hAnsi="Arial" w:cs="Arial"/>
        <w:b/>
        <w:sz w:val="48"/>
      </w:rPr>
      <w:t>BG</w:t>
    </w:r>
    <w:r w:rsidRPr="006A176E">
      <w:rPr>
        <w:rFonts w:ascii="Arial" w:hAnsi="Arial" w:cs="Arial"/>
        <w:b/>
        <w:sz w:val="48"/>
      </w:rPr>
      <w:tab/>
    </w:r>
    <w:r w:rsidRPr="006A176E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6A176E">
      <w:tab/>
    </w:r>
    <w:r w:rsidRPr="006A176E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6E" w:rsidRPr="006A176E" w:rsidRDefault="006A176E" w:rsidP="006A176E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93" w:rsidRDefault="00C85F9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93" w:rsidRDefault="006A17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85F93" w:rsidRDefault="00C85F93">
    <w:pPr>
      <w:pStyle w:val="Footer"/>
      <w:tabs>
        <w:tab w:val="clear" w:pos="9072"/>
        <w:tab w:val="right" w:pos="9046"/>
      </w:tabs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93" w:rsidRDefault="00C85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93" w:rsidRDefault="006A176E">
      <w:r>
        <w:separator/>
      </w:r>
    </w:p>
  </w:footnote>
  <w:footnote w:type="continuationSeparator" w:id="0">
    <w:p w:rsidR="00C85F93" w:rsidRDefault="006A176E">
      <w:r>
        <w:continuationSeparator/>
      </w:r>
    </w:p>
  </w:footnote>
  <w:footnote w:type="continuationNotice" w:id="1">
    <w:p w:rsidR="00C85F93" w:rsidRDefault="00C85F93"/>
  </w:footnote>
  <w:footnote w:id="2">
    <w:p w:rsidR="00C85F93" w:rsidRDefault="006A176E">
      <w:pPr>
        <w:pStyle w:val="FootnoteText"/>
        <w:ind w:left="426" w:hanging="437"/>
      </w:pPr>
      <w:r>
        <w:rPr>
          <w:sz w:val="24"/>
          <w:vertAlign w:val="superscript"/>
        </w:rPr>
        <w:footnoteRef/>
      </w:r>
      <w:r>
        <w:t xml:space="preserve"> </w:t>
      </w:r>
      <w:r>
        <w:tab/>
        <w:t>„Оценка на програмата за стабилност за 2015 г. за Франция“, 27 май 2015 г., на разположение на адрес:</w:t>
      </w:r>
      <w:r>
        <w:tab/>
        <w:t xml:space="preserve"> </w:t>
      </w:r>
      <w:hyperlink r:id="rId1">
        <w:r>
          <w:rPr>
            <w:rStyle w:val="Hyperlink"/>
          </w:rPr>
          <w:t>http://ec.europa.eu/economy_finance/economic_governance/sgp/pdf/20_scps/2015/10_fr_scp_en.pdf</w:t>
        </w:r>
      </w:hyperlink>
    </w:p>
  </w:footnote>
  <w:footnote w:id="3">
    <w:p w:rsidR="00C85F93" w:rsidRDefault="006A176E">
      <w:pPr>
        <w:pStyle w:val="FootnoteText"/>
        <w:ind w:left="426" w:hanging="426"/>
      </w:pPr>
      <w:r>
        <w:rPr>
          <w:rStyle w:val="FootnoteReference"/>
        </w:rPr>
        <w:footnoteRef/>
      </w:r>
      <w:r>
        <w:t xml:space="preserve"> </w:t>
      </w:r>
      <w:r>
        <w:tab/>
        <w:t>Подобрението на състоянието на бюджета се изчисл</w:t>
      </w:r>
      <w:r>
        <w:t>ява въз основа на темпа на нарастване на публичните разходи, а не на тяхното равнище (вж. каре 1).</w:t>
      </w:r>
    </w:p>
  </w:footnote>
  <w:footnote w:id="4">
    <w:p w:rsidR="00C85F93" w:rsidRDefault="006A176E">
      <w:pPr>
        <w:pStyle w:val="FootnoteText"/>
        <w:ind w:left="426" w:hanging="426"/>
      </w:pPr>
      <w:r>
        <w:rPr>
          <w:rStyle w:val="FootnoteReference"/>
        </w:rPr>
        <w:footnoteRef/>
      </w:r>
      <w:r>
        <w:t xml:space="preserve"> </w:t>
      </w:r>
      <w:r>
        <w:tab/>
        <w:t>„Specifications on the implementation of the Stability and Growth Pact and guidelines on the format and content of stability and convergence programmes“ (</w:t>
      </w:r>
      <w:r>
        <w:t>Подробни указания за изпълнението на Пакта за стабилност и растеж и насоките относно формата и съдържанието на програмите за стабилност и за конвергенция), публикувани на адрес:</w:t>
      </w:r>
      <w:r>
        <w:tab/>
      </w:r>
      <w:r>
        <w:br/>
      </w:r>
      <w:hyperlink r:id="rId2">
        <w:r>
          <w:t>http://ec.europa.eu/economy_finance/economic_governance/sgp/index_bg.htm</w:t>
        </w:r>
      </w:hyperlink>
      <w:r>
        <w:t>.</w:t>
      </w:r>
    </w:p>
  </w:footnote>
  <w:footnote w:id="5">
    <w:p w:rsidR="00C85F93" w:rsidRDefault="006A176E">
      <w:pPr>
        <w:pStyle w:val="FootnoteText"/>
        <w:ind w:left="426" w:hanging="426"/>
      </w:pPr>
      <w:r>
        <w:rPr>
          <w:rStyle w:val="FootnoteReference"/>
        </w:rPr>
        <w:footnoteRef/>
      </w:r>
      <w:r>
        <w:t xml:space="preserve"> </w:t>
      </w:r>
      <w:r>
        <w:tab/>
        <w:t>Одобрена от Съвета на 20 юни 2014 година:</w:t>
      </w:r>
      <w:r>
        <w:tab/>
      </w:r>
      <w:r>
        <w:br/>
        <w:t>(</w:t>
      </w:r>
      <w:hyperlink r:id="rId3">
        <w:r>
          <w:t>http://www.consilium.europa.eu/uedocs/cms_data/docs/pressdata/en/ecofin/143293.pdf</w:t>
        </w:r>
      </w:hyperlink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6E" w:rsidRPr="006A176E" w:rsidRDefault="006A176E" w:rsidP="006A1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6E" w:rsidRPr="006A176E" w:rsidRDefault="006A176E" w:rsidP="006A176E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6E" w:rsidRPr="006A176E" w:rsidRDefault="006A176E" w:rsidP="006A176E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93" w:rsidRDefault="00C85F9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93" w:rsidRDefault="00C85F93">
    <w:pPr>
      <w:pStyle w:val="HeaderFoo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93" w:rsidRDefault="00C85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77A2"/>
    <w:multiLevelType w:val="multilevel"/>
    <w:tmpl w:val="B85069E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3D534DB1"/>
    <w:multiLevelType w:val="multilevel"/>
    <w:tmpl w:val="B1E06868"/>
    <w:styleLink w:val="ImportedStyle1"/>
    <w:lvl w:ilvl="0">
      <w:start w:val="1"/>
      <w:numFmt w:val="decimal"/>
      <w:pStyle w:val="HeaderCoverPage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oNotTrackMoves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CONFIDENCE" w:val=" "/>
    <w:docVar w:name="LW_CONST_RESTREINT_UE" w:val="RESTREINT UE/EU RESTRICTED"/>
    <w:docVar w:name="LW_CORRIGENDUM" w:val="&lt;UNUSED&gt;"/>
    <w:docVar w:name="LW_COVERPAGE_GUID" w:val="56436E6B78DB4F3BAFF4C877BF8019C3"/>
    <w:docVar w:name="LW_CROSSREFERENCE" w:val="{SWD(2015) 130 final}"/>
    <w:docVar w:name="LW_DocType" w:val="NORMAL"/>
    <w:docVar w:name="LW_EMISSION" w:val="1.7.2015"/>
    <w:docVar w:name="LW_EMISSION_ISODATE" w:val="2015-07-01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0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326"/>
    <w:docVar w:name="LW_REF.INTERNE" w:val="&lt;UNUSED&gt;"/>
    <w:docVar w:name="LW_SOUS.TITRE.OBJ.CP" w:val="&lt;UNUSED&gt;"/>
    <w:docVar w:name="LW_SUPERTITRE" w:val="&lt;UNUSED&gt;"/>
    <w:docVar w:name="LW_TITRE.OBJ.CP" w:val="\u1054?\u1094?\u1077?\u1085?\u1082?\u1072? \u1085?\u1072? \u1087?\u1088?\u1077?\u1076?\u1087?\u1088?\u1080?\u1077?\u1090?\u1080?\u1090?\u1077? \u1076?\u1077?\u1081?\u1089?\u1090?\u1074?\u1080?\u1103?_x000b__x000b_\u1086?\u1090? \u1060?\u1056?\u1040?\u1053?\u1062?\u1048?\u1071?_x000b__x000b_\u1074? \u1086?\u1090?\u1075?\u1086?\u1074?\u1086?\u1088? \u1085?\u1072? \u1087?\u1088?\u1077?\u1087?\u1086?\u1088?\u1098?\u1082?\u1072?\u1090?\u1072? \u1085?\u1072? \u1057?\u1098?\u1074?\u1077?\u1090?\u1072? \u1086?\u1090? 10 \u1084?\u1072?\u1088?\u1090? 2015 \u1075?. \u1089? \u1086?\u1075?\u1083?\u1077?\u1076? \u1087?\u1088?\u1077?\u1086?\u1076?\u1086?\u1083?\u1103?\u1074?\u1072?\u1085?\u1077? \u1085?\u1072? \u1087?\u1088?\u1077?\u1082?\u1086?\u1084?\u1077?\u1088?\u1085?\u1080?\u1103? \u1076?\u1077?\u1092?\u1080?\u1094?\u1080?\u1090?"/>
    <w:docVar w:name="LW_TYPE.DOC.CP" w:val="\u1057?\u1066?\u1054?\u1041?\u1065?\u1045?\u1053?\u1048?\u1045? \u1053?\u1040? \u1050?\u1054?\u1052?\u1048?\u1057?\u1048?\u1071?\u1058?\u1040?"/>
    <w:docVar w:name="LW_TYPE.DOC.CP.USERTEXT" w:val="&lt;EMPTY&gt;"/>
  </w:docVars>
  <w:rsids>
    <w:rsidRoot w:val="00C85F93"/>
    <w:rsid w:val="006A176E"/>
    <w:rsid w:val="00C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Heading1">
    <w:name w:val="heading 1"/>
    <w:next w:val="Normal"/>
    <w:link w:val="Heading1Char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850"/>
      </w:tabs>
      <w:spacing w:before="360" w:after="120"/>
      <w:ind w:left="850" w:hanging="850"/>
      <w:jc w:val="both"/>
      <w:outlineLvl w:val="0"/>
    </w:pPr>
    <w:rPr>
      <w:rFonts w:eastAsia="Times New Roman"/>
      <w:b/>
      <w:bCs/>
      <w:smallCaps/>
      <w:color w:val="000000"/>
      <w:sz w:val="24"/>
      <w:szCs w:val="24"/>
      <w:u w:color="000000"/>
      <w:bdr w:val="nil"/>
    </w:rPr>
  </w:style>
  <w:style w:type="paragraph" w:styleId="Heading2">
    <w:name w:val="heading 2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</w:tabs>
      <w:spacing w:before="120" w:after="120"/>
      <w:jc w:val="both"/>
      <w:outlineLvl w:val="1"/>
    </w:pPr>
    <w:rPr>
      <w:rFonts w:hAnsi="Arial Unicode MS" w:cs="Arial Unicode MS"/>
      <w:b/>
      <w:bCs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paragraph" w:customStyle="1" w:styleId="Pagedecouverture">
    <w:name w:val="Page de couverture"/>
    <w:next w:val="Normal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pPr>
      <w:numPr>
        <w:numId w:val="2"/>
      </w:numPr>
    </w:pPr>
  </w:style>
  <w:style w:type="paragraph" w:styleId="FootnoteText">
    <w:name w:val="footnote text"/>
    <w:pPr>
      <w:pBdr>
        <w:top w:val="nil"/>
        <w:left w:val="nil"/>
        <w:bottom w:val="nil"/>
        <w:right w:val="nil"/>
        <w:between w:val="nil"/>
        <w:bar w:val="nil"/>
      </w:pBdr>
      <w:ind w:left="720" w:hanging="720"/>
      <w:jc w:val="both"/>
    </w:pPr>
    <w:rPr>
      <w:rFonts w:eastAsia="Times New Roman"/>
      <w:color w:val="000000"/>
      <w:u w:color="000000"/>
      <w:bdr w:val="nil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color w:val="000000"/>
      <w:u w:val="none" w:color="000000"/>
    </w:rPr>
  </w:style>
  <w:style w:type="character" w:customStyle="1" w:styleId="Hyperlink1">
    <w:name w:val="Hyperlink.1"/>
    <w:rPr>
      <w:color w:val="000000"/>
      <w:u w:val="single" w:color="000000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Calibri" w:eastAsia="Calibri" w:hAnsi="Calibri" w:cs="Calibri"/>
      <w:color w:val="000000"/>
      <w:u w:color="000000"/>
      <w:lang w:val="bg-BG" w:eastAsia="bg-BG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color w:val="000000"/>
      <w:sz w:val="16"/>
      <w:szCs w:val="16"/>
      <w:u w:color="00000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Calibri" w:eastAsia="Calibri" w:hAnsi="Calibri" w:cs="Calibri"/>
      <w:b/>
      <w:bCs/>
      <w:color w:val="000000"/>
      <w:u w:color="000000"/>
      <w:lang w:val="bg-BG" w:eastAsia="bg-BG"/>
    </w:rPr>
  </w:style>
  <w:style w:type="paragraph" w:styleId="Revision">
    <w:name w:val="Revision"/>
    <w:hidden/>
    <w:uiPriority w:val="99"/>
    <w:semiHidden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Calibri" w:eastAsia="Calibri" w:hAnsi="Calibri" w:cs="Calibri"/>
      <w:color w:val="000000"/>
      <w:sz w:val="22"/>
      <w:szCs w:val="22"/>
      <w:u w:color="000000"/>
      <w:lang w:val="bg-BG" w:eastAsia="bg-BG"/>
    </w:rPr>
  </w:style>
  <w:style w:type="paragraph" w:customStyle="1" w:styleId="HeaderCoverPage">
    <w:name w:val="Header Cover Page"/>
    <w:basedOn w:val="Normal"/>
    <w:link w:val="HeaderCoverPageChar"/>
    <w:pPr>
      <w:numPr>
        <w:numId w:val="2"/>
      </w:num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bdr w:val="none" w:sz="0" w:space="0" w:color="auto"/>
    </w:rPr>
  </w:style>
  <w:style w:type="character" w:customStyle="1" w:styleId="Heading1Char">
    <w:name w:val="Heading 1 Char"/>
    <w:link w:val="Heading1"/>
    <w:rPr>
      <w:rFonts w:eastAsia="Times New Roman"/>
      <w:b/>
      <w:bCs/>
      <w:smallCaps/>
      <w:color w:val="000000"/>
      <w:sz w:val="24"/>
      <w:szCs w:val="24"/>
      <w:u w:color="000000"/>
      <w:lang w:val="bg-BG"/>
    </w:rPr>
  </w:style>
  <w:style w:type="character" w:customStyle="1" w:styleId="HeaderCoverPageChar">
    <w:name w:val="Header Cover Page Char"/>
    <w:link w:val="HeaderCoverPage"/>
    <w:rPr>
      <w:rFonts w:eastAsia="Calibri"/>
      <w:color w:val="000000"/>
      <w:sz w:val="24"/>
      <w:szCs w:val="22"/>
      <w:u w:color="000000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 w:cs="Calibri"/>
      <w:color w:val="000000"/>
      <w:sz w:val="22"/>
      <w:szCs w:val="22"/>
      <w:u w:color="00000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yperlink">
    <w:name w:val="ImportedStyle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ilium.europa.eu/uedocs/cms_data/docs/pressdata/en/ecofin/143293.pdf" TargetMode="External"/><Relationship Id="rId2" Type="http://schemas.openxmlformats.org/officeDocument/2006/relationships/hyperlink" Target="http://ec.europa.eu/economy_finance/economic_governance/sgp/index_bg.htm" TargetMode="External"/><Relationship Id="rId1" Type="http://schemas.openxmlformats.org/officeDocument/2006/relationships/hyperlink" Target="http://ec.europa.eu/economy_finance/economic_governance/sgp/pdf/20_scps/2015/10_fr_scp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3806-CE46-4D82-AEB9-1B11F795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2684</Words>
  <Characters>14766</Characters>
  <Application>Microsoft Office Word</Application>
  <DocSecurity>0</DocSecurity>
  <Lines>259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17408</CharactersWithSpaces>
  <SharedDoc>false</SharedDoc>
  <HLinks>
    <vt:vector size="18" baseType="variant"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http://www.consilium.europa.eu/uedocs/cms_data/docs/pressdata/en/ecofin/143293.pdf</vt:lpwstr>
      </vt:variant>
      <vt:variant>
        <vt:lpwstr/>
      </vt:variant>
      <vt:variant>
        <vt:i4>1048636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http://ec.europa.eu/economy_finance/economic_governance/sgp/index_en.htm</vt:lpwstr>
      </vt:variant>
      <vt:variant>
        <vt:lpwstr/>
      </vt:variant>
      <vt:variant>
        <vt:i4>5046298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http://ec.europa.eu/economy_finance/economic_governance/sgp/pdf/20_scps/2015/10_fr_scp_en.pdf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DOMINGUEZ AGUIRRE Ana (SG)</cp:lastModifiedBy>
  <cp:revision>21</cp:revision>
  <cp:lastPrinted>2015-06-22T12:03:00Z</cp:lastPrinted>
  <dcterms:created xsi:type="dcterms:W3CDTF">2015-06-24T16:31:00Z</dcterms:created>
  <dcterms:modified xsi:type="dcterms:W3CDTF">2015-06-30T15:05:00Z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