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7C4462B28142189ED997B473D97ECC"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rFonts w:eastAsia="Calibri"/>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Членовете на Световната търговска организация (СТО) и Република Казахстан навлязоха в заключителната фаза на преговорния процес по споразумение относно условията за присъединяване на Република Казахстан към организацията. Това е резултат от продължилите 20 години преговори, започнали с подаването на заявление от страна на Република Казахстан за присъединяване към СТО през 1996 г. Условията за присъединяване са изложени в обобщен вид в точка 5 по-долу.</w:t>
      </w:r>
    </w:p>
    <w:p>
      <w:pPr>
        <w:rPr>
          <w:noProof/>
        </w:rPr>
      </w:pPr>
      <w:r>
        <w:rPr>
          <w:noProof/>
        </w:rPr>
        <w:t>Като представя за одобрение от Съвета условията за присъединяването на Република Казахстан към СТО, Комисията счита, че те представляват балансиран и амбициозен пакет от поети ангажименти за отваряне на пазара, който ще донесе съществени ползи както за Република Казахстан, така и за нейните търговски партньори от СТО.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Многостранното сътрудничество е в основата на търговската политика на ЕС и ЕС подкрепя присъединяването на трети държави към СТО, при условие че са поставени на правилна основа. </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В духа на външната дейност на ЕС, с настоящото предложение трайно ще се затвърди мястото, което Казахстан заема в многостранната търговска система и ще се проправи пътят за прилагането на ново споразумение за партньорство и сътрудничество между Казахстан и ЕС.</w:t>
      </w:r>
    </w:p>
    <w:p>
      <w:pPr>
        <w:pStyle w:val="ManualHeading1"/>
        <w:rPr>
          <w:rFonts w:eastAsia="Calibri"/>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По силата на член 218, параграф 9 от Договора за функционирането на Европейския съюз (ДФЕС) се изисква решение на Съвета за одобряване на условията за присъединяване на Република Казахстан към СТО, преди ЕС да може официално да подкрепи тяхното одобряване в рамките на СТО.</w:t>
      </w:r>
    </w:p>
    <w:p>
      <w:pPr>
        <w:pStyle w:val="ManualHeading2"/>
        <w:rPr>
          <w:rFonts w:eastAsia="Arial Unicode MS"/>
          <w:noProof/>
        </w:rPr>
      </w:pPr>
      <w:r>
        <w:rPr>
          <w:noProof/>
        </w:rPr>
        <w:t>•</w:t>
      </w:r>
      <w:r>
        <w:rPr>
          <w:noProof/>
        </w:rPr>
        <w:tab/>
        <w:t xml:space="preserve">Субсидиарност (при неизключителна компетентност) </w:t>
      </w:r>
    </w:p>
    <w:p>
      <w:pPr>
        <w:keepNext/>
        <w:tabs>
          <w:tab w:val="left" w:pos="850"/>
        </w:tabs>
        <w:outlineLvl w:val="1"/>
        <w:rPr>
          <w:rFonts w:eastAsia="Arial Unicode MS"/>
          <w:noProof/>
          <w:u w:color="000000"/>
          <w:bdr w:val="nil"/>
        </w:rPr>
      </w:pPr>
      <w:r>
        <w:rPr>
          <w:noProof/>
        </w:rPr>
        <w:t>Не е приложимо. ЕС разполага с изключителна компетентност в областта на търговията.</w:t>
      </w:r>
    </w:p>
    <w:p>
      <w:pPr>
        <w:pStyle w:val="ManualHeading2"/>
        <w:rPr>
          <w:rFonts w:eastAsia="Arial Unicode MS"/>
          <w:noProof/>
        </w:rPr>
      </w:pPr>
      <w:r>
        <w:rPr>
          <w:noProof/>
        </w:rPr>
        <w:t>•</w:t>
      </w:r>
      <w:r>
        <w:rPr>
          <w:noProof/>
        </w:rPr>
        <w:tab/>
        <w:t>Пропорционалност</w:t>
      </w:r>
    </w:p>
    <w:p>
      <w:pPr>
        <w:rPr>
          <w:rFonts w:eastAsia="Arial Unicode MS"/>
          <w:noProof/>
        </w:rPr>
      </w:pPr>
      <w:r>
        <w:rPr>
          <w:noProof/>
        </w:rPr>
        <w:t>Необходимо е решение на Съвета по член 218, параграф 9.</w:t>
      </w:r>
    </w:p>
    <w:p>
      <w:pPr>
        <w:pStyle w:val="ManualHeading2"/>
        <w:rPr>
          <w:rFonts w:eastAsia="Arial Unicode MS"/>
          <w:noProof/>
        </w:rPr>
      </w:pPr>
      <w:r>
        <w:rPr>
          <w:noProof/>
        </w:rPr>
        <w:t>•</w:t>
      </w:r>
      <w:r>
        <w:rPr>
          <w:noProof/>
        </w:rPr>
        <w:tab/>
        <w:t>Избор на инструмент</w:t>
      </w:r>
    </w:p>
    <w:p>
      <w:pPr>
        <w:rPr>
          <w:rFonts w:eastAsia="Arial Unicode MS"/>
          <w:noProof/>
        </w:rPr>
      </w:pPr>
      <w:r>
        <w:rPr>
          <w:noProof/>
        </w:rPr>
        <w:t>Необходимо е решение на Съвета по член 218, параграф 9.</w:t>
      </w:r>
    </w:p>
    <w:p>
      <w:pPr>
        <w:pStyle w:val="ManualHeading1"/>
        <w:rPr>
          <w:rFonts w:eastAsia="Calibri"/>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необходима. Необходимо е решение на Съвета по член 218, параграф 9.</w:t>
      </w:r>
    </w:p>
    <w:p>
      <w:pPr>
        <w:pStyle w:val="ManualHeading2"/>
        <w:rPr>
          <w:rFonts w:eastAsia="Arial Unicode MS"/>
          <w:noProof/>
          <w:u w:color="000000"/>
          <w:bdr w:val="nil"/>
        </w:rPr>
      </w:pPr>
      <w:r>
        <w:rPr>
          <w:noProof/>
        </w:rPr>
        <w:t>•</w:t>
      </w:r>
      <w:r>
        <w:rPr>
          <w:noProof/>
        </w:rPr>
        <w:tab/>
        <w:t>Пригодност и опростяване на регулаторната рамка</w:t>
      </w:r>
    </w:p>
    <w:p>
      <w:pPr>
        <w:pBdr>
          <w:top w:val="nil"/>
          <w:left w:val="nil"/>
          <w:bottom w:val="nil"/>
          <w:right w:val="nil"/>
          <w:between w:val="nil"/>
          <w:bar w:val="nil"/>
        </w:pBdr>
        <w:spacing w:before="0" w:after="240"/>
        <w:rPr>
          <w:rFonts w:eastAsia="Arial Unicode MS"/>
          <w:noProof/>
        </w:rPr>
      </w:pPr>
      <w:r>
        <w:rPr>
          <w:noProof/>
        </w:rPr>
        <w:t>Предложението не е свързано с Програмата за пригодност и резултатност на регулаторната рамка (REFIT).</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защитата на основните права.</w:t>
      </w:r>
    </w:p>
    <w:p>
      <w:pPr>
        <w:pStyle w:val="ManualHeading1"/>
        <w:rPr>
          <w:rFonts w:eastAsia="Calibri"/>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rFonts w:eastAsia="Calibri"/>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b/>
          <w:i/>
          <w:noProof/>
          <w:u w:val="single"/>
        </w:rPr>
      </w:pPr>
      <w:r>
        <w:rPr>
          <w:b/>
          <w:i/>
          <w:noProof/>
          <w:u w:val="single"/>
        </w:rPr>
        <w:t>Обобщение на условията за присъединяване</w:t>
      </w:r>
    </w:p>
    <w:p>
      <w:pPr>
        <w:outlineLvl w:val="0"/>
        <w:rPr>
          <w:b/>
          <w:bCs/>
          <w:i/>
          <w:iCs/>
          <w:noProof/>
          <w:u w:val="single"/>
        </w:rPr>
      </w:pPr>
      <w:r>
        <w:rPr>
          <w:b/>
          <w:i/>
          <w:noProof/>
          <w:u w:val="single"/>
        </w:rPr>
        <w:t>Списъци на поетите задължения</w:t>
      </w:r>
    </w:p>
    <w:p>
      <w:pPr>
        <w:outlineLvl w:val="0"/>
        <w:rPr>
          <w:bCs/>
          <w:iCs/>
          <w:noProof/>
        </w:rPr>
      </w:pPr>
      <w:r>
        <w:rPr>
          <w:b/>
          <w:i/>
          <w:noProof/>
        </w:rPr>
        <w:t>Стоки (общи условия)</w:t>
      </w:r>
    </w:p>
    <w:p>
      <w:pPr>
        <w:rPr>
          <w:bCs/>
          <w:iCs/>
          <w:noProof/>
        </w:rPr>
      </w:pPr>
      <w:r>
        <w:rPr>
          <w:noProof/>
        </w:rPr>
        <w:t>Митническата тарифа на Казахстан се състои от 11 812 национални тарифни позиции (на равнище 10-цифрени кодове). Те се подразделят на 2441 селскостопански тарифни позиции и 9371 неселскостопански тарифни позиции.</w:t>
      </w:r>
    </w:p>
    <w:p>
      <w:pPr>
        <w:rPr>
          <w:bCs/>
          <w:iCs/>
          <w:noProof/>
        </w:rPr>
      </w:pPr>
      <w:r>
        <w:rPr>
          <w:noProof/>
        </w:rPr>
        <w:t xml:space="preserve">Казахстан ще изпълни в пълен обем поетите от него ангажименти във връзка с пределните ставки в срок от 5 години, считано от датата на присъединяването му (2020 г.). При тарифните позиции, за които се предвижда адвалорна ставка (10 602 от общо 11 812), средната окончателна пределна ставка (ОПС) в списъка с ангажиментите на Казахстан е 6,9 %. </w:t>
      </w:r>
    </w:p>
    <w:p>
      <w:pPr>
        <w:rPr>
          <w:bCs/>
          <w:iCs/>
          <w:noProof/>
        </w:rPr>
      </w:pPr>
      <w:r>
        <w:rPr>
          <w:noProof/>
        </w:rPr>
        <w:t xml:space="preserve">В много случаи ставките са по-ниски от тези на Евразийския икономически съюз. Казахстан възнамерява да преустанови прилагането на изключенията, на които те се основават, и да хармонизира своите ставки с тези на Съюза. Процесът ще започне не по-рано от три години и шест месеца след пълното въвеждане на окончателните пределни ставки и ще се основава на специфичен механизъм, подробно описан в доклада на работната група (вж. по-долу). </w:t>
      </w:r>
    </w:p>
    <w:p>
      <w:pPr>
        <w:outlineLvl w:val="0"/>
        <w:rPr>
          <w:b/>
          <w:i/>
          <w:noProof/>
        </w:rPr>
      </w:pPr>
      <w:r>
        <w:rPr>
          <w:b/>
          <w:i/>
          <w:noProof/>
        </w:rPr>
        <w:t xml:space="preserve">Тарифи за промишлени стоки </w:t>
      </w:r>
    </w:p>
    <w:p>
      <w:pPr>
        <w:pStyle w:val="Tiret1"/>
        <w:numPr>
          <w:ilvl w:val="0"/>
          <w:numId w:val="10"/>
        </w:numPr>
        <w:rPr>
          <w:noProof/>
        </w:rPr>
      </w:pPr>
      <w:r>
        <w:rPr>
          <w:noProof/>
        </w:rPr>
        <w:t>Средната ОПС за неселскостопански продукти е 6 %.</w:t>
      </w:r>
    </w:p>
    <w:p>
      <w:pPr>
        <w:pStyle w:val="Tiret1"/>
        <w:rPr>
          <w:noProof/>
        </w:rPr>
      </w:pPr>
      <w:r>
        <w:rPr>
          <w:noProof/>
        </w:rPr>
        <w:t xml:space="preserve">Най-високи средни ставки — от порядъка на 8—10 %, са предвидени при изделията на мебелната, стъкларската и керамичната промишленост. </w:t>
      </w:r>
    </w:p>
    <w:p>
      <w:pPr>
        <w:pStyle w:val="Tiret1"/>
        <w:rPr>
          <w:noProof/>
        </w:rPr>
      </w:pPr>
      <w:r>
        <w:rPr>
          <w:noProof/>
        </w:rPr>
        <w:t>Казахстан предоставя безмитен режим за фармацевтичните продукти и продуктите на информационните технологии, като фиксира окончателните пределни ставки за тези продукти на 0 %.</w:t>
      </w:r>
    </w:p>
    <w:p>
      <w:pPr>
        <w:pStyle w:val="Tiret1"/>
        <w:rPr>
          <w:b/>
          <w:i/>
          <w:noProof/>
        </w:rPr>
      </w:pPr>
      <w:r>
        <w:rPr>
          <w:noProof/>
        </w:rPr>
        <w:t xml:space="preserve">Най-високите тарифни ставки възлизат на 15 % за някои цветни метали и мебели. </w:t>
      </w:r>
    </w:p>
    <w:p>
      <w:pPr>
        <w:pStyle w:val="Tiret1"/>
        <w:rPr>
          <w:b/>
          <w:i/>
          <w:noProof/>
        </w:rPr>
      </w:pPr>
      <w:r>
        <w:rPr>
          <w:noProof/>
        </w:rPr>
        <w:t>Заложени са ангажименти за неадвалорни ОПС за някои промишлени стоки, а именно: специални ставки за изделия на текстилната и обувната промишленост и комбинирани (съчетание на адвалорни и специални) ставки за употребявани пътнически автомобили.</w:t>
      </w:r>
    </w:p>
    <w:p>
      <w:pPr>
        <w:outlineLvl w:val="0"/>
        <w:rPr>
          <w:b/>
          <w:i/>
          <w:noProof/>
        </w:rPr>
      </w:pPr>
      <w:r>
        <w:rPr>
          <w:b/>
          <w:i/>
          <w:noProof/>
        </w:rPr>
        <w:t xml:space="preserve">Тарифи за селскостопански стоки </w:t>
      </w:r>
    </w:p>
    <w:p>
      <w:pPr>
        <w:pStyle w:val="Tiret1"/>
        <w:rPr>
          <w:b/>
          <w:i/>
          <w:noProof/>
        </w:rPr>
      </w:pPr>
      <w:r>
        <w:rPr>
          <w:noProof/>
        </w:rPr>
        <w:t xml:space="preserve">Заложен е адвалорен ангажимент само за 71 % от селскостопанските продукти в тарифния списък на Казахстан. Средната ОПС, за която е поет ангажимент за тези тарифни позиции, е 8,3 %. </w:t>
      </w:r>
    </w:p>
    <w:p>
      <w:pPr>
        <w:pStyle w:val="Tiret1"/>
        <w:rPr>
          <w:b/>
          <w:i/>
          <w:noProof/>
        </w:rPr>
      </w:pPr>
      <w:r>
        <w:rPr>
          <w:noProof/>
        </w:rPr>
        <w:t>В областта на селското стопанство, поетите неадвалорни ангажименти се състоят от специални, смесени и комбинирани ОПС, приложими главно за птиче месо, сирена, сладкарски изделия, вино, спиртни напитки, плодови сокове и ориз.</w:t>
      </w:r>
    </w:p>
    <w:p>
      <w:pPr>
        <w:outlineLvl w:val="0"/>
        <w:rPr>
          <w:b/>
          <w:i/>
          <w:noProof/>
        </w:rPr>
      </w:pPr>
      <w:r>
        <w:rPr>
          <w:b/>
          <w:i/>
          <w:noProof/>
        </w:rPr>
        <w:t>Износни мита</w:t>
      </w:r>
    </w:p>
    <w:p>
      <w:pPr>
        <w:rPr>
          <w:noProof/>
        </w:rPr>
      </w:pPr>
      <w:r>
        <w:rPr>
          <w:noProof/>
        </w:rPr>
        <w:t>Република Казахстан пое ангажименти за премахване или намаляване, както и за невъвеждане на нови износни мита за 370 продукта, представляващи интерес за износителите от ЕС. Освен това, в случай на уеднаквяване на износните мита в рамките на Евразийския икономически съюз, прилаганите от Казахстан ставки ще бъдат намалени до най-ниските обвързани ставки от страна на Казахстан или на Руската федерация.</w:t>
      </w:r>
    </w:p>
    <w:p>
      <w:pPr>
        <w:outlineLvl w:val="0"/>
        <w:rPr>
          <w:b/>
          <w:bCs/>
          <w:i/>
          <w:iCs/>
          <w:noProof/>
        </w:rPr>
      </w:pPr>
      <w:r>
        <w:rPr>
          <w:b/>
          <w:i/>
          <w:noProof/>
        </w:rPr>
        <w:t xml:space="preserve">Услуги </w:t>
      </w:r>
    </w:p>
    <w:p>
      <w:pPr>
        <w:rPr>
          <w:noProof/>
        </w:rPr>
      </w:pPr>
      <w:r>
        <w:rPr>
          <w:noProof/>
        </w:rPr>
        <w:t>Република Казахстан ще поеме ангажименти във връзка с достъпа до пазара и националното третиране в широк спектър от сектори на услугите, в т.ч. професионалните, компютърните и други бизнес услуги, съобщителните услуги, строителните услуги, дистрибуторските услуги, образователните услуги, услугите в областта на околната среда, финансовите (застрахователни и банкови) услуги, услугите в сферата на здравеопазването и социалните услуги, туристическите услуги и транспортните услуги.</w:t>
      </w:r>
    </w:p>
    <w:p>
      <w:pPr>
        <w:outlineLvl w:val="0"/>
        <w:rPr>
          <w:b/>
          <w:bCs/>
          <w:i/>
          <w:iCs/>
          <w:noProof/>
          <w:u w:val="single"/>
        </w:rPr>
      </w:pPr>
      <w:r>
        <w:rPr>
          <w:b/>
          <w:i/>
          <w:noProof/>
          <w:u w:val="single"/>
        </w:rPr>
        <w:t>Поети задължения по силата на протокола</w:t>
      </w:r>
    </w:p>
    <w:p>
      <w:pPr>
        <w:rPr>
          <w:noProof/>
          <w:highlight w:val="yellow"/>
        </w:rPr>
      </w:pPr>
      <w:r>
        <w:rPr>
          <w:noProof/>
        </w:rPr>
        <w:t>През последния, многостранен етап от процеса на присъединяване членовете на СТО с общи усилия се постараха да осигурят принципната съвместимост на търговското законодателство и институции на Казахстан с правилата и споразуменията на СТО, като включиха разпоредби за тази цел в протокола за присъединяване и в доклада на работната група. В този контекст Република Казахстан пое стандартните ангажименти, предвидени в доклада на работната група, и се отказа от всякакви преходни периоди, освен по отношение на Споразумението на СТО за свързаните с търговията инвестиционни мерки.</w:t>
      </w:r>
    </w:p>
    <w:p>
      <w:pPr>
        <w:rPr>
          <w:noProof/>
          <w:szCs w:val="24"/>
        </w:rPr>
      </w:pPr>
      <w:r>
        <w:rPr>
          <w:noProof/>
        </w:rPr>
        <w:t>Въпросите, засегнати по-долу, са от особен интерес за ЕС.</w:t>
      </w:r>
    </w:p>
    <w:p>
      <w:pPr>
        <w:rPr>
          <w:noProof/>
          <w:szCs w:val="24"/>
          <w:u w:val="single"/>
        </w:rPr>
      </w:pPr>
      <w:r>
        <w:rPr>
          <w:noProof/>
          <w:u w:val="single"/>
        </w:rPr>
        <w:t>Достъп до тръбопроводи</w:t>
      </w:r>
    </w:p>
    <w:p>
      <w:pPr>
        <w:rPr>
          <w:noProof/>
          <w:szCs w:val="24"/>
        </w:rPr>
      </w:pPr>
      <w:r>
        <w:rPr>
          <w:noProof/>
        </w:rPr>
        <w:t>На юридическите лица от Казахстан с чуждестранно участие, занимаващи се с производство на суров нефт и природен газ в съответствие с националното законодателство на Казахстан, ще бъде осигурен недискриминационен достъп до тръбопроводи, които са отчасти или изцяло притежавани и регламентирани от държавата в съответствие с националното законодателство, в рамките на наличния неизползван капацитет на тези тръбопроводи и съобразно съществуващите права на достъп.</w:t>
      </w:r>
    </w:p>
    <w:p>
      <w:pPr>
        <w:rPr>
          <w:noProof/>
          <w:szCs w:val="24"/>
          <w:u w:val="single"/>
        </w:rPr>
      </w:pPr>
      <w:r>
        <w:rPr>
          <w:noProof/>
          <w:u w:val="single"/>
        </w:rPr>
        <w:t xml:space="preserve">Държавни и намиращи се под контрола на държавата предприятия, предприятия със специални и изключителни привилегии </w:t>
      </w:r>
    </w:p>
    <w:p>
      <w:pPr>
        <w:rPr>
          <w:noProof/>
          <w:szCs w:val="24"/>
        </w:rPr>
      </w:pPr>
      <w:r>
        <w:rPr>
          <w:noProof/>
        </w:rPr>
        <w:t>От датата на присъединяване, когато подобни предприятия извършват търговска дейност, те ще извършват покупките си, които не са предназначени за държавни нужди, и продажбите си в международната търговия по начин, който е съвместим с приложимите разпоредби на Споразумението за СТО. Тези предприятия ще осъществяват въпросните покупки и продажби в съответствие с приложимите търговски съображения, включително отнасящи се до цената, качеството, наличността, възможностите за маркетинг и превоза, и ще предоставят на другите членове на СТО в необходимата степен и в съответствие с установените бизнес практики възможност да се конкурират за участие в такива покупки или продажби.</w:t>
      </w:r>
    </w:p>
    <w:p>
      <w:pPr>
        <w:rPr>
          <w:noProof/>
          <w:szCs w:val="24"/>
          <w:u w:val="single"/>
        </w:rPr>
      </w:pPr>
      <w:r>
        <w:rPr>
          <w:noProof/>
          <w:u w:val="single"/>
        </w:rPr>
        <w:t>Политика на ценообразуване</w:t>
      </w:r>
    </w:p>
    <w:p>
      <w:pPr>
        <w:rPr>
          <w:noProof/>
          <w:szCs w:val="24"/>
        </w:rPr>
      </w:pPr>
      <w:r>
        <w:rPr>
          <w:noProof/>
        </w:rPr>
        <w:t xml:space="preserve">От датата на присъединяването си Казахстан ще прилага ценови контрол върху продуктите и услугите по начин, който е в съответствие със Споразумението за СТО, при отчитане на интересите на страните членки износителки. Мерките за ценови контрол няма да се използват за предоставяне на защита на вътрешното производство на стоки, нито в нарушение на ангажименти, поети от Казахстан в областта на услугите. </w:t>
      </w:r>
    </w:p>
    <w:p>
      <w:pPr>
        <w:rPr>
          <w:noProof/>
          <w:szCs w:val="24"/>
          <w:u w:val="single"/>
        </w:rPr>
      </w:pPr>
      <w:r>
        <w:rPr>
          <w:noProof/>
          <w:u w:val="single"/>
        </w:rPr>
        <w:t>Бъдещо привеждане в съответствие на тарифните ставки на Казахстан и на Евразийския икономически съюз</w:t>
      </w:r>
    </w:p>
    <w:p>
      <w:pPr>
        <w:rPr>
          <w:noProof/>
          <w:szCs w:val="24"/>
        </w:rPr>
      </w:pPr>
      <w:r>
        <w:rPr>
          <w:noProof/>
        </w:rPr>
        <w:t>Създаден е специален механизъм, който да гарантира подходяща компенсация за засегнатите членове на СТО преди да бъдат приведени в съответствие тарифните ставки. В случай че договорената компенсация не се прилага от Евразийския икономически съюз, ще продължат да се прилагат ставките в тарифния списък на Казахстан.</w:t>
      </w:r>
    </w:p>
    <w:p>
      <w:pPr>
        <w:rPr>
          <w:noProof/>
          <w:szCs w:val="24"/>
          <w:u w:val="single"/>
        </w:rPr>
      </w:pPr>
      <w:r>
        <w:rPr>
          <w:noProof/>
          <w:u w:val="single"/>
        </w:rPr>
        <w:t>Митническо остойностяване</w:t>
      </w:r>
    </w:p>
    <w:p>
      <w:pPr>
        <w:rPr>
          <w:noProof/>
          <w:szCs w:val="24"/>
        </w:rPr>
      </w:pPr>
      <w:r>
        <w:rPr>
          <w:noProof/>
        </w:rPr>
        <w:t>От датата на присъединяването си Казахстан ще прилага собствените си закони, подзаконови нормативни актове и практики, свързани с определянето на митническата стойност, в съответствие със Споразумението за СТО, включително член I от Общото споразумение от 1994 г. за митата и търговията (ГАТТ) и Споразумението на СТО за прилагане на член VII от ГАТТ (1994 г.). Съответно Казахстан няма да използва под никаква форма минимални стойности, като например референтни цени, или списък с фиксирани стойности при митническото остойностяване на стоките.</w:t>
      </w:r>
    </w:p>
    <w:p>
      <w:pPr>
        <w:rPr>
          <w:noProof/>
          <w:szCs w:val="24"/>
          <w:u w:val="single"/>
        </w:rPr>
      </w:pPr>
      <w:r>
        <w:rPr>
          <w:noProof/>
          <w:u w:val="single"/>
        </w:rPr>
        <w:t>Санитарни и фитосанитарни мерки</w:t>
      </w:r>
    </w:p>
    <w:p>
      <w:pPr>
        <w:rPr>
          <w:noProof/>
          <w:szCs w:val="24"/>
        </w:rPr>
      </w:pPr>
      <w:r>
        <w:rPr>
          <w:noProof/>
        </w:rPr>
        <w:t>Казахстан се ангажира да преговаря и постигне взаимно съгласие по двустранни ветеринарни сертификати с трета държава за стоки, подлежащи на ветеринарен контрол, внасяни на територията на Казахстан, докато влязат в сила ветеринарните сертификати на Евразийския икономически съюз в търговията с такива стоки с тази трета държава (такива сертификати бяха договорени между ЕС и Казахстан и следва да влязат в сила на 15 юли 2015 г.). Наред с това, във връзка с изпълнението на евразийски решения Казахстан нито ще изисква предприятието да бъде включено в регистър, нито ще изисква успешен одит като предварително условие за внасянето в Казахстан на нискорискови продукти. Освен това в случаите, в които не съществуват задължителни ветеринарни или фитосанитарни, или санитарно-епидемиологични и хигиенни изисквания, установени на евразийско или национално равнище, Казахстан ще прилага приложимите международни стандарти, насоки и препоръки в съответствие с разпоредбите на Споразумението на СТО за санитарните и фитосанитарните (СФС) мерки. В случаите, когато дадена СФС мярка, която е в сила, не се основава на международни стандарти, макар и да съществуват такива, относимите международни стандарти или части от тях ще бъдат приложени в Казахстан, освен ако е предоставена научна обосновка за тази мярка в съответствие с разпоредбите на Споразумението на СТО за СФС мерките.</w:t>
      </w:r>
    </w:p>
    <w:p>
      <w:pPr>
        <w:rPr>
          <w:noProof/>
          <w:szCs w:val="24"/>
          <w:u w:val="single"/>
        </w:rPr>
      </w:pPr>
      <w:r>
        <w:rPr>
          <w:noProof/>
          <w:u w:val="single"/>
        </w:rPr>
        <w:t>Споразумение за държавните поръчки</w:t>
      </w:r>
    </w:p>
    <w:p>
      <w:pPr>
        <w:rPr>
          <w:noProof/>
          <w:szCs w:val="24"/>
        </w:rPr>
      </w:pPr>
      <w:r>
        <w:rPr>
          <w:noProof/>
        </w:rPr>
        <w:t xml:space="preserve">Казахстан възнамерява да се присъедини към Споразумението на СТО за държавните поръчки. Казахстан ще поиска да получи статут на наблюдател по това споразумение от момента на присъединяването си и ще подаде молба за членство заедно с предложение относно обхванатите държавни поръчки в рамките на четири години след присъединяването си към СТО.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2015/0141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заеме Европейският съюз в рамките на Общия съвет на Световната търговска организация, по въпроса за присъединяването на Република Казахстан към СТО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член 100, параграф 2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29 януари 1996 г. правителството на Република Казахстан подаде заявление за присъединяване към Споразумението от Маракеш за създаване на Световната търговска организация (СТО) в съответствие с член XII от посоченото споразумение.</w:t>
      </w:r>
    </w:p>
    <w:p>
      <w:pPr>
        <w:pStyle w:val="ManualConsidrant"/>
        <w:rPr>
          <w:noProof/>
        </w:rPr>
      </w:pPr>
      <w:r>
        <w:rPr>
          <w:noProof/>
        </w:rPr>
        <w:t>2.</w:t>
      </w:r>
      <w:r>
        <w:rPr>
          <w:noProof/>
        </w:rPr>
        <w:tab/>
        <w:t>На 6 февруари 1996 г. беше създадена работна група по присъединяването на Република Казахстан с цел постигането на съгласие по условия за присъединяване, които да са приемливи за Република Казахстан и за всички членове на СТО.</w:t>
      </w:r>
    </w:p>
    <w:p>
      <w:pPr>
        <w:pStyle w:val="ManualConsidrant"/>
        <w:rPr>
          <w:noProof/>
        </w:rPr>
      </w:pPr>
      <w:r>
        <w:rPr>
          <w:noProof/>
        </w:rPr>
        <w:t>3.</w:t>
      </w:r>
      <w:r>
        <w:rPr>
          <w:noProof/>
        </w:rPr>
        <w:tab/>
        <w:t>От името на Съюза Комисията договори изчерпателен набор от ангажименти за отваряне на пазара от страна на Република Казахстан, които удовлетворяват исканията на Съюза по отношение на тарифните ставки, износните мита и търговията с услуги.</w:t>
      </w:r>
    </w:p>
    <w:p>
      <w:pPr>
        <w:pStyle w:val="ManualConsidrant"/>
        <w:rPr>
          <w:noProof/>
        </w:rPr>
      </w:pPr>
      <w:r>
        <w:rPr>
          <w:noProof/>
        </w:rPr>
        <w:t>4.</w:t>
      </w:r>
      <w:r>
        <w:rPr>
          <w:noProof/>
        </w:rPr>
        <w:tab/>
        <w:t>Тези ангажименти вече представляват неразделна част от протокола за присъединяване на Република Казахстан към СТО.</w:t>
      </w:r>
    </w:p>
    <w:p>
      <w:pPr>
        <w:pStyle w:val="ManualConsidrant"/>
        <w:rPr>
          <w:noProof/>
        </w:rPr>
      </w:pPr>
      <w:r>
        <w:rPr>
          <w:noProof/>
        </w:rPr>
        <w:t>5.</w:t>
      </w:r>
      <w:r>
        <w:rPr>
          <w:noProof/>
        </w:rPr>
        <w:tab/>
        <w:t>Очаква се присъединяването към СТО да даде траен положителен принос за процеса на реформиране на икономиката и устойчивото развитие на Република Казахстан.</w:t>
      </w:r>
    </w:p>
    <w:p>
      <w:pPr>
        <w:pStyle w:val="ManualConsidrant"/>
        <w:rPr>
          <w:noProof/>
        </w:rPr>
      </w:pPr>
      <w:r>
        <w:rPr>
          <w:noProof/>
        </w:rPr>
        <w:t>6.</w:t>
      </w:r>
      <w:r>
        <w:rPr>
          <w:noProof/>
        </w:rPr>
        <w:tab/>
        <w:t>Поради това протоколът за присъединяване следва да бъде одобрен.</w:t>
      </w:r>
    </w:p>
    <w:p>
      <w:pPr>
        <w:pStyle w:val="ManualConsidrant"/>
        <w:rPr>
          <w:noProof/>
        </w:rPr>
      </w:pPr>
      <w:r>
        <w:rPr>
          <w:noProof/>
        </w:rPr>
        <w:t>7.</w:t>
      </w:r>
      <w:r>
        <w:rPr>
          <w:noProof/>
        </w:rPr>
        <w:tab/>
        <w:t>Член XII от Споразумението за създаване на СТО предвижда, че условията за присъединяване подлежат на договаряне между присъединяващия се член и СТО и че Министерската конференция на СТО одобрява условията за присъединяване от страна на СТО. Член IV.2 от Споразумението за създаване на СТО предвижда, че в периодите между заседанията на Министерската конференция нейните функции се изпълняват от Общия съвет.</w:t>
      </w:r>
    </w:p>
    <w:p>
      <w:pPr>
        <w:pStyle w:val="ManualConsidrant"/>
        <w:rPr>
          <w:noProof/>
        </w:rPr>
      </w:pPr>
      <w:r>
        <w:rPr>
          <w:noProof/>
        </w:rPr>
        <w:t>8.</w:t>
      </w:r>
      <w:r>
        <w:rPr>
          <w:noProof/>
        </w:rPr>
        <w:tab/>
        <w:t>В съответствие с това е необходимо да бъде определена позицията, която да заеме Съюзът в рамките на Общия съвет на СТО по въпроса за присъединяването на Република Казахстан към СТО,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Европейският съюз следва да заеме в рамките на Общия съвет на Световната търговска организация по въпроса за присъединяването на Република Казахстан към СТО, е да одобри присъединяването.</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666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2626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02D8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C1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9E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029A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6E9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E4D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6-29 09:50: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07C4462B28142189ED997B473D97ECC"/>
    <w:docVar w:name="LW_CROSSREFERENCE" w:val="&lt;UNUSED&gt;"/>
    <w:docVar w:name="LW_DocType" w:val="COM"/>
    <w:docVar w:name="LW_EMISSION" w:val="1.7.2015"/>
    <w:docVar w:name="LW_EMISSION_ISODATE" w:val="2015-07-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1"/>
    <w:docVar w:name="LW_REF.II.NEW.CP_YEAR" w:val="2015"/>
    <w:docVar w:name="LW_REF.INST.NEW" w:val="COM"/>
    <w:docVar w:name="LW_REF.INST.NEW_ADOPTED" w:val="final"/>
    <w:docVar w:name="LW_REF.INST.NEW_TEXT" w:val="(2015) 322"/>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79?\u1072?\u1077?\u1084?\u1077? \u1045?\u1074?\u1088?\u1086?\u1087?\u1077?\u1081?\u1089?\u1082?\u1080?\u1103?\u1090?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 \u1087?\u1086? \u1074?\u1098?\u1087?\u1088?\u1086?\u1089?\u1072? \u1079?\u1072? \u1087?\u1088?\u1080?\u1089?\u1098?\u1077?\u1076?\u1080?\u1085?\u1103?\u1074?\u1072?\u1085?\u1077?\u1090?\u1086? \u1085?\u1072? \u1056?\u1077?\u1087?\u1091?\u1073?\u1083?\u1080?\u1082?\u1072? \u1050?\u1072?\u1079?\u1072?\u1093?\u1089?\u1090?\u1072?\u1085? \u1082?\u1098?\u1084? \u1057?\u1058?\u105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pPr>
      <w:numPr>
        <w:numId w:val="1"/>
      </w:numPr>
    </w:pPr>
  </w:style>
  <w:style w:type="character" w:customStyle="1" w:styleId="yiv1929598160apple-converted-space">
    <w:name w:val="yiv1929598160apple-converted-space"/>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CA3F-12A3-41BB-A18F-1362C681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1990</Words>
  <Characters>11787</Characters>
  <Application>Microsoft Office Word</Application>
  <DocSecurity>0</DocSecurity>
  <Lines>240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2015-06-05T06:41:00Z</cp:lastPrinted>
  <dcterms:created xsi:type="dcterms:W3CDTF">2015-06-26T13:27:00Z</dcterms:created>
  <dcterms:modified xsi:type="dcterms:W3CDTF">2015-06-29T07:50:00Z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_AdHocReviewCycleID">
    <vt:i4>-1602216823</vt:i4>
  </property>
  <property fmtid="{D5CDD505-2E9C-101B-9397-08002B2CF9AE}" pid="12" name="_EmailSubject">
    <vt:lpwstr>URGENT - ISC ON KAZAKHSTAN'A ACCESSION</vt:lpwstr>
  </property>
  <property fmtid="{D5CDD505-2E9C-101B-9397-08002B2CF9AE}" pid="13" name="_AuthorEmail">
    <vt:lpwstr>Jose-Manuel.Alvarez-Alvarez@ec.europa.eu</vt:lpwstr>
  </property>
  <property fmtid="{D5CDD505-2E9C-101B-9397-08002B2CF9AE}" pid="14" name="_AuthorEmailDisplayName">
    <vt:lpwstr>ALVAREZ ALVAREZ Jose Manuel (TRADE)</vt:lpwstr>
  </property>
  <property fmtid="{D5CDD505-2E9C-101B-9397-08002B2CF9AE}" pid="15" name="_ReviewingToolsShownOnce">
    <vt:lpwstr/>
  </property>
  <property fmtid="{D5CDD505-2E9C-101B-9397-08002B2CF9AE}" pid="16" name="DQCStatus">
    <vt:lpwstr>Green (DQC version 02)</vt:lpwstr>
  </property>
</Properties>
</file>