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71D" w:rsidRPr="00985FC5" w:rsidRDefault="00985FC5" w:rsidP="00985FC5">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5124ffdc-23e7-4e48-b176-f7786328cbc4_0" style="width:568.5pt;height:368.75pt">
            <v:imagedata r:id="rId9" o:title=""/>
          </v:shape>
        </w:pict>
      </w:r>
      <w:bookmarkEnd w:id="0"/>
    </w:p>
    <w:p w:rsidR="006F3877" w:rsidRPr="001E3BDD" w:rsidRDefault="006F3877" w:rsidP="00531DE4">
      <w:pPr>
        <w:jc w:val="both"/>
        <w:rPr>
          <w:b/>
          <w:bCs/>
          <w:u w:val="single"/>
        </w:rPr>
      </w:pPr>
      <w:r w:rsidRPr="001E3BDD">
        <w:rPr>
          <w:b/>
          <w:u w:val="single"/>
        </w:rPr>
        <w:t>ЗАСЕДАНИЕ В ПОНЕДЕЛНИК, 18 МАЙ 2015 г. (10,00 ч.)</w:t>
      </w:r>
    </w:p>
    <w:p w:rsidR="006F3877" w:rsidRPr="001E3BDD" w:rsidRDefault="006F3877" w:rsidP="00531DE4">
      <w:pPr>
        <w:tabs>
          <w:tab w:val="left" w:pos="567"/>
          <w:tab w:val="left" w:pos="1134"/>
          <w:tab w:val="left" w:pos="1701"/>
        </w:tabs>
        <w:jc w:val="both"/>
        <w:rPr>
          <w:rFonts w:eastAsia="Calibri"/>
        </w:rPr>
      </w:pPr>
    </w:p>
    <w:p w:rsidR="006F3877" w:rsidRPr="001E3BDD" w:rsidRDefault="006F3877" w:rsidP="00531DE4">
      <w:pPr>
        <w:tabs>
          <w:tab w:val="left" w:pos="567"/>
          <w:tab w:val="left" w:pos="1134"/>
          <w:tab w:val="left" w:pos="1701"/>
        </w:tabs>
        <w:jc w:val="both"/>
        <w:rPr>
          <w:rFonts w:eastAsia="Calibri"/>
        </w:rPr>
      </w:pPr>
    </w:p>
    <w:p w:rsidR="006F3877" w:rsidRPr="001E3BDD" w:rsidRDefault="006F3877" w:rsidP="00531DE4">
      <w:pPr>
        <w:pStyle w:val="PointManual"/>
        <w:spacing w:before="0"/>
        <w:rPr>
          <w:rFonts w:eastAsia="Calibri"/>
        </w:rPr>
      </w:pPr>
      <w:r w:rsidRPr="001E3BDD">
        <w:t>1.</w:t>
      </w:r>
      <w:r w:rsidRPr="001E3BDD">
        <w:tab/>
        <w:t>Приемане на предварителния дневен ред</w:t>
      </w:r>
    </w:p>
    <w:p w:rsidR="006F3877" w:rsidRPr="001E3BDD" w:rsidRDefault="006F3877" w:rsidP="00531DE4">
      <w:pPr>
        <w:tabs>
          <w:tab w:val="left" w:pos="567"/>
          <w:tab w:val="left" w:pos="600"/>
          <w:tab w:val="left" w:pos="1134"/>
          <w:tab w:val="left" w:pos="1701"/>
        </w:tabs>
        <w:rPr>
          <w:rFonts w:eastAsia="Calibri"/>
        </w:rPr>
      </w:pPr>
    </w:p>
    <w:p w:rsidR="00CD6A17" w:rsidRPr="001E3BDD" w:rsidRDefault="00CD6A17" w:rsidP="00531DE4">
      <w:pPr>
        <w:tabs>
          <w:tab w:val="left" w:pos="567"/>
          <w:tab w:val="left" w:pos="600"/>
          <w:tab w:val="left" w:pos="1134"/>
          <w:tab w:val="left" w:pos="1701"/>
        </w:tabs>
        <w:rPr>
          <w:rFonts w:eastAsia="Calibri"/>
        </w:rPr>
      </w:pPr>
    </w:p>
    <w:p w:rsidR="006F3877" w:rsidRPr="001E3BDD" w:rsidRDefault="006F3877" w:rsidP="00531DE4">
      <w:pPr>
        <w:tabs>
          <w:tab w:val="left" w:pos="567"/>
          <w:tab w:val="left" w:pos="600"/>
          <w:tab w:val="left" w:pos="1134"/>
          <w:tab w:val="left" w:pos="1701"/>
        </w:tabs>
        <w:rPr>
          <w:rFonts w:eastAsia="Calibri"/>
          <w:b/>
          <w:bCs/>
          <w:u w:val="single"/>
        </w:rPr>
      </w:pPr>
      <w:r w:rsidRPr="001E3BDD">
        <w:rPr>
          <w:b/>
          <w:u w:val="single"/>
        </w:rPr>
        <w:t>Незаконодателни дейности</w:t>
      </w:r>
    </w:p>
    <w:p w:rsidR="006F3877" w:rsidRPr="001E3BDD" w:rsidRDefault="006F3877" w:rsidP="00531DE4">
      <w:pPr>
        <w:tabs>
          <w:tab w:val="left" w:pos="567"/>
          <w:tab w:val="left" w:pos="600"/>
          <w:tab w:val="left" w:pos="1134"/>
          <w:tab w:val="left" w:pos="1701"/>
        </w:tabs>
        <w:jc w:val="both"/>
        <w:rPr>
          <w:rFonts w:eastAsia="Calibri"/>
          <w:u w:val="single"/>
        </w:rPr>
      </w:pPr>
    </w:p>
    <w:p w:rsidR="00531DE4" w:rsidRPr="001E3BDD" w:rsidRDefault="00531DE4" w:rsidP="00531DE4">
      <w:pPr>
        <w:tabs>
          <w:tab w:val="left" w:pos="567"/>
          <w:tab w:val="left" w:pos="600"/>
          <w:tab w:val="left" w:pos="1134"/>
          <w:tab w:val="left" w:pos="1701"/>
        </w:tabs>
        <w:jc w:val="both"/>
        <w:rPr>
          <w:rFonts w:eastAsia="Calibri"/>
          <w:u w:val="single"/>
        </w:rPr>
      </w:pPr>
    </w:p>
    <w:p w:rsidR="006F3877" w:rsidRPr="001E3BDD" w:rsidRDefault="00CD6A17" w:rsidP="00531DE4">
      <w:pPr>
        <w:pStyle w:val="PointManual"/>
        <w:spacing w:before="0"/>
        <w:rPr>
          <w:rFonts w:eastAsia="Calibri"/>
        </w:rPr>
      </w:pPr>
      <w:r w:rsidRPr="001E3BDD">
        <w:t>2.</w:t>
      </w:r>
      <w:r w:rsidRPr="001E3BDD">
        <w:tab/>
        <w:t>Одобряване на списъка на точки А</w:t>
      </w:r>
    </w:p>
    <w:p w:rsidR="006F3877" w:rsidRPr="001E3BDD" w:rsidRDefault="0042017A" w:rsidP="0042017A">
      <w:pPr>
        <w:pStyle w:val="Text3"/>
      </w:pPr>
      <w:r w:rsidRPr="001E3BDD">
        <w:t>8719/15 PTS A 36</w:t>
      </w:r>
    </w:p>
    <w:p w:rsidR="006F3877" w:rsidRPr="001E3BDD" w:rsidRDefault="006F3877" w:rsidP="00531DE4">
      <w:pPr>
        <w:jc w:val="both"/>
      </w:pPr>
    </w:p>
    <w:p w:rsidR="00531DE4" w:rsidRPr="001E3BDD" w:rsidRDefault="00531DE4" w:rsidP="00531DE4">
      <w:pPr>
        <w:jc w:val="both"/>
      </w:pPr>
    </w:p>
    <w:p w:rsidR="006F3877" w:rsidRPr="001E3BDD" w:rsidRDefault="006F3877" w:rsidP="00531DE4">
      <w:pPr>
        <w:rPr>
          <w:u w:val="single"/>
        </w:rPr>
      </w:pPr>
      <w:r w:rsidRPr="001E3BDD">
        <w:rPr>
          <w:u w:val="single"/>
        </w:rPr>
        <w:t>ОБРАЗОВАНИЕ</w:t>
      </w:r>
    </w:p>
    <w:p w:rsidR="006F3877" w:rsidRPr="001E3BDD" w:rsidRDefault="006F3877" w:rsidP="00531DE4">
      <w:pPr>
        <w:tabs>
          <w:tab w:val="left" w:pos="567"/>
          <w:tab w:val="left" w:pos="600"/>
          <w:tab w:val="left" w:pos="1134"/>
          <w:tab w:val="left" w:pos="1701"/>
        </w:tabs>
        <w:jc w:val="both"/>
        <w:rPr>
          <w:rFonts w:eastAsia="Calibri"/>
          <w:u w:val="single"/>
        </w:rPr>
      </w:pPr>
    </w:p>
    <w:p w:rsidR="006E2791" w:rsidRPr="001E3BDD" w:rsidRDefault="00CD6A17" w:rsidP="006E2791">
      <w:pPr>
        <w:pStyle w:val="PointManual"/>
        <w:spacing w:before="0"/>
        <w:rPr>
          <w:rFonts w:eastAsia="Calibri"/>
        </w:rPr>
      </w:pPr>
      <w:r w:rsidRPr="001E3BDD">
        <w:t>3.</w:t>
      </w:r>
      <w:r w:rsidRPr="001E3BDD">
        <w:tab/>
        <w:t>Междинен преглед на „Образование и обучение 2020“ и изготвяне на Съвместния доклад за 2015 г.</w:t>
      </w:r>
    </w:p>
    <w:p w:rsidR="006E2791" w:rsidRPr="001E3BDD" w:rsidRDefault="006E2791" w:rsidP="00EE1AB3">
      <w:pPr>
        <w:pStyle w:val="Dash1"/>
        <w:numPr>
          <w:ilvl w:val="0"/>
          <w:numId w:val="20"/>
        </w:numPr>
      </w:pPr>
      <w:r w:rsidRPr="001E3BDD">
        <w:t>Ориентационен дебат</w:t>
      </w:r>
    </w:p>
    <w:p w:rsidR="006E2791" w:rsidRPr="001E3BDD" w:rsidRDefault="006E2791" w:rsidP="006E2791">
      <w:pPr>
        <w:pStyle w:val="Text2"/>
      </w:pPr>
      <w:r w:rsidRPr="001E3BDD">
        <w:t>(открит дебат съгласно член 8, параграф 2 от Процедурния правилник на Съвета)</w:t>
      </w:r>
    </w:p>
    <w:p w:rsidR="006E2791" w:rsidRPr="001E3BDD" w:rsidRDefault="006E2791" w:rsidP="006E2791">
      <w:pPr>
        <w:pStyle w:val="Text3"/>
        <w:rPr>
          <w:rFonts w:eastAsia="Calibri"/>
        </w:rPr>
      </w:pPr>
      <w:r w:rsidRPr="001E3BDD">
        <w:t xml:space="preserve">8039/15 EDUC 104 JEUN 28 SOC 240 EMPL 143 RECH 96 MI 235 </w:t>
      </w:r>
    </w:p>
    <w:p w:rsidR="006E2791" w:rsidRPr="001E3BDD" w:rsidRDefault="006E2791" w:rsidP="006E2791">
      <w:pPr>
        <w:pStyle w:val="Text5"/>
        <w:rPr>
          <w:rFonts w:eastAsia="Calibri"/>
        </w:rPr>
      </w:pPr>
      <w:r w:rsidRPr="001E3BDD">
        <w:t>COMPET 151</w:t>
      </w:r>
    </w:p>
    <w:p w:rsidR="006E2791" w:rsidRPr="001E3BDD" w:rsidRDefault="006E2791" w:rsidP="0013030E">
      <w:pPr>
        <w:pStyle w:val="Text4"/>
        <w:rPr>
          <w:rFonts w:eastAsia="Calibri"/>
        </w:rPr>
      </w:pPr>
      <w:r w:rsidRPr="001E3BDD">
        <w:t>+ COR 1 (cs)</w:t>
      </w:r>
    </w:p>
    <w:p w:rsidR="00F70D93" w:rsidRPr="001E3BDD" w:rsidRDefault="00CD6A17" w:rsidP="00CD6A17">
      <w:pPr>
        <w:tabs>
          <w:tab w:val="left" w:pos="567"/>
          <w:tab w:val="left" w:pos="600"/>
          <w:tab w:val="left" w:pos="1134"/>
          <w:tab w:val="left" w:pos="1701"/>
        </w:tabs>
        <w:jc w:val="both"/>
        <w:rPr>
          <w:rFonts w:eastAsia="Calibri"/>
          <w:u w:val="single"/>
        </w:rPr>
      </w:pPr>
      <w:r w:rsidRPr="001E3BDD">
        <w:br w:type="page"/>
      </w:r>
    </w:p>
    <w:p w:rsidR="00CE3777" w:rsidRPr="001E3BDD" w:rsidRDefault="00CD6A17" w:rsidP="00CE3777">
      <w:pPr>
        <w:pStyle w:val="PointManual"/>
        <w:spacing w:before="0"/>
        <w:rPr>
          <w:rFonts w:eastAsia="Calibri"/>
        </w:rPr>
      </w:pPr>
      <w:r w:rsidRPr="001E3BDD">
        <w:t>4.</w:t>
      </w:r>
      <w:r w:rsidRPr="001E3BDD">
        <w:tab/>
        <w:t>Проект за заключения на Съвета относно ролята на образованието в ранна детска възраст и на началното образование за стимулиране на творчеството, иновациите и компетентностите в областта на цифровите технологии</w:t>
      </w:r>
    </w:p>
    <w:p w:rsidR="00CE3777" w:rsidRPr="001E3BDD" w:rsidRDefault="00CE3777" w:rsidP="00CE3777">
      <w:pPr>
        <w:pStyle w:val="Dash1"/>
      </w:pPr>
      <w:r w:rsidRPr="001E3BDD">
        <w:t>Приемане</w:t>
      </w:r>
    </w:p>
    <w:p w:rsidR="00C54582" w:rsidRPr="001E3BDD" w:rsidRDefault="004278AD" w:rsidP="00C54582">
      <w:pPr>
        <w:pStyle w:val="Text3"/>
      </w:pPr>
      <w:r w:rsidRPr="001E3BDD">
        <w:t xml:space="preserve">8397/15 EDUC 113 SOC 268 CULT 23 JEUN 33 AUDIO 10 TELECOM 98 </w:t>
      </w:r>
    </w:p>
    <w:p w:rsidR="004278AD" w:rsidRPr="001E3BDD" w:rsidRDefault="004278AD" w:rsidP="00C54582">
      <w:pPr>
        <w:pStyle w:val="Text5"/>
      </w:pPr>
      <w:r w:rsidRPr="001E3BDD">
        <w:t>DIGIT 28</w:t>
      </w:r>
    </w:p>
    <w:p w:rsidR="006F3877" w:rsidRPr="001E3BDD" w:rsidRDefault="006F3877" w:rsidP="00531DE4">
      <w:pPr>
        <w:tabs>
          <w:tab w:val="left" w:pos="567"/>
          <w:tab w:val="left" w:pos="1134"/>
          <w:tab w:val="left" w:pos="1701"/>
        </w:tabs>
        <w:jc w:val="both"/>
        <w:rPr>
          <w:rFonts w:eastAsia="Calibri"/>
          <w:b/>
          <w:bCs/>
          <w:u w:val="single"/>
        </w:rPr>
      </w:pPr>
    </w:p>
    <w:p w:rsidR="00CD6A17" w:rsidRPr="001E3BDD" w:rsidRDefault="00CD6A17" w:rsidP="00531DE4">
      <w:pPr>
        <w:tabs>
          <w:tab w:val="left" w:pos="567"/>
          <w:tab w:val="left" w:pos="1134"/>
          <w:tab w:val="left" w:pos="1701"/>
        </w:tabs>
        <w:jc w:val="both"/>
        <w:rPr>
          <w:rFonts w:eastAsia="Calibri"/>
          <w:b/>
          <w:bCs/>
          <w:u w:val="single"/>
        </w:rPr>
      </w:pPr>
    </w:p>
    <w:p w:rsidR="006F3877" w:rsidRPr="001E3BDD" w:rsidRDefault="006F3877" w:rsidP="00531DE4">
      <w:pPr>
        <w:rPr>
          <w:u w:val="single"/>
        </w:rPr>
      </w:pPr>
      <w:r w:rsidRPr="001E3BDD">
        <w:rPr>
          <w:u w:val="single"/>
        </w:rPr>
        <w:t>МЛАДЕЖ</w:t>
      </w:r>
    </w:p>
    <w:p w:rsidR="006F3877" w:rsidRPr="001E3BDD" w:rsidRDefault="006F3877" w:rsidP="00531DE4">
      <w:pPr>
        <w:rPr>
          <w:b/>
          <w:bCs/>
          <w:color w:val="000000"/>
          <w:u w:val="single"/>
        </w:rPr>
      </w:pPr>
    </w:p>
    <w:p w:rsidR="006F3877" w:rsidRPr="001E3BDD" w:rsidRDefault="006F3877" w:rsidP="00531DE4">
      <w:pPr>
        <w:rPr>
          <w:b/>
          <w:bCs/>
          <w:color w:val="000000"/>
          <w:u w:val="single"/>
        </w:rPr>
      </w:pPr>
    </w:p>
    <w:p w:rsidR="006F3877" w:rsidRPr="001E3BDD" w:rsidRDefault="00CD6A17" w:rsidP="00531DE4">
      <w:pPr>
        <w:pStyle w:val="PointManual"/>
        <w:spacing w:before="0"/>
        <w:rPr>
          <w:rFonts w:eastAsia="Calibri"/>
        </w:rPr>
      </w:pPr>
      <w:r w:rsidRPr="001E3BDD">
        <w:t>5.</w:t>
      </w:r>
      <w:r w:rsidRPr="001E3BDD">
        <w:tab/>
        <w:t>Проект за заключения на Съвета относно подобряване на междусекторното сътрудничество в областта на политиката за ефективното преодоляване на социално-икономическите предизвикателства пред младите хора</w:t>
      </w:r>
    </w:p>
    <w:p w:rsidR="006F3877" w:rsidRPr="001E3BDD" w:rsidRDefault="006F3877" w:rsidP="00531DE4">
      <w:pPr>
        <w:pStyle w:val="Dash1"/>
      </w:pPr>
      <w:r w:rsidRPr="001E3BDD">
        <w:t>Приемане</w:t>
      </w:r>
    </w:p>
    <w:p w:rsidR="006F3877" w:rsidRPr="001E3BDD" w:rsidRDefault="00D13BA9" w:rsidP="00D13BA9">
      <w:pPr>
        <w:pStyle w:val="Text3"/>
        <w:rPr>
          <w:rFonts w:eastAsia="Calibri"/>
        </w:rPr>
      </w:pPr>
      <w:r w:rsidRPr="001E3BDD">
        <w:t>7863/15 JEUN 24 EMPL 134 SOC 226 EDUC 95 SPORT 10 CULT 18</w:t>
      </w:r>
    </w:p>
    <w:p w:rsidR="00D13BA9" w:rsidRPr="001E3BDD" w:rsidRDefault="003721A2" w:rsidP="003721A2">
      <w:pPr>
        <w:pStyle w:val="Text4"/>
        <w:rPr>
          <w:rFonts w:eastAsia="Calibri"/>
        </w:rPr>
      </w:pPr>
      <w:r w:rsidRPr="001E3BDD">
        <w:t>+ REV 1 (lv)</w:t>
      </w:r>
    </w:p>
    <w:p w:rsidR="00531DE4" w:rsidRPr="001E3BDD" w:rsidRDefault="00531DE4" w:rsidP="00531DE4">
      <w:pPr>
        <w:rPr>
          <w:rFonts w:eastAsia="Calibri"/>
        </w:rPr>
      </w:pPr>
    </w:p>
    <w:p w:rsidR="003721A2" w:rsidRPr="001E3BDD" w:rsidRDefault="003721A2" w:rsidP="00531DE4">
      <w:pPr>
        <w:rPr>
          <w:rFonts w:eastAsia="Calibri"/>
        </w:rPr>
      </w:pPr>
    </w:p>
    <w:p w:rsidR="006F3877" w:rsidRPr="001E3BDD" w:rsidRDefault="00CD6A17" w:rsidP="00531DE4">
      <w:pPr>
        <w:pStyle w:val="PointManual"/>
        <w:spacing w:before="0"/>
        <w:rPr>
          <w:rFonts w:eastAsia="Calibri"/>
        </w:rPr>
      </w:pPr>
      <w:r w:rsidRPr="001E3BDD">
        <w:t>6.</w:t>
      </w:r>
      <w:r w:rsidRPr="001E3BDD">
        <w:tab/>
        <w:t>Проект за заключения на Съвета относно укрепване на работата с младежта с цел осигуряване на единни общества</w:t>
      </w:r>
    </w:p>
    <w:p w:rsidR="006F3877" w:rsidRPr="001E3BDD" w:rsidRDefault="006F3877" w:rsidP="00531DE4">
      <w:pPr>
        <w:pStyle w:val="Dash1"/>
      </w:pPr>
      <w:r w:rsidRPr="001E3BDD">
        <w:t>Приемане</w:t>
      </w:r>
    </w:p>
    <w:p w:rsidR="00E216EE" w:rsidRPr="001E3BDD" w:rsidRDefault="00E216EE" w:rsidP="00C54582">
      <w:pPr>
        <w:pStyle w:val="Text3"/>
      </w:pPr>
      <w:r w:rsidRPr="001E3BDD">
        <w:t>8407/15 JEUN 34 EDUC 114 SOC 269 EMPL 158</w:t>
      </w:r>
    </w:p>
    <w:p w:rsidR="003721A2" w:rsidRPr="001E3BDD" w:rsidRDefault="003721A2" w:rsidP="003721A2">
      <w:pPr>
        <w:pStyle w:val="Text4"/>
      </w:pPr>
      <w:r w:rsidRPr="001E3BDD">
        <w:t>+ REV 1 (lv)</w:t>
      </w:r>
    </w:p>
    <w:p w:rsidR="006F3877" w:rsidRPr="001E3BDD" w:rsidRDefault="006F3877" w:rsidP="00531DE4">
      <w:pPr>
        <w:tabs>
          <w:tab w:val="left" w:pos="567"/>
          <w:tab w:val="left" w:pos="1134"/>
          <w:tab w:val="left" w:pos="1701"/>
        </w:tabs>
        <w:jc w:val="both"/>
        <w:rPr>
          <w:rFonts w:eastAsia="Calibri"/>
          <w:b/>
          <w:bCs/>
          <w:u w:val="single"/>
        </w:rPr>
      </w:pPr>
    </w:p>
    <w:p w:rsidR="006F3877" w:rsidRPr="001E3BDD" w:rsidRDefault="006F3877" w:rsidP="00531DE4">
      <w:pPr>
        <w:tabs>
          <w:tab w:val="left" w:pos="567"/>
          <w:tab w:val="left" w:pos="1134"/>
          <w:tab w:val="left" w:pos="1701"/>
        </w:tabs>
        <w:jc w:val="both"/>
        <w:rPr>
          <w:rFonts w:eastAsia="Calibri"/>
          <w:b/>
          <w:bCs/>
          <w:u w:val="single"/>
        </w:rPr>
      </w:pPr>
    </w:p>
    <w:p w:rsidR="006F3877" w:rsidRPr="001E3BDD" w:rsidRDefault="00CD6A17" w:rsidP="00E0209F">
      <w:pPr>
        <w:pStyle w:val="PointManual"/>
        <w:spacing w:before="0"/>
        <w:rPr>
          <w:rFonts w:eastAsia="Calibri"/>
        </w:rPr>
      </w:pPr>
      <w:r w:rsidRPr="001E3BDD">
        <w:t>7.</w:t>
      </w:r>
      <w:r w:rsidRPr="001E3BDD">
        <w:tab/>
        <w:t>Насърчаване на младите хора за политическо участие в демократичния живот на Европа</w:t>
      </w:r>
    </w:p>
    <w:p w:rsidR="006F3877" w:rsidRPr="001E3BDD" w:rsidRDefault="006F3877" w:rsidP="00531DE4">
      <w:pPr>
        <w:pStyle w:val="Dash1"/>
      </w:pPr>
      <w:r w:rsidRPr="001E3BDD">
        <w:t>Ориентационен дебат</w:t>
      </w:r>
    </w:p>
    <w:p w:rsidR="006F3877" w:rsidRPr="001E3BDD" w:rsidRDefault="006F3877" w:rsidP="002A1695">
      <w:pPr>
        <w:pStyle w:val="Text2"/>
      </w:pPr>
      <w:r w:rsidRPr="001E3BDD">
        <w:t>(открит дебат съгласно член 8, параграф 2 от Процедурния правилник на Съвета)</w:t>
      </w:r>
    </w:p>
    <w:p w:rsidR="006F3877" w:rsidRPr="001E3BDD" w:rsidRDefault="00E0209F" w:rsidP="00E0209F">
      <w:pPr>
        <w:pStyle w:val="Text3"/>
      </w:pPr>
      <w:r w:rsidRPr="001E3BDD">
        <w:t>8095/15 JEUN 31 EDUC 107 SOC 243</w:t>
      </w:r>
    </w:p>
    <w:p w:rsidR="00CD6A17" w:rsidRPr="001E3BDD" w:rsidRDefault="00CD6A17" w:rsidP="00531DE4">
      <w:pPr>
        <w:outlineLvl w:val="0"/>
        <w:rPr>
          <w:i/>
        </w:rPr>
      </w:pPr>
    </w:p>
    <w:p w:rsidR="00CD6A17" w:rsidRPr="001E3BDD" w:rsidRDefault="00E52B7C" w:rsidP="00531DE4">
      <w:pPr>
        <w:outlineLvl w:val="0"/>
        <w:rPr>
          <w:i/>
        </w:rPr>
      </w:pPr>
      <w:r w:rsidRPr="001E3BDD">
        <w:br w:type="page"/>
      </w:r>
    </w:p>
    <w:p w:rsidR="006F3877" w:rsidRPr="001E3BDD" w:rsidRDefault="006F3877" w:rsidP="00531DE4">
      <w:pPr>
        <w:outlineLvl w:val="0"/>
        <w:rPr>
          <w:b/>
          <w:bCs/>
          <w:iCs/>
          <w:u w:val="single"/>
        </w:rPr>
      </w:pPr>
      <w:r w:rsidRPr="001E3BDD">
        <w:rPr>
          <w:b/>
          <w:u w:val="single"/>
        </w:rPr>
        <w:t>Други въпроси</w:t>
      </w:r>
    </w:p>
    <w:p w:rsidR="006F3877" w:rsidRPr="001E3BDD" w:rsidRDefault="006F3877" w:rsidP="00531DE4">
      <w:pPr>
        <w:outlineLvl w:val="0"/>
        <w:rPr>
          <w:b/>
          <w:bCs/>
          <w:iCs/>
        </w:rPr>
      </w:pPr>
    </w:p>
    <w:p w:rsidR="006F3877" w:rsidRPr="001E3BDD" w:rsidRDefault="00CD6A17" w:rsidP="00531DE4">
      <w:pPr>
        <w:pStyle w:val="PointManual"/>
        <w:spacing w:before="0"/>
      </w:pPr>
      <w:r w:rsidRPr="001E3BDD">
        <w:t>8.</w:t>
      </w:r>
      <w:r w:rsidRPr="001E3BDD">
        <w:tab/>
      </w:r>
      <w:r w:rsidRPr="001E3BDD">
        <w:rPr>
          <w:u w:val="single"/>
        </w:rPr>
        <w:t>Образование</w:t>
      </w:r>
    </w:p>
    <w:p w:rsidR="006F3877" w:rsidRPr="001E3BDD" w:rsidRDefault="006F3877" w:rsidP="00531DE4">
      <w:pPr>
        <w:outlineLvl w:val="0"/>
        <w:rPr>
          <w:b/>
          <w:bCs/>
          <w:color w:val="000000"/>
        </w:rPr>
      </w:pPr>
    </w:p>
    <w:p w:rsidR="00433F88" w:rsidRPr="001E3BDD" w:rsidRDefault="006F3877" w:rsidP="0047698E">
      <w:pPr>
        <w:pStyle w:val="PointManual1"/>
      </w:pPr>
      <w:r w:rsidRPr="001E3BDD">
        <w:t>а)</w:t>
      </w:r>
      <w:r w:rsidRPr="001E3BDD">
        <w:tab/>
        <w:t xml:space="preserve">Последващи действия от неформалното заседание на министрите на образованието на ЕС относно популяризирането чрез образование на гражданските и общите ценности — свобода, толерантност и недискриминация </w:t>
      </w:r>
    </w:p>
    <w:p w:rsidR="006F3877" w:rsidRPr="001E3BDD" w:rsidRDefault="00172AFA" w:rsidP="00433F88">
      <w:pPr>
        <w:pStyle w:val="Text2"/>
      </w:pPr>
      <w:r w:rsidRPr="001E3BDD">
        <w:t>(Париж, 17 март 2015 г.)</w:t>
      </w:r>
    </w:p>
    <w:p w:rsidR="006F3877" w:rsidRPr="001E3BDD" w:rsidRDefault="006F3877" w:rsidP="00EE1AB3">
      <w:pPr>
        <w:pStyle w:val="Dash2"/>
        <w:numPr>
          <w:ilvl w:val="0"/>
          <w:numId w:val="21"/>
        </w:numPr>
        <w:rPr>
          <w:b/>
          <w:bCs/>
        </w:rPr>
      </w:pPr>
      <w:r w:rsidRPr="001E3BDD">
        <w:t>Информация от председателството, делегацията на Франция и Комисията</w:t>
      </w:r>
    </w:p>
    <w:p w:rsidR="00674599" w:rsidRPr="001E3BDD" w:rsidRDefault="00674599" w:rsidP="00EE1AB3">
      <w:pPr>
        <w:pStyle w:val="Text3"/>
      </w:pPr>
      <w:r w:rsidRPr="001E3BDD">
        <w:t>8496/15 EDUC 118 JEUN 37 SOC 281 CULT 26 COTER 63</w:t>
      </w:r>
    </w:p>
    <w:p w:rsidR="006F3877" w:rsidRPr="001E3BDD" w:rsidRDefault="006F3877" w:rsidP="00531DE4">
      <w:pPr>
        <w:tabs>
          <w:tab w:val="left" w:pos="567"/>
          <w:tab w:val="left" w:pos="1134"/>
          <w:tab w:val="left" w:pos="1701"/>
        </w:tabs>
        <w:jc w:val="both"/>
        <w:rPr>
          <w:rFonts w:eastAsia="Calibri"/>
          <w:b/>
          <w:bCs/>
          <w:u w:val="single"/>
        </w:rPr>
      </w:pPr>
    </w:p>
    <w:p w:rsidR="006F3877" w:rsidRPr="001E3BDD" w:rsidRDefault="00CD6A17" w:rsidP="00531DE4">
      <w:pPr>
        <w:pStyle w:val="PointManual"/>
        <w:spacing w:before="0"/>
      </w:pPr>
      <w:r w:rsidRPr="001E3BDD">
        <w:t>8.</w:t>
      </w:r>
      <w:r w:rsidRPr="001E3BDD">
        <w:tab/>
      </w:r>
      <w:r w:rsidRPr="001E3BDD">
        <w:rPr>
          <w:u w:val="single"/>
        </w:rPr>
        <w:t>Младеж</w:t>
      </w:r>
    </w:p>
    <w:p w:rsidR="006F3877" w:rsidRPr="001E3BDD" w:rsidRDefault="006F3877" w:rsidP="008D01ED">
      <w:pPr>
        <w:rPr>
          <w:b/>
          <w:bCs/>
        </w:rPr>
      </w:pPr>
    </w:p>
    <w:p w:rsidR="006F3877" w:rsidRPr="001E3BDD" w:rsidRDefault="006F3877" w:rsidP="00323D38">
      <w:pPr>
        <w:pStyle w:val="PointManual1"/>
        <w:rPr>
          <w:b/>
        </w:rPr>
      </w:pPr>
      <w:r w:rsidRPr="001E3BDD">
        <w:t>б)</w:t>
      </w:r>
      <w:r w:rsidRPr="001E3BDD">
        <w:tab/>
        <w:t>Европейска декларация относно работата с младежта, изготвена в контекста на Втората европейска конвенция за работа с младежта</w:t>
      </w:r>
    </w:p>
    <w:p w:rsidR="006F3877" w:rsidRPr="001E3BDD" w:rsidRDefault="006F3877" w:rsidP="00531DE4">
      <w:pPr>
        <w:pStyle w:val="Dash2"/>
      </w:pPr>
      <w:r w:rsidRPr="001E3BDD">
        <w:t>Информация от делегацията на Белгия</w:t>
      </w:r>
    </w:p>
    <w:p w:rsidR="00674599" w:rsidRPr="001E3BDD" w:rsidRDefault="00674599" w:rsidP="00EE1AB3">
      <w:pPr>
        <w:pStyle w:val="Text3"/>
      </w:pPr>
      <w:r w:rsidRPr="001E3BDD">
        <w:t>8491/1/15 JEUN 36 EDUC 117 SOC 280 EMPL 168 REV 1</w:t>
      </w:r>
    </w:p>
    <w:p w:rsidR="00323D38" w:rsidRPr="001E3BDD" w:rsidRDefault="00323D38" w:rsidP="00323D38">
      <w:pPr>
        <w:outlineLvl w:val="0"/>
        <w:rPr>
          <w:b/>
          <w:bCs/>
          <w:color w:val="000000"/>
        </w:rPr>
      </w:pPr>
    </w:p>
    <w:p w:rsidR="003A2A74" w:rsidRPr="001E3BDD" w:rsidRDefault="003A2A74" w:rsidP="00323D38">
      <w:pPr>
        <w:outlineLvl w:val="0"/>
        <w:rPr>
          <w:b/>
          <w:bCs/>
          <w:color w:val="000000"/>
        </w:rPr>
      </w:pPr>
    </w:p>
    <w:p w:rsidR="006F3877" w:rsidRPr="001E3BDD" w:rsidRDefault="006F3877" w:rsidP="008D01ED">
      <w:pPr>
        <w:jc w:val="center"/>
      </w:pPr>
      <w:r w:rsidRPr="001E3BDD">
        <w:t>o</w:t>
      </w:r>
    </w:p>
    <w:p w:rsidR="006F3877" w:rsidRPr="001E3BDD" w:rsidRDefault="006F3877" w:rsidP="008D01ED">
      <w:pPr>
        <w:jc w:val="center"/>
      </w:pPr>
      <w:r w:rsidRPr="001E3BDD">
        <w:t>o</w:t>
      </w:r>
      <w:r w:rsidRPr="001E3BDD">
        <w:tab/>
        <w:t>o</w:t>
      </w:r>
    </w:p>
    <w:p w:rsidR="006F3877" w:rsidRPr="001E3BDD" w:rsidRDefault="006F3877" w:rsidP="00323D38">
      <w:pPr>
        <w:outlineLvl w:val="0"/>
        <w:rPr>
          <w:b/>
          <w:bCs/>
          <w:color w:val="000000"/>
        </w:rPr>
      </w:pPr>
    </w:p>
    <w:p w:rsidR="003A2A74" w:rsidRPr="001E3BDD" w:rsidRDefault="003A2A74" w:rsidP="00323D38">
      <w:pPr>
        <w:outlineLvl w:val="0"/>
        <w:rPr>
          <w:b/>
          <w:bCs/>
          <w:color w:val="000000"/>
        </w:rPr>
      </w:pPr>
    </w:p>
    <w:p w:rsidR="006F3877" w:rsidRPr="001E3BDD" w:rsidRDefault="006F3877" w:rsidP="008D01ED">
      <w:pPr>
        <w:pStyle w:val="PointManual1"/>
      </w:pPr>
      <w:r w:rsidRPr="001E3BDD">
        <w:t>в)</w:t>
      </w:r>
      <w:r w:rsidRPr="001E3BDD">
        <w:tab/>
        <w:t>Работна програма на предстоящото председателство</w:t>
      </w:r>
    </w:p>
    <w:p w:rsidR="006F3877" w:rsidRPr="001E3BDD" w:rsidRDefault="006F3877" w:rsidP="00531DE4">
      <w:pPr>
        <w:pStyle w:val="Dash2"/>
      </w:pPr>
      <w:r w:rsidRPr="001E3BDD">
        <w:t>Информация от делегацията на Люксембург</w:t>
      </w:r>
    </w:p>
    <w:p w:rsidR="006F3877" w:rsidRPr="001E3BDD" w:rsidRDefault="006F3877" w:rsidP="00323D38">
      <w:pPr>
        <w:outlineLvl w:val="0"/>
        <w:rPr>
          <w:b/>
          <w:bCs/>
          <w:color w:val="000000"/>
          <w:u w:val="single"/>
        </w:rPr>
      </w:pPr>
      <w:r w:rsidRPr="001E3BDD">
        <w:br w:type="page"/>
      </w:r>
    </w:p>
    <w:p w:rsidR="006F3877" w:rsidRPr="001E3BDD" w:rsidRDefault="006F3877" w:rsidP="00531DE4">
      <w:pPr>
        <w:outlineLvl w:val="0"/>
        <w:rPr>
          <w:b/>
          <w:bCs/>
          <w:color w:val="000000"/>
          <w:u w:val="single"/>
        </w:rPr>
      </w:pPr>
      <w:r w:rsidRPr="001E3BDD">
        <w:rPr>
          <w:b/>
          <w:color w:val="000000"/>
          <w:u w:val="single"/>
        </w:rPr>
        <w:t>ЗАСЕДАНИЕ ВЪВ ВТОРНИК, 19 МАЙ 2015 г. (10,00 ч.)</w:t>
      </w:r>
    </w:p>
    <w:p w:rsidR="006F3877" w:rsidRPr="001E3BDD" w:rsidRDefault="006F3877" w:rsidP="00531DE4">
      <w:pPr>
        <w:outlineLvl w:val="0"/>
        <w:rPr>
          <w:b/>
          <w:bCs/>
          <w:color w:val="000000"/>
        </w:rPr>
      </w:pPr>
    </w:p>
    <w:p w:rsidR="006F3877" w:rsidRPr="001E3BDD" w:rsidRDefault="006F3877" w:rsidP="00531DE4">
      <w:pPr>
        <w:outlineLvl w:val="0"/>
        <w:rPr>
          <w:b/>
          <w:bCs/>
          <w:color w:val="000000"/>
        </w:rPr>
      </w:pPr>
    </w:p>
    <w:p w:rsidR="006F3877" w:rsidRPr="001E3BDD" w:rsidRDefault="006F3877" w:rsidP="00531DE4">
      <w:pPr>
        <w:rPr>
          <w:b/>
          <w:bCs/>
          <w:color w:val="000000"/>
          <w:u w:val="single"/>
        </w:rPr>
      </w:pPr>
      <w:r w:rsidRPr="001E3BDD">
        <w:rPr>
          <w:b/>
          <w:color w:val="000000"/>
          <w:u w:val="single"/>
        </w:rPr>
        <w:t>Незаконодателни дейности</w:t>
      </w:r>
    </w:p>
    <w:p w:rsidR="006F3877" w:rsidRPr="001E3BDD" w:rsidRDefault="006F3877" w:rsidP="008D01ED">
      <w:pPr>
        <w:rPr>
          <w:b/>
          <w:bCs/>
        </w:rPr>
      </w:pPr>
    </w:p>
    <w:p w:rsidR="006F3877" w:rsidRPr="001E3BDD" w:rsidRDefault="006F3877" w:rsidP="008D01ED">
      <w:pPr>
        <w:rPr>
          <w:b/>
          <w:bCs/>
        </w:rPr>
      </w:pPr>
    </w:p>
    <w:p w:rsidR="006F3877" w:rsidRPr="001E3BDD" w:rsidRDefault="006F3877" w:rsidP="00531DE4">
      <w:pPr>
        <w:rPr>
          <w:u w:val="single"/>
        </w:rPr>
      </w:pPr>
      <w:r w:rsidRPr="001E3BDD">
        <w:rPr>
          <w:u w:val="single"/>
        </w:rPr>
        <w:t>АУДИО-ВИЗИЯ / КУЛТУРА</w:t>
      </w:r>
    </w:p>
    <w:p w:rsidR="006F3877" w:rsidRPr="001E3BDD" w:rsidRDefault="006F3877" w:rsidP="008D01ED">
      <w:pPr>
        <w:rPr>
          <w:b/>
          <w:bCs/>
        </w:rPr>
      </w:pPr>
    </w:p>
    <w:p w:rsidR="006F3877" w:rsidRPr="001E3BDD" w:rsidRDefault="006F3877" w:rsidP="008D01ED"/>
    <w:p w:rsidR="006F3877" w:rsidRPr="001E3BDD" w:rsidRDefault="00CD6A17" w:rsidP="00531DE4">
      <w:pPr>
        <w:pStyle w:val="PointManual"/>
        <w:spacing w:before="0"/>
        <w:rPr>
          <w:rFonts w:eastAsia="Calibri"/>
        </w:rPr>
      </w:pPr>
      <w:r w:rsidRPr="001E3BDD">
        <w:t>9.</w:t>
      </w:r>
      <w:r w:rsidRPr="001E3BDD">
        <w:tab/>
        <w:t>Бъдещата европейска политика в областта на аудио-визията в рамката на стратегията за цифров единен пазар</w:t>
      </w:r>
    </w:p>
    <w:p w:rsidR="006F3877" w:rsidRPr="001E3BDD" w:rsidRDefault="006F3877" w:rsidP="008D01ED">
      <w:pPr>
        <w:rPr>
          <w:b/>
          <w:bCs/>
        </w:rPr>
      </w:pPr>
    </w:p>
    <w:p w:rsidR="006F3877" w:rsidRPr="001E3BDD" w:rsidRDefault="006F3877" w:rsidP="00531DE4">
      <w:pPr>
        <w:pStyle w:val="PointManual1"/>
      </w:pPr>
      <w:r w:rsidRPr="001E3BDD">
        <w:t>а)</w:t>
      </w:r>
      <w:r w:rsidRPr="001E3BDD">
        <w:tab/>
        <w:t>Стратегия за цифров единен пазар в Европа</w:t>
      </w:r>
    </w:p>
    <w:p w:rsidR="006F3877" w:rsidRPr="001E3BDD" w:rsidRDefault="006F3877" w:rsidP="00531DE4">
      <w:pPr>
        <w:pStyle w:val="Dash2"/>
      </w:pPr>
      <w:r w:rsidRPr="001E3BDD">
        <w:t>Представяне от Комисията</w:t>
      </w:r>
    </w:p>
    <w:p w:rsidR="009A1E45" w:rsidRPr="001E3BDD" w:rsidRDefault="009A1E45" w:rsidP="009A1E45">
      <w:pPr>
        <w:pStyle w:val="Text3"/>
      </w:pPr>
      <w:r w:rsidRPr="001E3BDD">
        <w:t>(открит дебат съгласно член 8, параграф 2 от Процедурния правилник на Съвета)</w:t>
      </w:r>
    </w:p>
    <w:p w:rsidR="00F70D93" w:rsidRPr="001E3BDD" w:rsidRDefault="00A21E0E" w:rsidP="00F70D93">
      <w:pPr>
        <w:pStyle w:val="Text3"/>
      </w:pPr>
      <w:r w:rsidRPr="001E3BDD">
        <w:t xml:space="preserve">8672/15 COMPET 185 TELECOM 109 AUDIO 11 DIGIT 32 RECH 107 MI 291 </w:t>
      </w:r>
    </w:p>
    <w:p w:rsidR="00F70D93" w:rsidRPr="001E3BDD" w:rsidRDefault="00A21E0E" w:rsidP="00F70D93">
      <w:pPr>
        <w:pStyle w:val="Text5"/>
      </w:pPr>
      <w:r w:rsidRPr="001E3BDD">
        <w:t xml:space="preserve">PI 32 IND 72 ECOFIN 308 ENER 139 DATAPROTECT 70 </w:t>
      </w:r>
    </w:p>
    <w:p w:rsidR="00A21E0E" w:rsidRPr="001E3BDD" w:rsidRDefault="00A21E0E" w:rsidP="00F70D93">
      <w:pPr>
        <w:pStyle w:val="Text5"/>
      </w:pPr>
      <w:r w:rsidRPr="001E3BDD">
        <w:t>CYBER 31 JUSTCIV 101 EJUSTICE 56 CULT 29 EDUC 122</w:t>
      </w:r>
    </w:p>
    <w:p w:rsidR="006F3877" w:rsidRPr="001E3BDD" w:rsidRDefault="006F3877" w:rsidP="00531DE4">
      <w:pPr>
        <w:tabs>
          <w:tab w:val="left" w:pos="567"/>
          <w:tab w:val="left" w:pos="1134"/>
          <w:tab w:val="left" w:pos="1701"/>
        </w:tabs>
        <w:jc w:val="both"/>
        <w:rPr>
          <w:rFonts w:eastAsia="Calibri"/>
          <w:b/>
          <w:bCs/>
          <w:u w:val="single"/>
        </w:rPr>
      </w:pPr>
    </w:p>
    <w:p w:rsidR="006F3877" w:rsidRPr="001E3BDD" w:rsidRDefault="006F3877" w:rsidP="00531DE4">
      <w:pPr>
        <w:pStyle w:val="PointManual1"/>
      </w:pPr>
      <w:r w:rsidRPr="001E3BDD">
        <w:t>б)</w:t>
      </w:r>
      <w:r w:rsidRPr="001E3BDD">
        <w:tab/>
        <w:t>Действието на Директивата за аудио-визуалните медийни услуги в контекста на настоящата геополитическа ситуация</w:t>
      </w:r>
    </w:p>
    <w:p w:rsidR="001719F9" w:rsidRPr="001E3BDD" w:rsidRDefault="006F3877" w:rsidP="001719F9">
      <w:pPr>
        <w:pStyle w:val="Dash2"/>
      </w:pPr>
      <w:r w:rsidRPr="001E3BDD">
        <w:t xml:space="preserve">Ориентационен дебат </w:t>
      </w:r>
    </w:p>
    <w:p w:rsidR="009A1E45" w:rsidRPr="001E3BDD" w:rsidRDefault="009A1E45" w:rsidP="009A1E45">
      <w:pPr>
        <w:pStyle w:val="Text3"/>
      </w:pPr>
      <w:r w:rsidRPr="001E3BDD">
        <w:t>(открит дебат съгласно член 8, параграф 2 от Процедурния правилник на Съвета)</w:t>
      </w:r>
    </w:p>
    <w:p w:rsidR="001719F9" w:rsidRPr="001E3BDD" w:rsidRDefault="001719F9" w:rsidP="00C54582">
      <w:pPr>
        <w:pStyle w:val="Text3"/>
      </w:pPr>
      <w:r w:rsidRPr="001E3BDD">
        <w:t>8351/15 AUDIO 9 DIGIT 23 COEST 127 CONSOM 69 JAI 256</w:t>
      </w:r>
    </w:p>
    <w:p w:rsidR="006F3877" w:rsidRPr="001E3BDD" w:rsidRDefault="006F3877" w:rsidP="00531DE4">
      <w:pPr>
        <w:tabs>
          <w:tab w:val="left" w:pos="567"/>
          <w:tab w:val="left" w:pos="1134"/>
          <w:tab w:val="left" w:pos="1701"/>
        </w:tabs>
        <w:jc w:val="both"/>
        <w:rPr>
          <w:rFonts w:eastAsia="Calibri"/>
          <w:b/>
          <w:bCs/>
          <w:u w:val="single"/>
        </w:rPr>
      </w:pPr>
    </w:p>
    <w:p w:rsidR="006F3877" w:rsidRPr="001E3BDD" w:rsidRDefault="006F3877" w:rsidP="00531DE4">
      <w:pPr>
        <w:tabs>
          <w:tab w:val="left" w:pos="567"/>
          <w:tab w:val="left" w:pos="1134"/>
          <w:tab w:val="left" w:pos="1701"/>
        </w:tabs>
        <w:jc w:val="both"/>
        <w:rPr>
          <w:rFonts w:eastAsia="Calibri"/>
          <w:b/>
          <w:bCs/>
          <w:u w:val="single"/>
        </w:rPr>
      </w:pPr>
    </w:p>
    <w:p w:rsidR="006F3877" w:rsidRPr="001E3BDD" w:rsidRDefault="00CD6A17" w:rsidP="00531DE4">
      <w:pPr>
        <w:pStyle w:val="PointManual"/>
        <w:spacing w:before="0"/>
        <w:rPr>
          <w:rFonts w:eastAsia="Calibri"/>
        </w:rPr>
      </w:pPr>
      <w:r w:rsidRPr="001E3BDD">
        <w:t>10.</w:t>
      </w:r>
      <w:r w:rsidRPr="001E3BDD">
        <w:tab/>
        <w:t>Проект за заключения на Съвета относно взаимодействието на културата и творчеството с други сектори с цел да се стимулират иновациите, икономическата устойчивост и социалното приобщаване</w:t>
      </w:r>
    </w:p>
    <w:p w:rsidR="006F3877" w:rsidRPr="001E3BDD" w:rsidRDefault="006F3877" w:rsidP="00531DE4">
      <w:pPr>
        <w:pStyle w:val="Dash1"/>
      </w:pPr>
      <w:r w:rsidRPr="001E3BDD">
        <w:t>Приемане</w:t>
      </w:r>
    </w:p>
    <w:p w:rsidR="00B93886" w:rsidRPr="001E3BDD" w:rsidRDefault="00B93886" w:rsidP="00C54582">
      <w:pPr>
        <w:pStyle w:val="Text3"/>
      </w:pPr>
      <w:r w:rsidRPr="001E3BDD">
        <w:t>8346/15 CULT 22 DIGIT 22 REGIO 35 IND 62 SOC 262 EDUC 111 SAN 131</w:t>
      </w:r>
    </w:p>
    <w:p w:rsidR="006F3877" w:rsidRPr="001E3BDD" w:rsidRDefault="006F3877" w:rsidP="00531DE4">
      <w:pPr>
        <w:tabs>
          <w:tab w:val="left" w:pos="567"/>
          <w:tab w:val="left" w:pos="1134"/>
          <w:tab w:val="left" w:pos="1701"/>
        </w:tabs>
        <w:jc w:val="both"/>
        <w:rPr>
          <w:rFonts w:eastAsia="Calibri"/>
          <w:b/>
          <w:bCs/>
          <w:u w:val="single"/>
        </w:rPr>
      </w:pPr>
    </w:p>
    <w:p w:rsidR="006F3877" w:rsidRPr="001E3BDD" w:rsidRDefault="006F3877" w:rsidP="00531DE4">
      <w:pPr>
        <w:tabs>
          <w:tab w:val="left" w:pos="567"/>
          <w:tab w:val="left" w:pos="1134"/>
          <w:tab w:val="left" w:pos="1701"/>
        </w:tabs>
        <w:jc w:val="both"/>
        <w:rPr>
          <w:rFonts w:eastAsia="Calibri"/>
          <w:b/>
          <w:bCs/>
          <w:u w:val="single"/>
        </w:rPr>
      </w:pPr>
    </w:p>
    <w:p w:rsidR="006F3877" w:rsidRPr="001E3BDD" w:rsidRDefault="00CD6A17" w:rsidP="00531DE4">
      <w:pPr>
        <w:pStyle w:val="PointManual"/>
        <w:spacing w:before="0"/>
        <w:rPr>
          <w:rFonts w:eastAsia="Calibri"/>
        </w:rPr>
      </w:pPr>
      <w:r w:rsidRPr="001E3BDD">
        <w:t>11.</w:t>
      </w:r>
      <w:r w:rsidRPr="001E3BDD">
        <w:tab/>
        <w:t>Препоръка за решение на Съвета за определяне на европейските столица на културата за 2019 година в България и Италия (*)</w:t>
      </w:r>
    </w:p>
    <w:p w:rsidR="006F3877" w:rsidRPr="001E3BDD" w:rsidRDefault="006F3877" w:rsidP="00531DE4">
      <w:pPr>
        <w:pStyle w:val="Text1"/>
      </w:pPr>
      <w:r w:rsidRPr="001E3BDD">
        <w:t>(правно основание: член 9, параграф 3 от Решение № 1622/2006/EО)</w:t>
      </w:r>
    </w:p>
    <w:p w:rsidR="006F3877" w:rsidRPr="001E3BDD" w:rsidRDefault="006F3877" w:rsidP="00531DE4">
      <w:pPr>
        <w:pStyle w:val="Dash1"/>
      </w:pPr>
      <w:r w:rsidRPr="001E3BDD">
        <w:t>Приемане</w:t>
      </w:r>
    </w:p>
    <w:p w:rsidR="006F3877" w:rsidRPr="001E3BDD" w:rsidRDefault="00186533" w:rsidP="00186533">
      <w:pPr>
        <w:pStyle w:val="Text3"/>
        <w:rPr>
          <w:rFonts w:eastAsia="Calibri"/>
        </w:rPr>
      </w:pPr>
      <w:r w:rsidRPr="001E3BDD">
        <w:t>8101/15 CULT 19</w:t>
      </w:r>
    </w:p>
    <w:p w:rsidR="006D3CF1" w:rsidRPr="001E3BDD" w:rsidRDefault="006D3CF1" w:rsidP="005A5480">
      <w:pPr>
        <w:pStyle w:val="Text3"/>
        <w:rPr>
          <w:rFonts w:eastAsia="Calibri"/>
        </w:rPr>
      </w:pPr>
      <w:r w:rsidRPr="001E3BDD">
        <w:t>8488/15 CULT 24</w:t>
      </w:r>
    </w:p>
    <w:p w:rsidR="006F3877" w:rsidRPr="001E3BDD" w:rsidRDefault="006F3877" w:rsidP="00531DE4">
      <w:pPr>
        <w:jc w:val="both"/>
        <w:rPr>
          <w:b/>
          <w:bCs/>
          <w:color w:val="000000"/>
        </w:rPr>
      </w:pPr>
      <w:r w:rsidRPr="001E3BDD">
        <w:br w:type="page"/>
      </w:r>
    </w:p>
    <w:p w:rsidR="006F3877" w:rsidRPr="001E3BDD" w:rsidRDefault="006F3877" w:rsidP="008D01ED">
      <w:pPr>
        <w:rPr>
          <w:color w:val="000000"/>
          <w:u w:val="single"/>
        </w:rPr>
      </w:pPr>
      <w:r w:rsidRPr="001E3BDD">
        <w:rPr>
          <w:color w:val="000000"/>
          <w:u w:val="single"/>
        </w:rPr>
        <w:t>СПОРТ</w:t>
      </w:r>
    </w:p>
    <w:p w:rsidR="006F3877" w:rsidRPr="001E3BDD" w:rsidRDefault="006F3877" w:rsidP="008D01ED">
      <w:pPr>
        <w:rPr>
          <w:b/>
          <w:bCs/>
          <w:color w:val="000000"/>
        </w:rPr>
      </w:pPr>
    </w:p>
    <w:p w:rsidR="006F3877" w:rsidRPr="001E3BDD" w:rsidRDefault="006F3877" w:rsidP="008D01ED">
      <w:pPr>
        <w:rPr>
          <w:b/>
          <w:bCs/>
          <w:color w:val="000000"/>
        </w:rPr>
      </w:pPr>
    </w:p>
    <w:p w:rsidR="006F3877" w:rsidRPr="001E3BDD" w:rsidRDefault="00CD6A17" w:rsidP="00531DE4">
      <w:pPr>
        <w:pStyle w:val="PointManual"/>
        <w:spacing w:before="0"/>
        <w:rPr>
          <w:rFonts w:eastAsia="Calibri"/>
        </w:rPr>
      </w:pPr>
      <w:r w:rsidRPr="001E3BDD">
        <w:t>12.</w:t>
      </w:r>
      <w:r w:rsidRPr="001E3BDD">
        <w:tab/>
        <w:t>Проект за заключения на Съвета относно максималното използване на масовия спорт за развиването на трансверсални умения, по-специално сред младите хора</w:t>
      </w:r>
    </w:p>
    <w:p w:rsidR="006F3877" w:rsidRPr="001E3BDD" w:rsidRDefault="006F3877" w:rsidP="00531DE4">
      <w:pPr>
        <w:pStyle w:val="Dash1"/>
      </w:pPr>
      <w:r w:rsidRPr="001E3BDD">
        <w:t>Приемане</w:t>
      </w:r>
    </w:p>
    <w:p w:rsidR="006F3877" w:rsidRPr="001E3BDD" w:rsidRDefault="00C37FE1" w:rsidP="00C37FE1">
      <w:pPr>
        <w:pStyle w:val="Text3"/>
        <w:rPr>
          <w:rFonts w:eastAsia="Calibri"/>
        </w:rPr>
      </w:pPr>
      <w:r w:rsidRPr="001E3BDD">
        <w:t>7875/15 SPORT 11 JEUN 25 EDUC 96 SOC 228 EMPL 136</w:t>
      </w:r>
    </w:p>
    <w:p w:rsidR="003721A2" w:rsidRPr="001E3BDD" w:rsidRDefault="003721A2" w:rsidP="003721A2">
      <w:pPr>
        <w:pStyle w:val="Text4"/>
        <w:rPr>
          <w:rFonts w:eastAsia="Calibri"/>
        </w:rPr>
      </w:pPr>
      <w:r w:rsidRPr="001E3BDD">
        <w:t>+ REV 1 (lv)</w:t>
      </w:r>
    </w:p>
    <w:p w:rsidR="00C37FE1" w:rsidRPr="001E3BDD" w:rsidRDefault="00C37FE1" w:rsidP="00531DE4">
      <w:pPr>
        <w:tabs>
          <w:tab w:val="left" w:pos="567"/>
          <w:tab w:val="left" w:pos="1134"/>
          <w:tab w:val="left" w:pos="1701"/>
        </w:tabs>
        <w:jc w:val="both"/>
        <w:rPr>
          <w:rFonts w:eastAsia="Calibri"/>
          <w:b/>
          <w:bCs/>
          <w:u w:val="single"/>
        </w:rPr>
      </w:pPr>
    </w:p>
    <w:p w:rsidR="006F3877" w:rsidRPr="001E3BDD" w:rsidRDefault="006F3877" w:rsidP="00531DE4">
      <w:pPr>
        <w:tabs>
          <w:tab w:val="left" w:pos="567"/>
          <w:tab w:val="left" w:pos="1134"/>
          <w:tab w:val="left" w:pos="1701"/>
        </w:tabs>
        <w:jc w:val="both"/>
        <w:rPr>
          <w:rFonts w:eastAsia="Calibri"/>
          <w:b/>
          <w:bCs/>
          <w:u w:val="single"/>
        </w:rPr>
      </w:pPr>
    </w:p>
    <w:p w:rsidR="006F3877" w:rsidRPr="001E3BDD" w:rsidRDefault="00CD6A17" w:rsidP="00531DE4">
      <w:pPr>
        <w:pStyle w:val="PointManual"/>
        <w:spacing w:before="0"/>
        <w:rPr>
          <w:rFonts w:eastAsia="Calibri"/>
        </w:rPr>
      </w:pPr>
      <w:r w:rsidRPr="001E3BDD">
        <w:t>13.</w:t>
      </w:r>
      <w:r w:rsidRPr="001E3BDD">
        <w:tab/>
        <w:t>Физическата дейност като основен елемент на качественото образование на всички равнища — модели за сътрудничество със сектора на спорта</w:t>
      </w:r>
    </w:p>
    <w:p w:rsidR="006F3877" w:rsidRPr="001E3BDD" w:rsidRDefault="006F3877" w:rsidP="00531DE4">
      <w:pPr>
        <w:pStyle w:val="Dash1"/>
      </w:pPr>
      <w:r w:rsidRPr="001E3BDD">
        <w:t>Ориентационен дебат</w:t>
      </w:r>
    </w:p>
    <w:p w:rsidR="006F3877" w:rsidRPr="001E3BDD" w:rsidRDefault="006F3877" w:rsidP="002A1695">
      <w:pPr>
        <w:pStyle w:val="Text2"/>
      </w:pPr>
      <w:r w:rsidRPr="001E3BDD">
        <w:t>(открит дебат съгласно член 8, параграф 2 от Процедурния правилник на Съвета)</w:t>
      </w:r>
    </w:p>
    <w:p w:rsidR="006F3877" w:rsidRPr="001E3BDD" w:rsidRDefault="003310F5" w:rsidP="003310F5">
      <w:pPr>
        <w:pStyle w:val="Text3"/>
      </w:pPr>
      <w:r w:rsidRPr="001E3BDD">
        <w:t>8096/15 SPORT 14 EDUC 108 JEUN 32</w:t>
      </w:r>
    </w:p>
    <w:p w:rsidR="003310F5" w:rsidRPr="001E3BDD" w:rsidRDefault="00444E23" w:rsidP="00F70D93">
      <w:pPr>
        <w:pStyle w:val="Text4"/>
      </w:pPr>
      <w:r w:rsidRPr="001E3BDD">
        <w:t>+ COR 1 (cs)</w:t>
      </w:r>
    </w:p>
    <w:p w:rsidR="006F3877" w:rsidRPr="001E3BDD" w:rsidRDefault="006F3877" w:rsidP="00531DE4">
      <w:pPr>
        <w:outlineLvl w:val="0"/>
        <w:rPr>
          <w:b/>
          <w:bCs/>
          <w:color w:val="000000"/>
        </w:rPr>
      </w:pPr>
    </w:p>
    <w:p w:rsidR="00DD3EC6" w:rsidRPr="001E3BDD" w:rsidRDefault="00DD3EC6" w:rsidP="00531DE4">
      <w:pPr>
        <w:outlineLvl w:val="0"/>
        <w:rPr>
          <w:b/>
          <w:bCs/>
          <w:color w:val="000000"/>
        </w:rPr>
      </w:pPr>
    </w:p>
    <w:p w:rsidR="006F3877" w:rsidRPr="001E3BDD" w:rsidRDefault="006F3877" w:rsidP="00531DE4">
      <w:pPr>
        <w:outlineLvl w:val="0"/>
        <w:rPr>
          <w:b/>
          <w:bCs/>
          <w:color w:val="000000"/>
        </w:rPr>
      </w:pPr>
    </w:p>
    <w:p w:rsidR="006F3877" w:rsidRPr="001E3BDD" w:rsidRDefault="006F3877" w:rsidP="00531DE4">
      <w:pPr>
        <w:tabs>
          <w:tab w:val="left" w:pos="567"/>
          <w:tab w:val="left" w:pos="1134"/>
          <w:tab w:val="left" w:pos="1701"/>
        </w:tabs>
        <w:rPr>
          <w:b/>
          <w:bCs/>
          <w:u w:val="single"/>
        </w:rPr>
      </w:pPr>
      <w:r w:rsidRPr="001E3BDD">
        <w:rPr>
          <w:b/>
          <w:u w:val="single"/>
        </w:rPr>
        <w:t>Други въпроси</w:t>
      </w:r>
    </w:p>
    <w:p w:rsidR="006F3877" w:rsidRPr="001E3BDD" w:rsidRDefault="006F3877" w:rsidP="00531DE4">
      <w:pPr>
        <w:tabs>
          <w:tab w:val="left" w:pos="567"/>
          <w:tab w:val="left" w:pos="1134"/>
          <w:tab w:val="left" w:pos="1701"/>
        </w:tabs>
        <w:jc w:val="both"/>
        <w:rPr>
          <w:rFonts w:eastAsia="Calibri"/>
          <w:b/>
          <w:bCs/>
          <w:u w:val="single"/>
        </w:rPr>
      </w:pPr>
    </w:p>
    <w:p w:rsidR="006F3877" w:rsidRPr="001E3BDD" w:rsidRDefault="00CD6A17" w:rsidP="00531DE4">
      <w:pPr>
        <w:pStyle w:val="PointManual"/>
        <w:spacing w:before="0"/>
      </w:pPr>
      <w:r w:rsidRPr="001E3BDD">
        <w:t>14.</w:t>
      </w:r>
      <w:r w:rsidRPr="001E3BDD">
        <w:tab/>
      </w:r>
      <w:r w:rsidRPr="001E3BDD">
        <w:rPr>
          <w:u w:val="single"/>
        </w:rPr>
        <w:t>Култура</w:t>
      </w:r>
    </w:p>
    <w:p w:rsidR="006F3877" w:rsidRPr="001E3BDD" w:rsidRDefault="006F3877" w:rsidP="008D01ED">
      <w:pPr>
        <w:rPr>
          <w:b/>
          <w:bCs/>
        </w:rPr>
      </w:pPr>
    </w:p>
    <w:p w:rsidR="006F3877" w:rsidRPr="001E3BDD" w:rsidRDefault="006F3877" w:rsidP="00B636BE">
      <w:pPr>
        <w:pStyle w:val="PointManual1"/>
      </w:pPr>
      <w:r w:rsidRPr="001E3BDD">
        <w:t>а)</w:t>
      </w:r>
      <w:r w:rsidRPr="001E3BDD">
        <w:tab/>
        <w:t xml:space="preserve">Разрушаване на културни обекти, извършвано от ИДИЛ/Даиш: актуализиране на частта относно културата и културното наследство на съвместното съобщение относно регионалната стратегия на ЕС за Сирия и Ирак </w:t>
      </w:r>
    </w:p>
    <w:p w:rsidR="006F3877" w:rsidRPr="001E3BDD" w:rsidRDefault="006F3877" w:rsidP="00531DE4">
      <w:pPr>
        <w:pStyle w:val="Dash2"/>
      </w:pPr>
      <w:r w:rsidRPr="001E3BDD">
        <w:t xml:space="preserve">Информация от Комисията </w:t>
      </w:r>
    </w:p>
    <w:p w:rsidR="00C54582" w:rsidRPr="001E3BDD" w:rsidRDefault="00C54582" w:rsidP="00C06AE3">
      <w:pPr>
        <w:rPr>
          <w:i/>
          <w:iCs/>
        </w:rPr>
      </w:pPr>
    </w:p>
    <w:p w:rsidR="00A7224F" w:rsidRPr="001E3BDD" w:rsidRDefault="00A7224F" w:rsidP="002E5539">
      <w:pPr>
        <w:pStyle w:val="PointManual1"/>
      </w:pPr>
      <w:r w:rsidRPr="001E3BDD">
        <w:t>б)</w:t>
      </w:r>
      <w:r w:rsidRPr="001E3BDD">
        <w:tab/>
        <w:t>Необходимостта от повишаване на максималната стойност за „маломащабната“ културна инфраструктура, прилагана в рамките на Европейския фонд за регионално развитие 2014—2020 г.</w:t>
      </w:r>
    </w:p>
    <w:p w:rsidR="00A7224F" w:rsidRPr="001E3BDD" w:rsidRDefault="00A7224F" w:rsidP="00A7224F">
      <w:pPr>
        <w:pStyle w:val="Dash2"/>
      </w:pPr>
      <w:r w:rsidRPr="001E3BDD">
        <w:t>Информация от делегацията на Полша</w:t>
      </w:r>
    </w:p>
    <w:p w:rsidR="00674599" w:rsidRPr="001E3BDD" w:rsidRDefault="00674599" w:rsidP="00F70D93">
      <w:pPr>
        <w:pStyle w:val="Text3"/>
      </w:pPr>
      <w:r w:rsidRPr="001E3BDD">
        <w:t>8561/15 CULT 27 REGIO 39 BUDGET 11 FSTR 26 FC 28</w:t>
      </w:r>
    </w:p>
    <w:p w:rsidR="006F3877" w:rsidRPr="001E3BDD" w:rsidRDefault="006F3877" w:rsidP="008D01ED">
      <w:pPr>
        <w:rPr>
          <w:i/>
          <w:iCs/>
        </w:rPr>
      </w:pPr>
    </w:p>
    <w:p w:rsidR="006F3877" w:rsidRPr="001E3BDD" w:rsidRDefault="006F3877" w:rsidP="00C10073">
      <w:pPr>
        <w:pStyle w:val="PointManual1"/>
      </w:pPr>
      <w:r w:rsidRPr="001E3BDD">
        <w:t>в)</w:t>
      </w:r>
      <w:r w:rsidRPr="001E3BDD">
        <w:tab/>
        <w:t>Равносметка за заключенията на Съвета от 26 ноември 2012 г. относно управлението на културата</w:t>
      </w:r>
    </w:p>
    <w:p w:rsidR="006F3877" w:rsidRPr="001E3BDD" w:rsidRDefault="006F3877" w:rsidP="00531DE4">
      <w:pPr>
        <w:pStyle w:val="Dash2"/>
      </w:pPr>
      <w:r w:rsidRPr="001E3BDD">
        <w:t xml:space="preserve">Информация от председателството </w:t>
      </w:r>
    </w:p>
    <w:p w:rsidR="006625D5" w:rsidRPr="001E3BDD" w:rsidRDefault="005A5480" w:rsidP="00C54582">
      <w:pPr>
        <w:pStyle w:val="Text3"/>
      </w:pPr>
      <w:r w:rsidRPr="001E3BDD">
        <w:t>8489/15 CULT 25 STATIS 39 RECH 103 REGIO 37</w:t>
      </w:r>
    </w:p>
    <w:p w:rsidR="00324D65" w:rsidRPr="001E3BDD" w:rsidRDefault="00DD3EC6" w:rsidP="00051EFF">
      <w:r w:rsidRPr="001E3BDD">
        <w:br w:type="page"/>
      </w:r>
      <w:bookmarkStart w:id="2" w:name="ControlPages"/>
      <w:bookmarkEnd w:id="2"/>
    </w:p>
    <w:p w:rsidR="006F3877" w:rsidRPr="001E3BDD" w:rsidRDefault="00CD6A17" w:rsidP="00531DE4">
      <w:pPr>
        <w:pStyle w:val="PointManual"/>
        <w:spacing w:before="0"/>
      </w:pPr>
      <w:r w:rsidRPr="001E3BDD">
        <w:t>14.</w:t>
      </w:r>
      <w:r w:rsidRPr="001E3BDD">
        <w:tab/>
      </w:r>
      <w:r w:rsidRPr="001E3BDD">
        <w:rPr>
          <w:u w:val="single"/>
        </w:rPr>
        <w:t>Спорт</w:t>
      </w:r>
    </w:p>
    <w:p w:rsidR="006F3877" w:rsidRPr="001E3BDD" w:rsidRDefault="006F3877" w:rsidP="008D01ED">
      <w:pPr>
        <w:outlineLvl w:val="0"/>
        <w:rPr>
          <w:b/>
          <w:bCs/>
          <w:color w:val="000000"/>
        </w:rPr>
      </w:pPr>
    </w:p>
    <w:p w:rsidR="006F3877" w:rsidRPr="001E3BDD" w:rsidRDefault="006F3877" w:rsidP="001F543A">
      <w:pPr>
        <w:pStyle w:val="PointDoubleManual1"/>
      </w:pPr>
      <w:r w:rsidRPr="001E3BDD">
        <w:t>г)</w:t>
      </w:r>
      <w:r w:rsidRPr="001E3BDD">
        <w:tab/>
        <w:t>i)</w:t>
      </w:r>
      <w:r w:rsidRPr="001E3BDD">
        <w:tab/>
        <w:t>Предложение за решение на Съвета относно подписването от името на Европейския съюз на Конвенцията на Съвета на Европа относно манипулирането на спортни състезания по отношение на въпроси, които не са свързани с материалното наказателно право и съдебното сътрудничество по наказателноправни въпроси</w:t>
      </w:r>
    </w:p>
    <w:p w:rsidR="006F3877" w:rsidRPr="001E3BDD" w:rsidRDefault="006F3877" w:rsidP="00531DE4">
      <w:pPr>
        <w:pStyle w:val="PointManual2"/>
      </w:pPr>
      <w:r w:rsidRPr="001E3BDD">
        <w:t>ii)</w:t>
      </w:r>
      <w:r w:rsidRPr="001E3BDD">
        <w:tab/>
        <w:t>Предложение за решение на Съвета относно подписването от името на Европейския съюз на Конвенцията на Съвета на Европа относно манипулирането на спортни състезания по отношение на въпроси, които са свързани с материалното наказателно право и съдебното сътрудничество по наказателноправни въпроси</w:t>
      </w:r>
    </w:p>
    <w:p w:rsidR="006F3877" w:rsidRPr="001E3BDD" w:rsidRDefault="006F3877" w:rsidP="00531DE4">
      <w:pPr>
        <w:pStyle w:val="Dash2"/>
      </w:pPr>
      <w:r w:rsidRPr="001E3BDD">
        <w:t xml:space="preserve">Информация от председателството </w:t>
      </w:r>
    </w:p>
    <w:p w:rsidR="00CD6A17" w:rsidRPr="001E3BDD" w:rsidRDefault="00CD6A17" w:rsidP="00531DE4">
      <w:pPr>
        <w:tabs>
          <w:tab w:val="left" w:pos="567"/>
          <w:tab w:val="left" w:pos="1134"/>
          <w:tab w:val="left" w:pos="1701"/>
        </w:tabs>
        <w:jc w:val="both"/>
        <w:rPr>
          <w:rFonts w:eastAsia="Calibri"/>
          <w:b/>
          <w:bCs/>
          <w:u w:val="single"/>
        </w:rPr>
      </w:pPr>
    </w:p>
    <w:p w:rsidR="006F3877" w:rsidRPr="001E3BDD" w:rsidRDefault="006F3877" w:rsidP="001F543A">
      <w:pPr>
        <w:pStyle w:val="PointManual1"/>
      </w:pPr>
      <w:r w:rsidRPr="001E3BDD">
        <w:t>д)</w:t>
      </w:r>
      <w:r w:rsidRPr="001E3BDD">
        <w:tab/>
        <w:t>Заседания на Световната антидопингова агенция (WADA) (Монреал, 12—13 май 2015 г.)</w:t>
      </w:r>
    </w:p>
    <w:p w:rsidR="006F3877" w:rsidRPr="001E3BDD" w:rsidRDefault="006F3877" w:rsidP="00531DE4">
      <w:pPr>
        <w:pStyle w:val="Dash2"/>
      </w:pPr>
      <w:r w:rsidRPr="001E3BDD">
        <w:t>Информация от държавите — членки на ЕС, представители във WADA (BE, LU, MT)</w:t>
      </w:r>
    </w:p>
    <w:p w:rsidR="00A16683" w:rsidRPr="001E3BDD" w:rsidRDefault="00A16683" w:rsidP="00531DE4">
      <w:pPr>
        <w:tabs>
          <w:tab w:val="left" w:pos="567"/>
          <w:tab w:val="left" w:pos="1134"/>
          <w:tab w:val="left" w:pos="1701"/>
        </w:tabs>
        <w:jc w:val="both"/>
        <w:rPr>
          <w:rFonts w:eastAsia="Calibri"/>
          <w:b/>
          <w:bCs/>
          <w:u w:val="single"/>
        </w:rPr>
      </w:pPr>
    </w:p>
    <w:p w:rsidR="003A2A74" w:rsidRPr="001E3BDD" w:rsidRDefault="003A2A74" w:rsidP="00531DE4">
      <w:pPr>
        <w:tabs>
          <w:tab w:val="left" w:pos="567"/>
          <w:tab w:val="left" w:pos="1134"/>
          <w:tab w:val="left" w:pos="1701"/>
        </w:tabs>
        <w:jc w:val="both"/>
        <w:rPr>
          <w:rFonts w:eastAsia="Calibri"/>
          <w:b/>
          <w:bCs/>
          <w:u w:val="single"/>
        </w:rPr>
      </w:pPr>
    </w:p>
    <w:p w:rsidR="00D00284" w:rsidRPr="001E3BDD" w:rsidRDefault="00D00284" w:rsidP="008D01ED">
      <w:pPr>
        <w:jc w:val="center"/>
      </w:pPr>
      <w:r w:rsidRPr="001E3BDD">
        <w:t>o</w:t>
      </w:r>
    </w:p>
    <w:p w:rsidR="00D00284" w:rsidRPr="001E3BDD" w:rsidRDefault="00D00284" w:rsidP="008D01ED">
      <w:pPr>
        <w:jc w:val="center"/>
      </w:pPr>
      <w:r w:rsidRPr="001E3BDD">
        <w:t>o</w:t>
      </w:r>
      <w:r w:rsidRPr="001E3BDD">
        <w:tab/>
        <w:t>o</w:t>
      </w:r>
    </w:p>
    <w:p w:rsidR="00D00284" w:rsidRPr="001E3BDD" w:rsidRDefault="00D00284" w:rsidP="00531DE4">
      <w:pPr>
        <w:tabs>
          <w:tab w:val="left" w:pos="567"/>
          <w:tab w:val="left" w:pos="1134"/>
          <w:tab w:val="left" w:pos="1701"/>
        </w:tabs>
        <w:jc w:val="both"/>
        <w:rPr>
          <w:rFonts w:eastAsia="Calibri"/>
          <w:b/>
          <w:bCs/>
          <w:u w:val="single"/>
        </w:rPr>
      </w:pPr>
    </w:p>
    <w:p w:rsidR="003A2A74" w:rsidRPr="001E3BDD" w:rsidRDefault="003A2A74" w:rsidP="00531DE4">
      <w:pPr>
        <w:tabs>
          <w:tab w:val="left" w:pos="567"/>
          <w:tab w:val="left" w:pos="1134"/>
          <w:tab w:val="left" w:pos="1701"/>
        </w:tabs>
        <w:jc w:val="both"/>
        <w:rPr>
          <w:rFonts w:eastAsia="Calibri"/>
          <w:b/>
          <w:bCs/>
          <w:u w:val="single"/>
        </w:rPr>
      </w:pPr>
    </w:p>
    <w:p w:rsidR="006F3877" w:rsidRPr="001E3BDD" w:rsidRDefault="006F3877" w:rsidP="001F543A">
      <w:pPr>
        <w:pStyle w:val="PointManual1"/>
      </w:pPr>
      <w:r w:rsidRPr="001E3BDD">
        <w:t>е)</w:t>
      </w:r>
      <w:r w:rsidRPr="001E3BDD">
        <w:tab/>
        <w:t>Работна програма на предстоящото председателство</w:t>
      </w:r>
    </w:p>
    <w:p w:rsidR="006F3877" w:rsidRPr="001E3BDD" w:rsidRDefault="006F3877" w:rsidP="00531DE4">
      <w:pPr>
        <w:pStyle w:val="Dash2"/>
      </w:pPr>
      <w:r w:rsidRPr="001E3BDD">
        <w:t>Информация от делегацията на Люксембург</w:t>
      </w:r>
    </w:p>
    <w:p w:rsidR="006F3877" w:rsidRPr="001E3BDD" w:rsidRDefault="006F3877" w:rsidP="00531DE4"/>
    <w:p w:rsidR="00323D38" w:rsidRPr="001E3BDD" w:rsidRDefault="00323D38" w:rsidP="00531DE4"/>
    <w:p w:rsidR="006F3877" w:rsidRPr="001E3BDD" w:rsidRDefault="006F3877" w:rsidP="00531DE4"/>
    <w:p w:rsidR="006F3877" w:rsidRPr="001E3BDD" w:rsidRDefault="006F3877" w:rsidP="00531DE4"/>
    <w:p w:rsidR="00DD3EC6" w:rsidRPr="001E3BDD" w:rsidRDefault="00DD3EC6" w:rsidP="00531DE4"/>
    <w:p w:rsidR="00DD3EC6" w:rsidRPr="001E3BDD" w:rsidRDefault="00DD3EC6" w:rsidP="00531DE4"/>
    <w:p w:rsidR="006F3877" w:rsidRPr="001E3BDD" w:rsidRDefault="006F3877" w:rsidP="00531DE4">
      <w:r w:rsidRPr="001E3BDD">
        <w:t>____________________</w:t>
      </w:r>
    </w:p>
    <w:p w:rsidR="006F3877" w:rsidRPr="001E3BDD" w:rsidRDefault="006F3877" w:rsidP="00531DE4">
      <w:r w:rsidRPr="001E3BDD">
        <w:t>(*)</w:t>
      </w:r>
      <w:r w:rsidRPr="001E3BDD">
        <w:tab/>
        <w:t>Точка, по която може да бъде поискано гласуване.</w:t>
      </w:r>
    </w:p>
    <w:p w:rsidR="00DD50E5" w:rsidRPr="00B0146A" w:rsidRDefault="00DD50E5" w:rsidP="00531DE4">
      <w:pPr>
        <w:pStyle w:val="FinalLine"/>
        <w:spacing w:before="840" w:after="720"/>
      </w:pPr>
    </w:p>
    <w:sectPr w:rsidR="00DD50E5" w:rsidRPr="00B0146A" w:rsidSect="00985FC5">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0AE" w:rsidRDefault="003240AE" w:rsidP="00DD50E5">
      <w:r>
        <w:separator/>
      </w:r>
    </w:p>
  </w:endnote>
  <w:endnote w:type="continuationSeparator" w:id="0">
    <w:p w:rsidR="003240AE" w:rsidRDefault="003240AE" w:rsidP="00DD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FC5" w:rsidRPr="00985FC5" w:rsidRDefault="00985FC5" w:rsidP="00985F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985FC5" w:rsidRPr="00D94637" w:rsidTr="00985FC5">
      <w:trPr>
        <w:jc w:val="center"/>
      </w:trPr>
      <w:tc>
        <w:tcPr>
          <w:tcW w:w="5000" w:type="pct"/>
          <w:gridSpan w:val="7"/>
          <w:shd w:val="clear" w:color="auto" w:fill="auto"/>
          <w:tcMar>
            <w:top w:w="57" w:type="dxa"/>
          </w:tcMar>
        </w:tcPr>
        <w:p w:rsidR="00985FC5" w:rsidRPr="00D94637" w:rsidRDefault="00985FC5" w:rsidP="00D94637">
          <w:pPr>
            <w:pStyle w:val="FooterText"/>
            <w:pBdr>
              <w:top w:val="single" w:sz="4" w:space="1" w:color="auto"/>
            </w:pBdr>
            <w:spacing w:before="200"/>
            <w:rPr>
              <w:sz w:val="2"/>
              <w:szCs w:val="2"/>
            </w:rPr>
          </w:pPr>
          <w:bookmarkStart w:id="3" w:name="FOOTER_STANDARD"/>
        </w:p>
      </w:tc>
    </w:tr>
    <w:tr w:rsidR="00985FC5" w:rsidRPr="00B310DC" w:rsidTr="00985FC5">
      <w:trPr>
        <w:jc w:val="center"/>
      </w:trPr>
      <w:tc>
        <w:tcPr>
          <w:tcW w:w="2500" w:type="pct"/>
          <w:gridSpan w:val="2"/>
          <w:shd w:val="clear" w:color="auto" w:fill="auto"/>
          <w:tcMar>
            <w:top w:w="0" w:type="dxa"/>
          </w:tcMar>
        </w:tcPr>
        <w:p w:rsidR="00985FC5" w:rsidRPr="00AD7BF2" w:rsidRDefault="00985FC5" w:rsidP="004F54B2">
          <w:pPr>
            <w:pStyle w:val="FooterText"/>
          </w:pPr>
          <w:r>
            <w:t>8605/15</w:t>
          </w:r>
          <w:r w:rsidRPr="002511D8">
            <w:t xml:space="preserve"> </w:t>
          </w:r>
        </w:p>
      </w:tc>
      <w:tc>
        <w:tcPr>
          <w:tcW w:w="625" w:type="pct"/>
          <w:shd w:val="clear" w:color="auto" w:fill="auto"/>
          <w:tcMar>
            <w:top w:w="0" w:type="dxa"/>
          </w:tcMar>
        </w:tcPr>
        <w:p w:rsidR="00985FC5" w:rsidRPr="00AD7BF2" w:rsidRDefault="00985FC5" w:rsidP="00D94637">
          <w:pPr>
            <w:pStyle w:val="FooterText"/>
            <w:jc w:val="center"/>
          </w:pPr>
        </w:p>
      </w:tc>
      <w:tc>
        <w:tcPr>
          <w:tcW w:w="1287" w:type="pct"/>
          <w:gridSpan w:val="3"/>
          <w:shd w:val="clear" w:color="auto" w:fill="auto"/>
          <w:tcMar>
            <w:top w:w="0" w:type="dxa"/>
          </w:tcMar>
        </w:tcPr>
        <w:p w:rsidR="00985FC5" w:rsidRPr="002511D8" w:rsidRDefault="00985FC5" w:rsidP="00D94637">
          <w:pPr>
            <w:pStyle w:val="FooterText"/>
            <w:jc w:val="center"/>
          </w:pPr>
          <w:r>
            <w:t>vb/yp</w:t>
          </w:r>
        </w:p>
      </w:tc>
      <w:tc>
        <w:tcPr>
          <w:tcW w:w="588" w:type="pct"/>
          <w:shd w:val="clear" w:color="auto" w:fill="auto"/>
          <w:tcMar>
            <w:top w:w="0" w:type="dxa"/>
          </w:tcMar>
        </w:tcPr>
        <w:p w:rsidR="00985FC5" w:rsidRPr="00B310DC" w:rsidRDefault="00985FC5" w:rsidP="00D94637">
          <w:pPr>
            <w:pStyle w:val="FooterText"/>
            <w:jc w:val="right"/>
          </w:pPr>
          <w:r>
            <w:fldChar w:fldCharType="begin"/>
          </w:r>
          <w:r>
            <w:instrText xml:space="preserve"> PAGE  \* MERGEFORMAT </w:instrText>
          </w:r>
          <w:r>
            <w:fldChar w:fldCharType="separate"/>
          </w:r>
          <w:r>
            <w:rPr>
              <w:noProof/>
            </w:rPr>
            <w:t>6</w:t>
          </w:r>
          <w:r>
            <w:fldChar w:fldCharType="end"/>
          </w:r>
        </w:p>
      </w:tc>
    </w:tr>
    <w:tr w:rsidR="00985FC5" w:rsidRPr="00D94637" w:rsidTr="00985FC5">
      <w:trPr>
        <w:jc w:val="center"/>
      </w:trPr>
      <w:tc>
        <w:tcPr>
          <w:tcW w:w="1774" w:type="pct"/>
          <w:shd w:val="clear" w:color="auto" w:fill="auto"/>
        </w:tcPr>
        <w:p w:rsidR="00985FC5" w:rsidRPr="00AD7BF2" w:rsidRDefault="00985FC5" w:rsidP="00D94637">
          <w:pPr>
            <w:pStyle w:val="FooterText"/>
            <w:spacing w:before="40"/>
          </w:pPr>
        </w:p>
      </w:tc>
      <w:tc>
        <w:tcPr>
          <w:tcW w:w="1455" w:type="pct"/>
          <w:gridSpan w:val="3"/>
          <w:shd w:val="clear" w:color="auto" w:fill="auto"/>
        </w:tcPr>
        <w:p w:rsidR="00985FC5" w:rsidRPr="00AD7BF2" w:rsidRDefault="00985FC5" w:rsidP="00D204D6">
          <w:pPr>
            <w:pStyle w:val="FooterText"/>
            <w:spacing w:before="40"/>
            <w:jc w:val="center"/>
          </w:pPr>
          <w:r>
            <w:t>DPG</w:t>
          </w:r>
        </w:p>
      </w:tc>
      <w:tc>
        <w:tcPr>
          <w:tcW w:w="1147" w:type="pct"/>
          <w:shd w:val="clear" w:color="auto" w:fill="auto"/>
        </w:tcPr>
        <w:p w:rsidR="00985FC5" w:rsidRPr="00D94637" w:rsidRDefault="00985FC5" w:rsidP="00D94637">
          <w:pPr>
            <w:pStyle w:val="FooterText"/>
            <w:jc w:val="right"/>
            <w:rPr>
              <w:b/>
              <w:position w:val="-4"/>
              <w:sz w:val="36"/>
            </w:rPr>
          </w:pPr>
        </w:p>
      </w:tc>
      <w:tc>
        <w:tcPr>
          <w:tcW w:w="625" w:type="pct"/>
          <w:gridSpan w:val="2"/>
          <w:shd w:val="clear" w:color="auto" w:fill="auto"/>
        </w:tcPr>
        <w:p w:rsidR="00985FC5" w:rsidRPr="00D94637" w:rsidRDefault="00985FC5" w:rsidP="00D94637">
          <w:pPr>
            <w:pStyle w:val="FooterText"/>
            <w:jc w:val="right"/>
            <w:rPr>
              <w:sz w:val="16"/>
            </w:rPr>
          </w:pPr>
          <w:r>
            <w:rPr>
              <w:b/>
              <w:position w:val="-4"/>
              <w:sz w:val="36"/>
            </w:rPr>
            <w:t>BG</w:t>
          </w:r>
        </w:p>
      </w:tc>
    </w:tr>
    <w:bookmarkEnd w:id="3"/>
  </w:tbl>
  <w:p w:rsidR="00DD50E5" w:rsidRPr="00985FC5" w:rsidRDefault="00DD50E5" w:rsidP="00985FC5">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985FC5" w:rsidRPr="00D94637" w:rsidTr="00985FC5">
      <w:trPr>
        <w:jc w:val="center"/>
      </w:trPr>
      <w:tc>
        <w:tcPr>
          <w:tcW w:w="5000" w:type="pct"/>
          <w:gridSpan w:val="7"/>
          <w:shd w:val="clear" w:color="auto" w:fill="auto"/>
          <w:tcMar>
            <w:top w:w="57" w:type="dxa"/>
          </w:tcMar>
        </w:tcPr>
        <w:p w:rsidR="00985FC5" w:rsidRPr="00D94637" w:rsidRDefault="00985FC5" w:rsidP="00D94637">
          <w:pPr>
            <w:pStyle w:val="FooterText"/>
            <w:pBdr>
              <w:top w:val="single" w:sz="4" w:space="1" w:color="auto"/>
            </w:pBdr>
            <w:spacing w:before="200"/>
            <w:rPr>
              <w:sz w:val="2"/>
              <w:szCs w:val="2"/>
            </w:rPr>
          </w:pPr>
        </w:p>
      </w:tc>
    </w:tr>
    <w:tr w:rsidR="00985FC5" w:rsidRPr="00B310DC" w:rsidTr="00985FC5">
      <w:trPr>
        <w:jc w:val="center"/>
      </w:trPr>
      <w:tc>
        <w:tcPr>
          <w:tcW w:w="2500" w:type="pct"/>
          <w:gridSpan w:val="2"/>
          <w:shd w:val="clear" w:color="auto" w:fill="auto"/>
          <w:tcMar>
            <w:top w:w="0" w:type="dxa"/>
          </w:tcMar>
        </w:tcPr>
        <w:p w:rsidR="00985FC5" w:rsidRPr="00AD7BF2" w:rsidRDefault="00985FC5" w:rsidP="004F54B2">
          <w:pPr>
            <w:pStyle w:val="FooterText"/>
          </w:pPr>
          <w:r>
            <w:t>8605/15</w:t>
          </w:r>
          <w:r w:rsidRPr="002511D8">
            <w:t xml:space="preserve"> </w:t>
          </w:r>
        </w:p>
      </w:tc>
      <w:tc>
        <w:tcPr>
          <w:tcW w:w="625" w:type="pct"/>
          <w:shd w:val="clear" w:color="auto" w:fill="auto"/>
          <w:tcMar>
            <w:top w:w="0" w:type="dxa"/>
          </w:tcMar>
        </w:tcPr>
        <w:p w:rsidR="00985FC5" w:rsidRPr="00AD7BF2" w:rsidRDefault="00985FC5" w:rsidP="00D94637">
          <w:pPr>
            <w:pStyle w:val="FooterText"/>
            <w:jc w:val="center"/>
          </w:pPr>
        </w:p>
      </w:tc>
      <w:tc>
        <w:tcPr>
          <w:tcW w:w="1287" w:type="pct"/>
          <w:gridSpan w:val="3"/>
          <w:shd w:val="clear" w:color="auto" w:fill="auto"/>
          <w:tcMar>
            <w:top w:w="0" w:type="dxa"/>
          </w:tcMar>
        </w:tcPr>
        <w:p w:rsidR="00985FC5" w:rsidRPr="002511D8" w:rsidRDefault="00985FC5" w:rsidP="00D94637">
          <w:pPr>
            <w:pStyle w:val="FooterText"/>
            <w:jc w:val="center"/>
          </w:pPr>
          <w:r>
            <w:t>vb/yp</w:t>
          </w:r>
        </w:p>
      </w:tc>
      <w:tc>
        <w:tcPr>
          <w:tcW w:w="588" w:type="pct"/>
          <w:shd w:val="clear" w:color="auto" w:fill="auto"/>
          <w:tcMar>
            <w:top w:w="0" w:type="dxa"/>
          </w:tcMar>
        </w:tcPr>
        <w:p w:rsidR="00985FC5" w:rsidRPr="00B310DC" w:rsidRDefault="00985FC5"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985FC5" w:rsidRPr="00D94637" w:rsidTr="00985FC5">
      <w:trPr>
        <w:jc w:val="center"/>
      </w:trPr>
      <w:tc>
        <w:tcPr>
          <w:tcW w:w="1774" w:type="pct"/>
          <w:shd w:val="clear" w:color="auto" w:fill="auto"/>
        </w:tcPr>
        <w:p w:rsidR="00985FC5" w:rsidRPr="00AD7BF2" w:rsidRDefault="00985FC5" w:rsidP="00D94637">
          <w:pPr>
            <w:pStyle w:val="FooterText"/>
            <w:spacing w:before="40"/>
          </w:pPr>
        </w:p>
      </w:tc>
      <w:tc>
        <w:tcPr>
          <w:tcW w:w="1455" w:type="pct"/>
          <w:gridSpan w:val="3"/>
          <w:shd w:val="clear" w:color="auto" w:fill="auto"/>
        </w:tcPr>
        <w:p w:rsidR="00985FC5" w:rsidRPr="00AD7BF2" w:rsidRDefault="00985FC5" w:rsidP="00D204D6">
          <w:pPr>
            <w:pStyle w:val="FooterText"/>
            <w:spacing w:before="40"/>
            <w:jc w:val="center"/>
          </w:pPr>
          <w:r>
            <w:t>DPG</w:t>
          </w:r>
        </w:p>
      </w:tc>
      <w:tc>
        <w:tcPr>
          <w:tcW w:w="1147" w:type="pct"/>
          <w:shd w:val="clear" w:color="auto" w:fill="auto"/>
        </w:tcPr>
        <w:p w:rsidR="00985FC5" w:rsidRPr="00D94637" w:rsidRDefault="00985FC5" w:rsidP="00D94637">
          <w:pPr>
            <w:pStyle w:val="FooterText"/>
            <w:jc w:val="right"/>
            <w:rPr>
              <w:b/>
              <w:position w:val="-4"/>
              <w:sz w:val="36"/>
            </w:rPr>
          </w:pPr>
        </w:p>
      </w:tc>
      <w:tc>
        <w:tcPr>
          <w:tcW w:w="625" w:type="pct"/>
          <w:gridSpan w:val="2"/>
          <w:shd w:val="clear" w:color="auto" w:fill="auto"/>
        </w:tcPr>
        <w:p w:rsidR="00985FC5" w:rsidRPr="00D94637" w:rsidRDefault="00985FC5" w:rsidP="00D94637">
          <w:pPr>
            <w:pStyle w:val="FooterText"/>
            <w:jc w:val="right"/>
            <w:rPr>
              <w:sz w:val="16"/>
            </w:rPr>
          </w:pPr>
          <w:r>
            <w:rPr>
              <w:b/>
              <w:position w:val="-4"/>
              <w:sz w:val="36"/>
            </w:rPr>
            <w:t>BG</w:t>
          </w:r>
        </w:p>
      </w:tc>
    </w:tr>
  </w:tbl>
  <w:p w:rsidR="00DD50E5" w:rsidRPr="00985FC5" w:rsidRDefault="00DD50E5" w:rsidP="00985FC5">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0AE" w:rsidRDefault="003240AE" w:rsidP="00DD50E5">
      <w:r>
        <w:separator/>
      </w:r>
    </w:p>
  </w:footnote>
  <w:footnote w:type="continuationSeparator" w:id="0">
    <w:p w:rsidR="003240AE" w:rsidRDefault="003240AE" w:rsidP="00DD5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FC5" w:rsidRPr="00985FC5" w:rsidRDefault="00985FC5" w:rsidP="00985F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FC5" w:rsidRPr="00985FC5" w:rsidRDefault="00985FC5" w:rsidP="00985FC5">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FC5" w:rsidRPr="00985FC5" w:rsidRDefault="00985FC5" w:rsidP="00985FC5">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1A62C8"/>
    <w:lvl w:ilvl="0">
      <w:start w:val="1"/>
      <w:numFmt w:val="decimal"/>
      <w:lvlText w:val="%1."/>
      <w:lvlJc w:val="left"/>
      <w:pPr>
        <w:tabs>
          <w:tab w:val="num" w:pos="1492"/>
        </w:tabs>
        <w:ind w:left="1492" w:hanging="360"/>
      </w:pPr>
    </w:lvl>
  </w:abstractNum>
  <w:abstractNum w:abstractNumId="1">
    <w:nsid w:val="FFFFFF7D"/>
    <w:multiLevelType w:val="singleLevel"/>
    <w:tmpl w:val="89A64520"/>
    <w:lvl w:ilvl="0">
      <w:start w:val="1"/>
      <w:numFmt w:val="decimal"/>
      <w:lvlText w:val="%1."/>
      <w:lvlJc w:val="left"/>
      <w:pPr>
        <w:tabs>
          <w:tab w:val="num" w:pos="1209"/>
        </w:tabs>
        <w:ind w:left="1209" w:hanging="360"/>
      </w:pPr>
    </w:lvl>
  </w:abstractNum>
  <w:abstractNum w:abstractNumId="2">
    <w:nsid w:val="FFFFFF7E"/>
    <w:multiLevelType w:val="singleLevel"/>
    <w:tmpl w:val="C9160A46"/>
    <w:lvl w:ilvl="0">
      <w:start w:val="1"/>
      <w:numFmt w:val="decimal"/>
      <w:lvlText w:val="%1."/>
      <w:lvlJc w:val="left"/>
      <w:pPr>
        <w:tabs>
          <w:tab w:val="num" w:pos="926"/>
        </w:tabs>
        <w:ind w:left="926" w:hanging="360"/>
      </w:pPr>
    </w:lvl>
  </w:abstractNum>
  <w:abstractNum w:abstractNumId="3">
    <w:nsid w:val="FFFFFF7F"/>
    <w:multiLevelType w:val="singleLevel"/>
    <w:tmpl w:val="F56A64EA"/>
    <w:lvl w:ilvl="0">
      <w:start w:val="1"/>
      <w:numFmt w:val="decimal"/>
      <w:lvlText w:val="%1."/>
      <w:lvlJc w:val="left"/>
      <w:pPr>
        <w:tabs>
          <w:tab w:val="num" w:pos="643"/>
        </w:tabs>
        <w:ind w:left="643" w:hanging="360"/>
      </w:pPr>
    </w:lvl>
  </w:abstractNum>
  <w:abstractNum w:abstractNumId="4">
    <w:nsid w:val="FFFFFF80"/>
    <w:multiLevelType w:val="singleLevel"/>
    <w:tmpl w:val="93C6B3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7252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FE5D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56C8D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3EDBD4"/>
    <w:lvl w:ilvl="0">
      <w:start w:val="1"/>
      <w:numFmt w:val="decimal"/>
      <w:lvlText w:val="%1."/>
      <w:lvlJc w:val="left"/>
      <w:pPr>
        <w:tabs>
          <w:tab w:val="num" w:pos="360"/>
        </w:tabs>
        <w:ind w:left="360" w:hanging="360"/>
      </w:pPr>
    </w:lvl>
  </w:abstractNum>
  <w:abstractNum w:abstractNumId="9">
    <w:nsid w:val="FFFFFF89"/>
    <w:multiLevelType w:val="singleLevel"/>
    <w:tmpl w:val="FED03918"/>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2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1"/>
  </w:num>
  <w:num w:numId="2">
    <w:abstractNumId w:val="27"/>
  </w:num>
  <w:num w:numId="3">
    <w:abstractNumId w:val="15"/>
  </w:num>
  <w:num w:numId="4">
    <w:abstractNumId w:val="23"/>
  </w:num>
  <w:num w:numId="5">
    <w:abstractNumId w:val="13"/>
  </w:num>
  <w:num w:numId="6">
    <w:abstractNumId w:val="28"/>
  </w:num>
  <w:num w:numId="7">
    <w:abstractNumId w:val="20"/>
  </w:num>
  <w:num w:numId="8">
    <w:abstractNumId w:val="22"/>
  </w:num>
  <w:num w:numId="9">
    <w:abstractNumId w:val="24"/>
  </w:num>
  <w:num w:numId="10">
    <w:abstractNumId w:val="19"/>
  </w:num>
  <w:num w:numId="11">
    <w:abstractNumId w:val="11"/>
  </w:num>
  <w:num w:numId="12">
    <w:abstractNumId w:val="25"/>
  </w:num>
  <w:num w:numId="13">
    <w:abstractNumId w:val="18"/>
  </w:num>
  <w:num w:numId="14">
    <w:abstractNumId w:val="14"/>
  </w:num>
  <w:num w:numId="15">
    <w:abstractNumId w:val="26"/>
  </w:num>
  <w:num w:numId="16">
    <w:abstractNumId w:val="16"/>
  </w:num>
  <w:num w:numId="17">
    <w:abstractNumId w:val="10"/>
  </w:num>
  <w:num w:numId="18">
    <w:abstractNumId w:val="12"/>
  </w:num>
  <w:num w:numId="19">
    <w:abstractNumId w:val="17"/>
  </w:num>
  <w:num w:numId="20">
    <w:abstractNumId w:val="27"/>
    <w:lvlOverride w:ilvl="0">
      <w:startOverride w:val="1"/>
    </w:lvlOverride>
  </w:num>
  <w:num w:numId="21">
    <w:abstractNumId w:val="15"/>
    <w:lvlOverride w:ilvl="0">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hdrShapeDefaults>
    <o:shapedefaults v:ext="edit" spidmax="81921"/>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5124ffdc-23e7-4e48-b176-f7786328cbc4&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2&quot; text=&quot;&amp;#1055;&amp;#1056;&amp;#1045;&amp;#1044;&amp;#1042;&amp;#1040;&amp;#1056;&amp;#1048;&amp;#1058;&amp;#1045;&amp;#1051;&amp;#1045;&amp;#1053; &amp;#1044;&amp;#1053;&amp;#1045;&amp;#1042;&amp;#1045;&amp;#1053; &amp;#1056;&amp;#1045;&amp;#1044;&quot; /&gt;_x000d__x000a_    &lt;/basicdatatype&gt;_x000d__x000a_  &lt;/metadata&gt;_x000d__x000a_  &lt;metadata key=&quot;md_HeadingText&quot; translate=&quot;false&quot;&gt;_x000d__x000a_    &lt;headingtext text=&quot;&amp;#1055;&amp;#1056;&amp;#1045;&amp;#1044;&amp;#1042;&amp;#1040;&amp;#1056;&amp;#1048;&amp;#1058;&amp;#1045;&amp;#1051;&amp;#1045;&amp;#1053; &amp;#1044;&amp;#1053;&amp;#1045;&amp;#1042;&amp;#1045;&amp;#1053; &amp;#1056;&amp;#1045;&amp;#1044;&quot;&gt;_x000d__x000a_      &lt;formattedtext&gt;_x000d__x000a_        &lt;xaml text=&quot;&amp;#1055;&amp;#1056;&amp;#1045;&amp;#1044;&amp;#1042;&amp;#1040;&amp;#1056;&amp;#1048;&amp;#1058;&amp;#1045;&amp;#1051;&amp;#1045;&amp;#1053; &amp;#1044;&amp;#1053;&amp;#1045;&amp;#1042;&amp;#1045;&amp;#1053; &amp;#1056;&amp;#1045;&amp;#1044;&quot;&gt;&amp;lt;FlowDocument xmlns=&quot;http://schemas.microsoft.com/winfx/2006/xaml/presentation&quot;&amp;gt;&amp;lt;Paragraph&amp;gt;&amp;#1055;&amp;#1056;&amp;#1045;&amp;#1044;&amp;#1042;&amp;#1040;&amp;#1056;&amp;#1048;&amp;#1058;&amp;#1045;&amp;#1051;&amp;#1045;&amp;#1053; &amp;#1044;&amp;#1053;&amp;#1045;&amp;#1042;&amp;#1045;&amp;#1053; &amp;#1056;&amp;#1045;&amp;#1044;&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05-12&lt;/text&gt;_x000d__x000a_  &lt;/metadata&gt;_x000d__x000a_  &lt;metadata key=&quot;md_Prefix&quot; translate=&quot;false&quot;&gt;_x000d__x000a_    &lt;text&gt;&lt;/text&gt;_x000d__x000a_  &lt;/metadata&gt;_x000d__x000a_  &lt;metadata key=&quot;md_DocumentNumber&quot; translate=&quot;false&quot;&gt;_x000d__x000a_    &lt;text&gt;8605&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 CONS 25&lt;/text&gt;_x000d__x000a_      &lt;text&gt;EDUC 120&lt;/text&gt;_x000d__x000a_      &lt;text&gt;JEUN 39&lt;/text&gt;_x000d__x000a_      &lt;text&gt;CULT 28&lt;/text&gt;_x000d__x000a_      &lt;text&gt;AUDIO 12&lt;/text&gt;_x000d__x000a_      &lt;text&gt;SPORT 16&lt;/text&gt;_x000d__x000a_    &lt;/textlist&gt;_x000d__x000a_  &lt;/metadata&gt;_x000d__x000a_  &lt;metadata key=&quot;md_Contact&quot; translate=&quot;false&quot;&gt;_x000d__x000a_    &lt;text&gt;&lt;/text&gt;_x000d__x000a_  &lt;/metadata&gt;_x000d__x000a_  &lt;metadata key=&quot;md_ContactPhoneFax&quot; translate=&quot;false&quot;&gt;_x000d__x000a_    &lt;text&gt;&lt;/text&gt;_x000d__x000a_  &lt;/metadata&gt;_x000d__x000a_  &lt;metadata key=&quot;md_MeetingVenue&quot; translate=&quot;fals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 translate=&quot;false&quot;&gt;_x000d__x000a_    &lt;presidents /&gt;_x000d__x000a_  &lt;/metadata&gt;_x000d__x000a_  &lt;metadata key=&quot;md_MeetingNumber&quot; translate=&quot;false&quot;&gt;_x000d__x000a_    &lt;text&gt;&lt;/text&gt;_x000d__x000a_  &lt;/metadata&gt;_x000d__x000a_  &lt;metadata key=&quot;md_CouncilConfiguration&quot; translate=&quot;false&quot;&gt;_x000d__x000a_    &lt;basicdatatype&gt;_x000d__x000a_      &lt;configuration key=&quo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translate=&quot;false&quot;&gt;_x000d__x000a_    &lt;text&gt;&lt;/text&gt;_x000d__x000a_  &lt;/metadata&gt;_x000d__x000a_  &lt;metadata key=&quot;md_EPQuestionsData&quot; /&gt;_x000d__x000a_  &lt;metadata key=&quot;md_Deadline&quot; translate=&quot;false&quot;&gt;_x000d__x000a_    &lt;textlist /&gt;_x000d__x000a_  &lt;/metadata&gt;_x000d__x000a_  &lt;metadata key=&quot;md_InterinstitutionalFiles&quot; translate=&quot;false&quot;&gt;_x000d__x000a_    &lt;textlist /&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translate=&quot;false&quot;&gt;_x000d__x000a_    &lt;text&gt;&lt;/text&gt;_x000d__x000a_  &lt;/metadata&gt;_x000d__x000a_  &lt;metadata key=&quot;md_Distribution_NewClassification&quot; translate=&quot;false&quot;&gt;_x000d__x000a_    &lt;text&gt;&lt;/text&gt;_x000d__x000a_  &lt;/metadata&gt;_x000d__x000a_  &lt;metadata key=&quot;md_DWNDCLAuthorization&quot; translate=&quot;false&quot;&gt;_x000d__x000a_    &lt;text&gt;&lt;/text&gt;_x000d__x000a_  &lt;/metadata&gt;_x000d__x000a_  &lt;metadata key=&quot;md_DateOfAuthorization&quot; translate=&quot;false&quot;&gt;_x000d__x000a_    &lt;text&gt;&lt;/text&gt;_x000d__x000a_  &lt;/metadata&gt;_x000d__x000a_  &lt;metadata key=&quot;md_MeetingLocation&quot; translate=&quot;false&quot;&gt;_x000d__x000a_    &lt;basicdatatype&gt;_x000d__x000a_      &lt;location key=&quot;&quot; /&gt;_x000d__x000a_    &lt;/basicdatatype&gt;_x000d__x000a_  &lt;/metadata&gt;_x000d__x000a_  &lt;metadata key=&quot;md_MeetingDate&quot; translate=&quot;false&quot;&gt;_x000d__x000a_    &lt;textlist /&gt;_x000d__x000a_  &lt;/metadata&gt;_x000d__x000a_  &lt;metadata key=&quot;md_MeetingInformation&quot; translate=&quot;false&quot;&gt;_x000d__x000a_    &lt;text&gt;&lt;/text&gt;_x000d__x000a_  &lt;/metadata&gt;_x000d__x000a_  &lt;metadata key=&quot;md_Item&quot; translate=&quot;false&quot;&gt;_x000d__x000a_    &lt;text&gt;&lt;/text&gt;_x000d__x000a_  &lt;/metadata&gt;_x000d__x000a_  &lt;metadata key=&quot;md_Subject&quot;&gt;_x000d__x000a_    &lt;xaml text=&quot;3388-&amp;#1086; &amp;#1079;&amp;#1072;&amp;#1089;&amp;#1077;&amp;#1076;&amp;#1072;&amp;#1085;&amp;#1080;&amp;#1077; &amp;#1085;&amp;#1072; &amp;#1057;&amp;#1066;&amp;#1042;&amp;#1045;&amp;#1058;&amp;#1040; &amp;#1053;&amp;#1040; &amp;#1045;&amp;#1042;&amp;#1056;&amp;#1054;&amp;#1055;&amp;#1045;&amp;#1049;&amp;#1057;&amp;#1050;&amp;#1048;&amp;#1071; &amp;#1057;&amp;#1066;&amp;#1070;&amp;#1047; (&amp;#1054;&amp;#1073;&amp;#1088;&amp;#1072;&amp;#1079;&amp;#1086;&amp;#1074;&amp;#1072;&amp;#1085;&amp;#1080;&amp;#1077;, &amp;#1084;&amp;#1083;&amp;#1072;&amp;#1076;&amp;#1077;&amp;#1078;, &amp;#1082;&amp;#1091;&amp;#1083;&amp;#1090;&amp;#1091;&amp;#1088;&amp;#1072; &amp;#1080; &amp;#1089;&amp;#1087;&amp;#1086;&amp;#1088;&amp;#1090;)&quot;&gt;&amp;lt;FlowDocument FontFamily=&quot;Arial Unicode MS&quot; FontSize=&quot;12&quot; PageWidth=&quot;377&quot; PagePadding=&quot;5,0,5,0&quot; AllowDrop=&quot;False&quot; xmlns=&quot;http://schemas.microsoft.com/winfx/2006/xaml/presentation&quot; xmlns:x=&quot;http://schemas.microsoft.com/winfx/2006/xaml&quot;&amp;gt;&amp;lt;Paragraph&amp;gt;&amp;lt;Run xml:lang=&quot;en-gb&quot; xml:space=&quot;preserve&quot;&amp;gt;3388-&amp;#1086; &amp;lt;/Run&amp;gt;&amp;#1079;&amp;#1072;&amp;#1089;&amp;#1077;&amp;#1076;&amp;#1072;&amp;#1085;&amp;#1080;&amp;#1077; &amp;#1085;&amp;#1072; &amp;#1057;&amp;#1066;&amp;#1042;&amp;#1045;&amp;#1058;&amp;#1040; &amp;#1053;&amp;#1040; &amp;#1045;&amp;#1042;&amp;#1056;&amp;#1054;&amp;#1055;&amp;#1045;&amp;#1049;&amp;#1057;&amp;#1050;&amp;#1048;&amp;#1071; &amp;#1057;&amp;#1066;&amp;#1070;&amp;#1047;&amp;lt;LineBreak /&amp;gt;(&amp;#1054;&amp;#1073;&amp;#1088;&amp;#1072;&amp;#1079;&amp;#1086;&amp;#1074;&amp;#1072;&amp;#1085;&amp;#1080;&amp;#1077;, &amp;#1084;&amp;#1083;&amp;#1072;&amp;#1076;&amp;#1077;&amp;#1078;, &amp;#1082;&amp;#1091;&amp;#1083;&amp;#1090;&amp;#1091;&amp;#1088;&amp;#1072; &amp;#1080; &amp;#1089;&amp;#1087;&amp;#1086;&amp;#1088;&amp;#1090;)&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vb/yp&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lt;/text&gt;_x000d__x000a_  &lt;/metadata&gt;_x000d__x000a_  &lt;metadata key=&quot;md_NB2&quot; translate=&quot;false&quot;&gt;_x000d__x000a_    &lt;text&gt;&lt;/text&gt;_x000d__x000a_  &lt;/metadata&gt;_x000d__x000a_  &lt;metadata key=&quot;md_NB3&quot; translate=&quot;false&quot;&gt;_x000d__x000a_    &lt;text&gt;&lt;/text&gt;_x000d__x000a_  &lt;/metadata&gt;_x000d__x000a_  &lt;metadata key=&quot;md_Meetings&quot; translate=&quot;false&quot;&gt;_x000d__x000a_    &lt;meetings&gt;_x000d__x000a_      &lt;meeting date=&quot;2015-05-18T10:00:00&quot;&gt;_x000d__x000a_        &lt;meetingvenue&gt;_x000d__x000a_          &lt;basicdatatype&gt;_x000d__x000a_            &lt;meetingvenue key=&quot;mw_04&quot; text=&quot;&amp;#1041;&amp;#1088;&amp;#1102;&amp;#1082;&amp;#1089;&amp;#1077;&amp;#1083;&quot; /&gt;_x000d__x000a_          &lt;/basicdatatype&gt;_x000d__x000a_        &lt;/meetingvenue&gt;_x000d__x000a_      &lt;/meeting&gt;_x000d__x000a_      &lt;meeting date=&quot;2015-05-19T10:00:00&quot;&gt;_x000d__x000a_        &lt;meetingvenue&gt;_x000d__x000a_          &lt;basicdatatype&gt;_x000d__x000a_            &lt;meetingvenue key=&quot;mw_04&quot; text=&quot;&amp;#1041;&amp;#1088;&amp;#1102;&amp;#1082;&amp;#1089;&amp;#1077;&amp;#1083;&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5.1&quot; technicalblockguid=&quot;d19c35d4-6707-442f-b577-f20a69580ae0&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4-30&lt;/text&gt;_x000d__x000a_  &lt;/metadata&gt;_x000d__x000a_  &lt;metadata key=&quot;md_Prefix&quot;&gt;_x000d__x000a_    &lt;text&gt;CM&lt;/text&gt;_x000d__x000a_  &lt;/metadata&gt;_x000d__x000a_  &lt;metadata key=&quot;md_DocumentNumber&quot;&gt;_x000d__x000a_    &lt;text&gt;2398&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lt;/text&gt;_x000d__x000a_      &lt;text&gt;EDUC&lt;/text&gt;_x000d__x000a_      &lt;text&gt;JEUN&lt;/text&gt;_x000d__x000a_      &lt;text&gt;CULT&lt;/text&gt;_x000d__x000a_      &lt;text&gt;SPORT&lt;/text&gt;_x000d__x000a_    &lt;/textlist&gt;_x000d__x000a_  &lt;/metadata&gt;_x000d__x000a_  &lt;metadata key=&quot;md_Contact&quot;&gt;_x000d__x000a_    &lt;text&gt;coreper.1@consilium.europa.eu&lt;/text&gt;_x000d__x000a_  &lt;/metadata&gt;_x000d__x000a_  &lt;metadata key=&quot;md_ContactPhoneFax&quot;&gt;_x000d__x000a_    &lt;text&gt;0032.2.2816167/8100&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88th meeting of the COUNCIL OF THE EUROPEAN UNION (Education, Youth, Culture and Sport)&quot;&gt;&amp;lt;FlowDocument FontFamily=&quot;Times New Roman&quot; FontSize=&quot;16&quot; PageWidth=&quot;377&quot; PagePadding=&quot;0,0,0,0&quot; AllowDrop=&quot;False&quot; xmlns=&quot;http://schemas.microsoft.com/winfx/2006/xaml/presentation&quot; xmlns:x=&quot;http://schemas.microsoft.com/winfx/2006/xaml&quot;&amp;gt;&amp;lt;Paragraph&amp;gt;&amp;lt;Run xml:lang=&quot;en-gb&quot; xml:space=&quot;preserve&quot;&amp;gt;3388th &amp;lt;/Run&amp;gt;meeting of the COUNCIL OF THE EUROPEAN UNION&amp;lt;LineBreak /&amp;gt;(Education, Youth, Culture and Spor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05-18T10:0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 date=&quot;2015-05-19T10:0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DD50E5"/>
    <w:rsid w:val="00005B56"/>
    <w:rsid w:val="00010242"/>
    <w:rsid w:val="00010C1D"/>
    <w:rsid w:val="00051EFF"/>
    <w:rsid w:val="00084329"/>
    <w:rsid w:val="0009656C"/>
    <w:rsid w:val="000F1DF7"/>
    <w:rsid w:val="00106F03"/>
    <w:rsid w:val="001205CE"/>
    <w:rsid w:val="00123A3D"/>
    <w:rsid w:val="0013030E"/>
    <w:rsid w:val="00131FE6"/>
    <w:rsid w:val="00140905"/>
    <w:rsid w:val="001610E6"/>
    <w:rsid w:val="00165755"/>
    <w:rsid w:val="001719F9"/>
    <w:rsid w:val="00172AFA"/>
    <w:rsid w:val="00182F2F"/>
    <w:rsid w:val="00184393"/>
    <w:rsid w:val="00186533"/>
    <w:rsid w:val="001977B7"/>
    <w:rsid w:val="001C01B9"/>
    <w:rsid w:val="001D7F9D"/>
    <w:rsid w:val="001E3BDD"/>
    <w:rsid w:val="001E7C03"/>
    <w:rsid w:val="001F543A"/>
    <w:rsid w:val="001F7E23"/>
    <w:rsid w:val="00203CC3"/>
    <w:rsid w:val="002567E7"/>
    <w:rsid w:val="002A1695"/>
    <w:rsid w:val="002A2AE8"/>
    <w:rsid w:val="002D7504"/>
    <w:rsid w:val="002E5539"/>
    <w:rsid w:val="003200EA"/>
    <w:rsid w:val="00323D38"/>
    <w:rsid w:val="003240AE"/>
    <w:rsid w:val="00324D65"/>
    <w:rsid w:val="003310F5"/>
    <w:rsid w:val="003721A2"/>
    <w:rsid w:val="003728F9"/>
    <w:rsid w:val="003A2A74"/>
    <w:rsid w:val="003C6E8B"/>
    <w:rsid w:val="003E658C"/>
    <w:rsid w:val="004140F5"/>
    <w:rsid w:val="004145DD"/>
    <w:rsid w:val="0042017A"/>
    <w:rsid w:val="004278AD"/>
    <w:rsid w:val="00433F88"/>
    <w:rsid w:val="004361AA"/>
    <w:rsid w:val="00444E23"/>
    <w:rsid w:val="004760AE"/>
    <w:rsid w:val="0047698E"/>
    <w:rsid w:val="004B5D6E"/>
    <w:rsid w:val="004F16EF"/>
    <w:rsid w:val="005157F5"/>
    <w:rsid w:val="00531DE4"/>
    <w:rsid w:val="005A4AD8"/>
    <w:rsid w:val="005A5480"/>
    <w:rsid w:val="005B08DA"/>
    <w:rsid w:val="005C0D2F"/>
    <w:rsid w:val="00632022"/>
    <w:rsid w:val="0063379B"/>
    <w:rsid w:val="006625D5"/>
    <w:rsid w:val="00674599"/>
    <w:rsid w:val="00694A4C"/>
    <w:rsid w:val="006A38C5"/>
    <w:rsid w:val="006B59C2"/>
    <w:rsid w:val="006C1AD4"/>
    <w:rsid w:val="006D002F"/>
    <w:rsid w:val="006D3CF1"/>
    <w:rsid w:val="006E2791"/>
    <w:rsid w:val="006E33E2"/>
    <w:rsid w:val="006F3877"/>
    <w:rsid w:val="006F4741"/>
    <w:rsid w:val="00731043"/>
    <w:rsid w:val="0075756A"/>
    <w:rsid w:val="007A13AC"/>
    <w:rsid w:val="007C6589"/>
    <w:rsid w:val="007D6510"/>
    <w:rsid w:val="00825503"/>
    <w:rsid w:val="008826F8"/>
    <w:rsid w:val="00897626"/>
    <w:rsid w:val="008B686E"/>
    <w:rsid w:val="008C5CA9"/>
    <w:rsid w:val="008D01ED"/>
    <w:rsid w:val="008F1593"/>
    <w:rsid w:val="0091098A"/>
    <w:rsid w:val="009827E8"/>
    <w:rsid w:val="00985FC5"/>
    <w:rsid w:val="009A1E45"/>
    <w:rsid w:val="00A16683"/>
    <w:rsid w:val="00A21E0E"/>
    <w:rsid w:val="00A42C27"/>
    <w:rsid w:val="00A469D7"/>
    <w:rsid w:val="00A7224F"/>
    <w:rsid w:val="00A92322"/>
    <w:rsid w:val="00AD7FA5"/>
    <w:rsid w:val="00B0146A"/>
    <w:rsid w:val="00B02099"/>
    <w:rsid w:val="00B35B8B"/>
    <w:rsid w:val="00B46B2C"/>
    <w:rsid w:val="00B55B28"/>
    <w:rsid w:val="00B636BE"/>
    <w:rsid w:val="00B72CB2"/>
    <w:rsid w:val="00B93886"/>
    <w:rsid w:val="00BB216F"/>
    <w:rsid w:val="00BB6242"/>
    <w:rsid w:val="00BE1373"/>
    <w:rsid w:val="00BE2296"/>
    <w:rsid w:val="00C06AE3"/>
    <w:rsid w:val="00C10073"/>
    <w:rsid w:val="00C15693"/>
    <w:rsid w:val="00C20DFA"/>
    <w:rsid w:val="00C37FE1"/>
    <w:rsid w:val="00C44136"/>
    <w:rsid w:val="00C54582"/>
    <w:rsid w:val="00C6571D"/>
    <w:rsid w:val="00C75EDC"/>
    <w:rsid w:val="00C77C8B"/>
    <w:rsid w:val="00CD6A17"/>
    <w:rsid w:val="00CE3777"/>
    <w:rsid w:val="00D00284"/>
    <w:rsid w:val="00D13BA9"/>
    <w:rsid w:val="00D451E4"/>
    <w:rsid w:val="00D82B0B"/>
    <w:rsid w:val="00DD3EC6"/>
    <w:rsid w:val="00DD50E5"/>
    <w:rsid w:val="00E0209F"/>
    <w:rsid w:val="00E03149"/>
    <w:rsid w:val="00E13D0F"/>
    <w:rsid w:val="00E216EE"/>
    <w:rsid w:val="00E36B3A"/>
    <w:rsid w:val="00E52B7C"/>
    <w:rsid w:val="00E85E28"/>
    <w:rsid w:val="00EB367A"/>
    <w:rsid w:val="00EE08A3"/>
    <w:rsid w:val="00EE1AB3"/>
    <w:rsid w:val="00EF4652"/>
    <w:rsid w:val="00F01256"/>
    <w:rsid w:val="00F02763"/>
    <w:rsid w:val="00F21853"/>
    <w:rsid w:val="00F70D93"/>
    <w:rsid w:val="00FA777B"/>
    <w:rsid w:val="00FB6537"/>
    <w:rsid w:val="00FC3C36"/>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109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09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98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09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D50E5"/>
    <w:pPr>
      <w:spacing w:after="440"/>
      <w:ind w:left="-1134" w:right="-1134"/>
    </w:pPr>
    <w:rPr>
      <w:sz w:val="2"/>
    </w:rPr>
  </w:style>
  <w:style w:type="character" w:customStyle="1" w:styleId="TechnicalBlockChar">
    <w:name w:val="Technical Block Char"/>
    <w:basedOn w:val="DefaultParagraphFont"/>
    <w:rsid w:val="00DD50E5"/>
    <w:rPr>
      <w:sz w:val="24"/>
      <w:szCs w:val="24"/>
      <w:lang w:val="bg-BG" w:eastAsia="bg-BG"/>
    </w:rPr>
  </w:style>
  <w:style w:type="character" w:customStyle="1" w:styleId="HeaderCouncilLargeChar">
    <w:name w:val="Header Council Large Char"/>
    <w:basedOn w:val="TechnicalBlockChar"/>
    <w:link w:val="HeaderCouncilLarge"/>
    <w:rsid w:val="00DD50E5"/>
    <w:rPr>
      <w:sz w:val="2"/>
      <w:szCs w:val="24"/>
      <w:lang w:val="bg-BG" w:eastAsia="bg-BG"/>
    </w:rPr>
  </w:style>
  <w:style w:type="paragraph" w:customStyle="1" w:styleId="FooterText">
    <w:name w:val="Footer Text"/>
    <w:basedOn w:val="Normal"/>
    <w:rsid w:val="00DD50E5"/>
  </w:style>
  <w:style w:type="character" w:customStyle="1" w:styleId="Text1Char">
    <w:name w:val="Text 1 Char"/>
    <w:rsid w:val="006F3877"/>
    <w:rPr>
      <w:sz w:val="24"/>
      <w:szCs w:val="24"/>
      <w:lang w:val="bg-B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8D01ED"/>
    <w:rPr>
      <w:lang w:val="bg-BG" w:eastAsia="bg-BG"/>
    </w:rPr>
  </w:style>
  <w:style w:type="paragraph" w:styleId="CommentSubject">
    <w:name w:val="annotation subject"/>
    <w:basedOn w:val="CommentText"/>
    <w:next w:val="CommentText"/>
    <w:link w:val="CommentSubjectChar"/>
    <w:uiPriority w:val="99"/>
    <w:semiHidden/>
    <w:unhideWhenUsed/>
    <w:rsid w:val="008D01ED"/>
    <w:rPr>
      <w:b/>
      <w:bCs/>
    </w:rPr>
  </w:style>
  <w:style w:type="character" w:customStyle="1" w:styleId="CommentSubjectChar">
    <w:name w:val="Comment Subject Char"/>
    <w:basedOn w:val="CommentTextChar"/>
    <w:link w:val="CommentSubject"/>
    <w:uiPriority w:val="99"/>
    <w:semiHidden/>
    <w:rsid w:val="008D01ED"/>
    <w:rPr>
      <w:b/>
      <w:bCs/>
      <w:lang w:val="bg-BG" w:eastAsia="bg-BG"/>
    </w:rPr>
  </w:style>
  <w:style w:type="character" w:styleId="Hyperlink">
    <w:name w:val="Hyperlink"/>
    <w:basedOn w:val="DefaultParagraphFont"/>
    <w:uiPriority w:val="99"/>
    <w:unhideWhenUsed/>
    <w:rsid w:val="008D01ED"/>
    <w:rPr>
      <w:color w:val="0000FF" w:themeColor="hyperlink"/>
      <w:u w:val="single"/>
    </w:rPr>
  </w:style>
  <w:style w:type="paragraph" w:styleId="BalloonText">
    <w:name w:val="Balloon Text"/>
    <w:basedOn w:val="Normal"/>
    <w:link w:val="BalloonTextChar"/>
    <w:uiPriority w:val="99"/>
    <w:semiHidden/>
    <w:unhideWhenUsed/>
    <w:rsid w:val="00184393"/>
    <w:rPr>
      <w:rFonts w:ascii="Tahoma" w:hAnsi="Tahoma" w:cs="Tahoma"/>
      <w:sz w:val="16"/>
      <w:szCs w:val="16"/>
    </w:rPr>
  </w:style>
  <w:style w:type="character" w:customStyle="1" w:styleId="BalloonTextChar">
    <w:name w:val="Balloon Text Char"/>
    <w:basedOn w:val="DefaultParagraphFont"/>
    <w:link w:val="BalloonText"/>
    <w:uiPriority w:val="99"/>
    <w:semiHidden/>
    <w:rsid w:val="00184393"/>
    <w:rPr>
      <w:rFonts w:ascii="Tahoma" w:hAnsi="Tahoma" w:cs="Tahoma"/>
      <w:sz w:val="16"/>
      <w:szCs w:val="16"/>
      <w:lang w:val="bg-BG" w:eastAsia="bg-BG"/>
    </w:rPr>
  </w:style>
  <w:style w:type="character" w:customStyle="1" w:styleId="Heading1Char">
    <w:name w:val="Heading 1 Char"/>
    <w:basedOn w:val="DefaultParagraphFont"/>
    <w:link w:val="Heading1"/>
    <w:uiPriority w:val="9"/>
    <w:rsid w:val="0091098A"/>
    <w:rPr>
      <w:rFonts w:asciiTheme="majorHAnsi" w:eastAsiaTheme="majorEastAsia" w:hAnsiTheme="majorHAnsi" w:cstheme="majorBidi"/>
      <w:b/>
      <w:bCs/>
      <w:color w:val="365F91" w:themeColor="accent1" w:themeShade="BF"/>
      <w:sz w:val="28"/>
      <w:szCs w:val="28"/>
      <w:lang w:val="bg-BG" w:eastAsia="bg-BG"/>
    </w:rPr>
  </w:style>
  <w:style w:type="character" w:customStyle="1" w:styleId="Heading2Char">
    <w:name w:val="Heading 2 Char"/>
    <w:basedOn w:val="DefaultParagraphFont"/>
    <w:link w:val="Heading2"/>
    <w:uiPriority w:val="9"/>
    <w:semiHidden/>
    <w:rsid w:val="0091098A"/>
    <w:rPr>
      <w:rFonts w:asciiTheme="majorHAnsi" w:eastAsiaTheme="majorEastAsia" w:hAnsiTheme="majorHAnsi" w:cstheme="majorBidi"/>
      <w:b/>
      <w:bCs/>
      <w:color w:val="4F81BD" w:themeColor="accent1"/>
      <w:sz w:val="26"/>
      <w:szCs w:val="26"/>
      <w:lang w:val="bg-BG" w:eastAsia="bg-BG"/>
    </w:rPr>
  </w:style>
  <w:style w:type="character" w:customStyle="1" w:styleId="Heading3Char">
    <w:name w:val="Heading 3 Char"/>
    <w:basedOn w:val="DefaultParagraphFont"/>
    <w:link w:val="Heading3"/>
    <w:uiPriority w:val="9"/>
    <w:semiHidden/>
    <w:rsid w:val="0091098A"/>
    <w:rPr>
      <w:rFonts w:asciiTheme="majorHAnsi" w:eastAsiaTheme="majorEastAsia" w:hAnsiTheme="majorHAnsi" w:cstheme="majorBidi"/>
      <w:b/>
      <w:bCs/>
      <w:color w:val="4F81BD" w:themeColor="accent1"/>
      <w:sz w:val="24"/>
      <w:szCs w:val="24"/>
      <w:lang w:val="bg-BG" w:eastAsia="bg-BG"/>
    </w:rPr>
  </w:style>
  <w:style w:type="character" w:customStyle="1" w:styleId="Heading4Char">
    <w:name w:val="Heading 4 Char"/>
    <w:basedOn w:val="DefaultParagraphFont"/>
    <w:link w:val="Heading4"/>
    <w:uiPriority w:val="9"/>
    <w:semiHidden/>
    <w:rsid w:val="0091098A"/>
    <w:rPr>
      <w:rFonts w:asciiTheme="majorHAnsi" w:eastAsiaTheme="majorEastAsia" w:hAnsiTheme="majorHAnsi" w:cstheme="majorBidi"/>
      <w:b/>
      <w:bCs/>
      <w:i/>
      <w:iCs/>
      <w:color w:val="4F81BD" w:themeColor="accent1"/>
      <w:sz w:val="24"/>
      <w:szCs w:val="24"/>
      <w:lang w:val="bg-BG" w:eastAsia="bg-BG"/>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985FC5"/>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109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09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98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09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D50E5"/>
    <w:pPr>
      <w:spacing w:after="440"/>
      <w:ind w:left="-1134" w:right="-1134"/>
    </w:pPr>
    <w:rPr>
      <w:sz w:val="2"/>
    </w:rPr>
  </w:style>
  <w:style w:type="character" w:customStyle="1" w:styleId="TechnicalBlockChar">
    <w:name w:val="Technical Block Char"/>
    <w:basedOn w:val="DefaultParagraphFont"/>
    <w:rsid w:val="00DD50E5"/>
    <w:rPr>
      <w:sz w:val="24"/>
      <w:szCs w:val="24"/>
      <w:lang w:val="bg-BG" w:eastAsia="bg-BG"/>
    </w:rPr>
  </w:style>
  <w:style w:type="character" w:customStyle="1" w:styleId="HeaderCouncilLargeChar">
    <w:name w:val="Header Council Large Char"/>
    <w:basedOn w:val="TechnicalBlockChar"/>
    <w:link w:val="HeaderCouncilLarge"/>
    <w:rsid w:val="00DD50E5"/>
    <w:rPr>
      <w:sz w:val="2"/>
      <w:szCs w:val="24"/>
      <w:lang w:val="bg-BG" w:eastAsia="bg-BG"/>
    </w:rPr>
  </w:style>
  <w:style w:type="paragraph" w:customStyle="1" w:styleId="FooterText">
    <w:name w:val="Footer Text"/>
    <w:basedOn w:val="Normal"/>
    <w:rsid w:val="00DD50E5"/>
  </w:style>
  <w:style w:type="character" w:customStyle="1" w:styleId="Text1Char">
    <w:name w:val="Text 1 Char"/>
    <w:rsid w:val="006F3877"/>
    <w:rPr>
      <w:sz w:val="24"/>
      <w:szCs w:val="24"/>
      <w:lang w:val="bg-B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8D01ED"/>
    <w:rPr>
      <w:lang w:val="bg-BG" w:eastAsia="bg-BG"/>
    </w:rPr>
  </w:style>
  <w:style w:type="paragraph" w:styleId="CommentSubject">
    <w:name w:val="annotation subject"/>
    <w:basedOn w:val="CommentText"/>
    <w:next w:val="CommentText"/>
    <w:link w:val="CommentSubjectChar"/>
    <w:uiPriority w:val="99"/>
    <w:semiHidden/>
    <w:unhideWhenUsed/>
    <w:rsid w:val="008D01ED"/>
    <w:rPr>
      <w:b/>
      <w:bCs/>
    </w:rPr>
  </w:style>
  <w:style w:type="character" w:customStyle="1" w:styleId="CommentSubjectChar">
    <w:name w:val="Comment Subject Char"/>
    <w:basedOn w:val="CommentTextChar"/>
    <w:link w:val="CommentSubject"/>
    <w:uiPriority w:val="99"/>
    <w:semiHidden/>
    <w:rsid w:val="008D01ED"/>
    <w:rPr>
      <w:b/>
      <w:bCs/>
      <w:lang w:val="bg-BG" w:eastAsia="bg-BG"/>
    </w:rPr>
  </w:style>
  <w:style w:type="character" w:styleId="Hyperlink">
    <w:name w:val="Hyperlink"/>
    <w:basedOn w:val="DefaultParagraphFont"/>
    <w:uiPriority w:val="99"/>
    <w:unhideWhenUsed/>
    <w:rsid w:val="008D01ED"/>
    <w:rPr>
      <w:color w:val="0000FF" w:themeColor="hyperlink"/>
      <w:u w:val="single"/>
    </w:rPr>
  </w:style>
  <w:style w:type="paragraph" w:styleId="BalloonText">
    <w:name w:val="Balloon Text"/>
    <w:basedOn w:val="Normal"/>
    <w:link w:val="BalloonTextChar"/>
    <w:uiPriority w:val="99"/>
    <w:semiHidden/>
    <w:unhideWhenUsed/>
    <w:rsid w:val="00184393"/>
    <w:rPr>
      <w:rFonts w:ascii="Tahoma" w:hAnsi="Tahoma" w:cs="Tahoma"/>
      <w:sz w:val="16"/>
      <w:szCs w:val="16"/>
    </w:rPr>
  </w:style>
  <w:style w:type="character" w:customStyle="1" w:styleId="BalloonTextChar">
    <w:name w:val="Balloon Text Char"/>
    <w:basedOn w:val="DefaultParagraphFont"/>
    <w:link w:val="BalloonText"/>
    <w:uiPriority w:val="99"/>
    <w:semiHidden/>
    <w:rsid w:val="00184393"/>
    <w:rPr>
      <w:rFonts w:ascii="Tahoma" w:hAnsi="Tahoma" w:cs="Tahoma"/>
      <w:sz w:val="16"/>
      <w:szCs w:val="16"/>
      <w:lang w:val="bg-BG" w:eastAsia="bg-BG"/>
    </w:rPr>
  </w:style>
  <w:style w:type="character" w:customStyle="1" w:styleId="Heading1Char">
    <w:name w:val="Heading 1 Char"/>
    <w:basedOn w:val="DefaultParagraphFont"/>
    <w:link w:val="Heading1"/>
    <w:uiPriority w:val="9"/>
    <w:rsid w:val="0091098A"/>
    <w:rPr>
      <w:rFonts w:asciiTheme="majorHAnsi" w:eastAsiaTheme="majorEastAsia" w:hAnsiTheme="majorHAnsi" w:cstheme="majorBidi"/>
      <w:b/>
      <w:bCs/>
      <w:color w:val="365F91" w:themeColor="accent1" w:themeShade="BF"/>
      <w:sz w:val="28"/>
      <w:szCs w:val="28"/>
      <w:lang w:val="bg-BG" w:eastAsia="bg-BG"/>
    </w:rPr>
  </w:style>
  <w:style w:type="character" w:customStyle="1" w:styleId="Heading2Char">
    <w:name w:val="Heading 2 Char"/>
    <w:basedOn w:val="DefaultParagraphFont"/>
    <w:link w:val="Heading2"/>
    <w:uiPriority w:val="9"/>
    <w:semiHidden/>
    <w:rsid w:val="0091098A"/>
    <w:rPr>
      <w:rFonts w:asciiTheme="majorHAnsi" w:eastAsiaTheme="majorEastAsia" w:hAnsiTheme="majorHAnsi" w:cstheme="majorBidi"/>
      <w:b/>
      <w:bCs/>
      <w:color w:val="4F81BD" w:themeColor="accent1"/>
      <w:sz w:val="26"/>
      <w:szCs w:val="26"/>
      <w:lang w:val="bg-BG" w:eastAsia="bg-BG"/>
    </w:rPr>
  </w:style>
  <w:style w:type="character" w:customStyle="1" w:styleId="Heading3Char">
    <w:name w:val="Heading 3 Char"/>
    <w:basedOn w:val="DefaultParagraphFont"/>
    <w:link w:val="Heading3"/>
    <w:uiPriority w:val="9"/>
    <w:semiHidden/>
    <w:rsid w:val="0091098A"/>
    <w:rPr>
      <w:rFonts w:asciiTheme="majorHAnsi" w:eastAsiaTheme="majorEastAsia" w:hAnsiTheme="majorHAnsi" w:cstheme="majorBidi"/>
      <w:b/>
      <w:bCs/>
      <w:color w:val="4F81BD" w:themeColor="accent1"/>
      <w:sz w:val="24"/>
      <w:szCs w:val="24"/>
      <w:lang w:val="bg-BG" w:eastAsia="bg-BG"/>
    </w:rPr>
  </w:style>
  <w:style w:type="character" w:customStyle="1" w:styleId="Heading4Char">
    <w:name w:val="Heading 4 Char"/>
    <w:basedOn w:val="DefaultParagraphFont"/>
    <w:link w:val="Heading4"/>
    <w:uiPriority w:val="9"/>
    <w:semiHidden/>
    <w:rsid w:val="0091098A"/>
    <w:rPr>
      <w:rFonts w:asciiTheme="majorHAnsi" w:eastAsiaTheme="majorEastAsia" w:hAnsiTheme="majorHAnsi" w:cstheme="majorBidi"/>
      <w:b/>
      <w:bCs/>
      <w:i/>
      <w:iCs/>
      <w:color w:val="4F81BD" w:themeColor="accent1"/>
      <w:sz w:val="24"/>
      <w:szCs w:val="24"/>
      <w:lang w:val="bg-BG" w:eastAsia="bg-BG"/>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985FC5"/>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IIA\AppData\Roaming\Microsoft\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27163-ACB2-43AC-91C8-4F5CD9680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0</TotalTime>
  <Pages>6</Pages>
  <Words>872</Words>
  <Characters>4805</Characters>
  <Application>Microsoft Office Word</Application>
  <DocSecurity>0</DocSecurity>
  <Lines>208</Lines>
  <Paragraphs>115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PROFIROV Iavor</dc:creator>
  <cp:lastModifiedBy>PROFIROV Iavor</cp:lastModifiedBy>
  <cp:revision>2</cp:revision>
  <cp:lastPrinted>2015-05-12T13:29:00Z</cp:lastPrinted>
  <dcterms:created xsi:type="dcterms:W3CDTF">2015-05-13T07:26:00Z</dcterms:created>
  <dcterms:modified xsi:type="dcterms:W3CDTF">2015-05-13T07:26:00Z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3.5.3, Build 20150508</vt:lpwstr>
  </property>
  <property fmtid="{D5CDD505-2E9C-101B-9397-08002B2CF9AE}" pid="5" name="SkipControlLengthPage">
    <vt:lpwstr/>
  </property>
</Properties>
</file>