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7D" w:rsidRPr="000C107D" w:rsidRDefault="00C4599F" w:rsidP="000C107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e919ee3-23ad-44f6-bfa8-2433ada94170_0" style="width:573.75pt;height:413.25pt">
            <v:imagedata r:id="rId9" o:title=""/>
          </v:shape>
        </w:pict>
      </w:r>
      <w:bookmarkEnd w:id="0"/>
    </w:p>
    <w:p w:rsidR="004D6AAD" w:rsidRDefault="004D6AAD" w:rsidP="004D6AAD">
      <w:pPr>
        <w:pStyle w:val="TechnicalBlock"/>
        <w:ind w:left="-1134" w:right="-1134"/>
        <w:sectPr w:rsidR="004D6AAD" w:rsidSect="00C4599F">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3E22EA" w:rsidRDefault="007C70FD" w:rsidP="007C70FD">
      <w:pPr>
        <w:pStyle w:val="TOCHeading"/>
      </w:pPr>
      <w:r>
        <w:lastRenderedPageBreak/>
        <w:t>CONTENTS</w:t>
      </w:r>
      <w:r w:rsidRPr="007C70FD">
        <w:rPr>
          <w:vertAlign w:val="superscript"/>
        </w:rPr>
        <w:t>1</w:t>
      </w:r>
    </w:p>
    <w:p w:rsidR="007C70FD" w:rsidRDefault="007C70FD" w:rsidP="007C70FD">
      <w:pPr>
        <w:pStyle w:val="TOC5"/>
      </w:pPr>
      <w:r>
        <w:t>ITEMS DEBATED</w:t>
      </w:r>
    </w:p>
    <w:p w:rsidR="007C70FD" w:rsidRDefault="007C70FD" w:rsidP="007C70FD">
      <w:pPr>
        <w:pStyle w:val="TOC6"/>
        <w:rPr>
          <w:rFonts w:asciiTheme="minorHAnsi" w:eastAsiaTheme="minorEastAsia" w:hAnsiTheme="minorHAnsi" w:cstheme="minorBidi"/>
          <w:noProof/>
          <w:sz w:val="22"/>
          <w:szCs w:val="22"/>
          <w:lang w:eastAsia="en-GB"/>
        </w:rPr>
      </w:pPr>
      <w:r>
        <w:rPr>
          <w:noProof/>
        </w:rPr>
        <w:t>BANKING STRUCTURAL REFORM</w:t>
      </w:r>
      <w:r>
        <w:rPr>
          <w:noProof/>
        </w:rPr>
        <w:tab/>
      </w:r>
      <w:r>
        <w:rPr>
          <w:noProof/>
        </w:rPr>
        <w:fldChar w:fldCharType="begin"/>
      </w:r>
      <w:r>
        <w:rPr>
          <w:noProof/>
        </w:rPr>
        <w:instrText xml:space="preserve"> PAGEREF \h _Toc422495435 \* MERGEFORMAT </w:instrText>
      </w:r>
      <w:r>
        <w:rPr>
          <w:noProof/>
        </w:rPr>
      </w:r>
      <w:r>
        <w:rPr>
          <w:noProof/>
        </w:rPr>
        <w:fldChar w:fldCharType="separate"/>
      </w:r>
      <w:r w:rsidR="00C4599F">
        <w:rPr>
          <w:noProof/>
        </w:rPr>
        <w:t>4</w:t>
      </w:r>
      <w:r>
        <w:rPr>
          <w:noProof/>
        </w:rPr>
        <w:fldChar w:fldCharType="end"/>
      </w:r>
    </w:p>
    <w:p w:rsidR="007C70FD" w:rsidRDefault="007C70FD" w:rsidP="007C70FD">
      <w:pPr>
        <w:pStyle w:val="TOC6"/>
        <w:rPr>
          <w:rFonts w:asciiTheme="minorHAnsi" w:eastAsiaTheme="minorEastAsia" w:hAnsiTheme="minorHAnsi" w:cstheme="minorBidi"/>
          <w:noProof/>
          <w:sz w:val="22"/>
          <w:szCs w:val="22"/>
          <w:lang w:eastAsia="en-GB"/>
        </w:rPr>
      </w:pPr>
      <w:r>
        <w:rPr>
          <w:noProof/>
        </w:rPr>
        <w:t>EUROPEAN FUND FOR STRATEGIC INVESTMENT</w:t>
      </w:r>
      <w:r>
        <w:rPr>
          <w:noProof/>
        </w:rPr>
        <w:tab/>
      </w:r>
      <w:r>
        <w:rPr>
          <w:noProof/>
        </w:rPr>
        <w:fldChar w:fldCharType="begin"/>
      </w:r>
      <w:r>
        <w:rPr>
          <w:noProof/>
        </w:rPr>
        <w:instrText xml:space="preserve"> PAGEREF \h _Toc422495436 \* MERGEFORMAT </w:instrText>
      </w:r>
      <w:r>
        <w:rPr>
          <w:noProof/>
        </w:rPr>
      </w:r>
      <w:r>
        <w:rPr>
          <w:noProof/>
        </w:rPr>
        <w:fldChar w:fldCharType="separate"/>
      </w:r>
      <w:r w:rsidR="00C4599F">
        <w:rPr>
          <w:noProof/>
        </w:rPr>
        <w:t>5</w:t>
      </w:r>
      <w:r>
        <w:rPr>
          <w:noProof/>
        </w:rPr>
        <w:fldChar w:fldCharType="end"/>
      </w:r>
    </w:p>
    <w:p w:rsidR="007C70FD" w:rsidRDefault="007C70FD" w:rsidP="007C70FD">
      <w:pPr>
        <w:pStyle w:val="TOC6"/>
        <w:rPr>
          <w:rFonts w:asciiTheme="minorHAnsi" w:eastAsiaTheme="minorEastAsia" w:hAnsiTheme="minorHAnsi" w:cstheme="minorBidi"/>
          <w:noProof/>
          <w:sz w:val="22"/>
          <w:szCs w:val="22"/>
          <w:lang w:eastAsia="en-GB"/>
        </w:rPr>
      </w:pPr>
      <w:r>
        <w:rPr>
          <w:noProof/>
        </w:rPr>
        <w:t>TAX TRANSPARENCY - CROSS-BORDER RULINGS</w:t>
      </w:r>
      <w:r>
        <w:rPr>
          <w:noProof/>
        </w:rPr>
        <w:tab/>
      </w:r>
      <w:r>
        <w:rPr>
          <w:noProof/>
        </w:rPr>
        <w:fldChar w:fldCharType="begin"/>
      </w:r>
      <w:r>
        <w:rPr>
          <w:noProof/>
        </w:rPr>
        <w:instrText xml:space="preserve"> PAGEREF \h _Toc422495437 \* MERGEFORMAT </w:instrText>
      </w:r>
      <w:r>
        <w:rPr>
          <w:noProof/>
        </w:rPr>
      </w:r>
      <w:r>
        <w:rPr>
          <w:noProof/>
        </w:rPr>
        <w:fldChar w:fldCharType="separate"/>
      </w:r>
      <w:r w:rsidR="00C4599F">
        <w:rPr>
          <w:noProof/>
        </w:rPr>
        <w:t>6</w:t>
      </w:r>
      <w:r>
        <w:rPr>
          <w:noProof/>
        </w:rPr>
        <w:fldChar w:fldCharType="end"/>
      </w:r>
    </w:p>
    <w:p w:rsidR="007C70FD" w:rsidRDefault="007C70FD" w:rsidP="007C70FD">
      <w:pPr>
        <w:pStyle w:val="TOC6"/>
        <w:rPr>
          <w:rFonts w:asciiTheme="minorHAnsi" w:eastAsiaTheme="minorEastAsia" w:hAnsiTheme="minorHAnsi" w:cstheme="minorBidi"/>
          <w:noProof/>
          <w:sz w:val="22"/>
          <w:szCs w:val="22"/>
          <w:lang w:eastAsia="en-GB"/>
        </w:rPr>
      </w:pPr>
      <w:r>
        <w:rPr>
          <w:noProof/>
        </w:rPr>
        <w:t>PREVENTING CORPORATE TAX AVOIDANCE - INTEREST AND ROYALTIES</w:t>
      </w:r>
      <w:r>
        <w:rPr>
          <w:noProof/>
        </w:rPr>
        <w:tab/>
      </w:r>
      <w:r>
        <w:rPr>
          <w:noProof/>
        </w:rPr>
        <w:fldChar w:fldCharType="begin"/>
      </w:r>
      <w:r>
        <w:rPr>
          <w:noProof/>
        </w:rPr>
        <w:instrText xml:space="preserve"> PAGEREF \h _Toc422495438 \* MERGEFORMAT </w:instrText>
      </w:r>
      <w:r>
        <w:rPr>
          <w:noProof/>
        </w:rPr>
      </w:r>
      <w:r>
        <w:rPr>
          <w:noProof/>
        </w:rPr>
        <w:fldChar w:fldCharType="separate"/>
      </w:r>
      <w:r w:rsidR="00C4599F">
        <w:rPr>
          <w:noProof/>
        </w:rPr>
        <w:t>7</w:t>
      </w:r>
      <w:r>
        <w:rPr>
          <w:noProof/>
        </w:rPr>
        <w:fldChar w:fldCharType="end"/>
      </w:r>
    </w:p>
    <w:p w:rsidR="007C70FD" w:rsidRDefault="007C70FD" w:rsidP="007C70FD">
      <w:pPr>
        <w:pStyle w:val="TOC6"/>
        <w:rPr>
          <w:rFonts w:asciiTheme="minorHAnsi" w:eastAsiaTheme="minorEastAsia" w:hAnsiTheme="minorHAnsi" w:cstheme="minorBidi"/>
          <w:noProof/>
          <w:sz w:val="22"/>
          <w:szCs w:val="22"/>
          <w:lang w:eastAsia="en-GB"/>
        </w:rPr>
      </w:pPr>
      <w:r>
        <w:rPr>
          <w:noProof/>
        </w:rPr>
        <w:t>BANKING UNION</w:t>
      </w:r>
      <w:r>
        <w:rPr>
          <w:noProof/>
        </w:rPr>
        <w:tab/>
      </w:r>
      <w:r>
        <w:rPr>
          <w:noProof/>
        </w:rPr>
        <w:fldChar w:fldCharType="begin"/>
      </w:r>
      <w:r>
        <w:rPr>
          <w:noProof/>
        </w:rPr>
        <w:instrText xml:space="preserve"> PAGEREF \h _Toc422495439 \* MERGEFORMAT </w:instrText>
      </w:r>
      <w:r>
        <w:rPr>
          <w:noProof/>
        </w:rPr>
      </w:r>
      <w:r>
        <w:rPr>
          <w:noProof/>
        </w:rPr>
        <w:fldChar w:fldCharType="separate"/>
      </w:r>
      <w:r w:rsidR="00C4599F">
        <w:rPr>
          <w:noProof/>
        </w:rPr>
        <w:t>8</w:t>
      </w:r>
      <w:r>
        <w:rPr>
          <w:noProof/>
        </w:rPr>
        <w:fldChar w:fldCharType="end"/>
      </w:r>
    </w:p>
    <w:p w:rsidR="007C70FD" w:rsidRDefault="007C70FD" w:rsidP="007C70FD">
      <w:pPr>
        <w:pStyle w:val="TOC6"/>
        <w:rPr>
          <w:rFonts w:asciiTheme="minorHAnsi" w:eastAsiaTheme="minorEastAsia" w:hAnsiTheme="minorHAnsi" w:cstheme="minorBidi"/>
          <w:noProof/>
          <w:sz w:val="22"/>
          <w:szCs w:val="22"/>
          <w:lang w:eastAsia="en-GB"/>
        </w:rPr>
      </w:pPr>
      <w:r>
        <w:rPr>
          <w:noProof/>
        </w:rPr>
        <w:t>CAPITAL MARKETS UNION</w:t>
      </w:r>
      <w:r>
        <w:rPr>
          <w:noProof/>
        </w:rPr>
        <w:tab/>
      </w:r>
      <w:r>
        <w:rPr>
          <w:noProof/>
        </w:rPr>
        <w:fldChar w:fldCharType="begin"/>
      </w:r>
      <w:r>
        <w:rPr>
          <w:noProof/>
        </w:rPr>
        <w:instrText xml:space="preserve"> PAGEREF \h _Toc422495440 \* MERGEFORMAT </w:instrText>
      </w:r>
      <w:r>
        <w:rPr>
          <w:noProof/>
        </w:rPr>
      </w:r>
      <w:r>
        <w:rPr>
          <w:noProof/>
        </w:rPr>
        <w:fldChar w:fldCharType="separate"/>
      </w:r>
      <w:r w:rsidR="00C4599F">
        <w:rPr>
          <w:noProof/>
        </w:rPr>
        <w:t>9</w:t>
      </w:r>
      <w:r>
        <w:rPr>
          <w:noProof/>
        </w:rPr>
        <w:fldChar w:fldCharType="end"/>
      </w:r>
    </w:p>
    <w:p w:rsidR="007C70FD" w:rsidRDefault="007C70FD" w:rsidP="007C70FD">
      <w:pPr>
        <w:pStyle w:val="TOC6"/>
        <w:rPr>
          <w:rFonts w:asciiTheme="minorHAnsi" w:eastAsiaTheme="minorEastAsia" w:hAnsiTheme="minorHAnsi" w:cstheme="minorBidi"/>
          <w:noProof/>
          <w:sz w:val="22"/>
          <w:szCs w:val="22"/>
          <w:lang w:eastAsia="en-GB"/>
        </w:rPr>
      </w:pPr>
      <w:r>
        <w:rPr>
          <w:noProof/>
        </w:rPr>
        <w:t>COUNTRY-SPECIFIC RECOMMENDATIONS</w:t>
      </w:r>
      <w:r>
        <w:rPr>
          <w:noProof/>
        </w:rPr>
        <w:tab/>
      </w:r>
      <w:r>
        <w:rPr>
          <w:noProof/>
        </w:rPr>
        <w:fldChar w:fldCharType="begin"/>
      </w:r>
      <w:r>
        <w:rPr>
          <w:noProof/>
        </w:rPr>
        <w:instrText xml:space="preserve"> PAGEREF \h _Toc422495441 \* MERGEFORMAT </w:instrText>
      </w:r>
      <w:r>
        <w:rPr>
          <w:noProof/>
        </w:rPr>
      </w:r>
      <w:r>
        <w:rPr>
          <w:noProof/>
        </w:rPr>
        <w:fldChar w:fldCharType="separate"/>
      </w:r>
      <w:r w:rsidR="00C4599F">
        <w:rPr>
          <w:noProof/>
        </w:rPr>
        <w:t>10</w:t>
      </w:r>
      <w:r>
        <w:rPr>
          <w:noProof/>
        </w:rPr>
        <w:fldChar w:fldCharType="end"/>
      </w:r>
    </w:p>
    <w:p w:rsidR="007C70FD" w:rsidRDefault="007C70FD" w:rsidP="007C70FD">
      <w:pPr>
        <w:pStyle w:val="TOC6"/>
        <w:rPr>
          <w:rFonts w:asciiTheme="minorHAnsi" w:eastAsiaTheme="minorEastAsia" w:hAnsiTheme="minorHAnsi" w:cstheme="minorBidi"/>
          <w:noProof/>
          <w:sz w:val="22"/>
          <w:szCs w:val="22"/>
          <w:lang w:eastAsia="en-GB"/>
        </w:rPr>
      </w:pPr>
      <w:r>
        <w:rPr>
          <w:noProof/>
        </w:rPr>
        <w:t>BROAD ECONOMIC POLICY GUIDELINES</w:t>
      </w:r>
      <w:r>
        <w:rPr>
          <w:noProof/>
        </w:rPr>
        <w:tab/>
      </w:r>
      <w:r>
        <w:rPr>
          <w:noProof/>
        </w:rPr>
        <w:fldChar w:fldCharType="begin"/>
      </w:r>
      <w:r>
        <w:rPr>
          <w:noProof/>
        </w:rPr>
        <w:instrText xml:space="preserve"> PAGEREF \h _Toc422495442 \* MERGEFORMAT </w:instrText>
      </w:r>
      <w:r>
        <w:rPr>
          <w:noProof/>
        </w:rPr>
      </w:r>
      <w:r>
        <w:rPr>
          <w:noProof/>
        </w:rPr>
        <w:fldChar w:fldCharType="separate"/>
      </w:r>
      <w:r w:rsidR="00C4599F">
        <w:rPr>
          <w:noProof/>
        </w:rPr>
        <w:t>11</w:t>
      </w:r>
      <w:r>
        <w:rPr>
          <w:noProof/>
        </w:rPr>
        <w:fldChar w:fldCharType="end"/>
      </w:r>
    </w:p>
    <w:p w:rsidR="007C70FD" w:rsidRDefault="007C70FD" w:rsidP="007C70FD">
      <w:pPr>
        <w:pStyle w:val="TOC6"/>
        <w:rPr>
          <w:rFonts w:asciiTheme="minorHAnsi" w:eastAsiaTheme="minorEastAsia" w:hAnsiTheme="minorHAnsi" w:cstheme="minorBidi"/>
          <w:noProof/>
          <w:sz w:val="22"/>
          <w:szCs w:val="22"/>
          <w:lang w:eastAsia="en-GB"/>
        </w:rPr>
      </w:pPr>
      <w:r>
        <w:rPr>
          <w:noProof/>
        </w:rPr>
        <w:t>ECONOMIC GOVERNANCE IN THE EURO AREA</w:t>
      </w:r>
      <w:r>
        <w:rPr>
          <w:noProof/>
        </w:rPr>
        <w:tab/>
      </w:r>
      <w:r>
        <w:rPr>
          <w:noProof/>
        </w:rPr>
        <w:fldChar w:fldCharType="begin"/>
      </w:r>
      <w:r>
        <w:rPr>
          <w:noProof/>
        </w:rPr>
        <w:instrText xml:space="preserve"> PAGEREF \h _Toc422495443 \* MERGEFORMAT </w:instrText>
      </w:r>
      <w:r>
        <w:rPr>
          <w:noProof/>
        </w:rPr>
      </w:r>
      <w:r>
        <w:rPr>
          <w:noProof/>
        </w:rPr>
        <w:fldChar w:fldCharType="separate"/>
      </w:r>
      <w:r w:rsidR="00C4599F">
        <w:rPr>
          <w:noProof/>
        </w:rPr>
        <w:t>12</w:t>
      </w:r>
      <w:r>
        <w:rPr>
          <w:noProof/>
        </w:rPr>
        <w:fldChar w:fldCharType="end"/>
      </w:r>
    </w:p>
    <w:p w:rsidR="007C70FD" w:rsidRDefault="007C70FD" w:rsidP="007C70FD">
      <w:pPr>
        <w:pStyle w:val="TOC6"/>
        <w:rPr>
          <w:rFonts w:asciiTheme="minorHAnsi" w:eastAsiaTheme="minorEastAsia" w:hAnsiTheme="minorHAnsi" w:cstheme="minorBidi"/>
          <w:noProof/>
          <w:sz w:val="22"/>
          <w:szCs w:val="22"/>
          <w:lang w:eastAsia="en-GB"/>
        </w:rPr>
      </w:pPr>
      <w:r>
        <w:rPr>
          <w:noProof/>
        </w:rPr>
        <w:t>EXCESSIVE DEFICIT PROCDURE - MALTA, POLAND AND THE UNITED KINGDOM</w:t>
      </w:r>
      <w:r>
        <w:rPr>
          <w:noProof/>
        </w:rPr>
        <w:tab/>
      </w:r>
      <w:r>
        <w:rPr>
          <w:noProof/>
        </w:rPr>
        <w:fldChar w:fldCharType="begin"/>
      </w:r>
      <w:r>
        <w:rPr>
          <w:noProof/>
        </w:rPr>
        <w:instrText xml:space="preserve"> PAGEREF \h _Toc422495444 \* MERGEFORMAT </w:instrText>
      </w:r>
      <w:r>
        <w:rPr>
          <w:noProof/>
        </w:rPr>
      </w:r>
      <w:r>
        <w:rPr>
          <w:noProof/>
        </w:rPr>
        <w:fldChar w:fldCharType="separate"/>
      </w:r>
      <w:r w:rsidR="00C4599F">
        <w:rPr>
          <w:noProof/>
        </w:rPr>
        <w:t>13</w:t>
      </w:r>
      <w:r>
        <w:rPr>
          <w:noProof/>
        </w:rPr>
        <w:fldChar w:fldCharType="end"/>
      </w:r>
    </w:p>
    <w:p w:rsidR="007C70FD" w:rsidRDefault="007C70FD" w:rsidP="007C70FD">
      <w:pPr>
        <w:pStyle w:val="TOC6"/>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_Toc422495445 \* MERGEFORMAT </w:instrText>
      </w:r>
      <w:r>
        <w:rPr>
          <w:noProof/>
        </w:rPr>
      </w:r>
      <w:r>
        <w:rPr>
          <w:noProof/>
        </w:rPr>
        <w:fldChar w:fldCharType="separate"/>
      </w:r>
      <w:r w:rsidR="00C4599F">
        <w:rPr>
          <w:noProof/>
        </w:rPr>
        <w:t>14</w:t>
      </w:r>
      <w:r>
        <w:rPr>
          <w:noProof/>
        </w:rPr>
        <w:fldChar w:fldCharType="end"/>
      </w:r>
    </w:p>
    <w:p w:rsidR="007C70FD" w:rsidRPr="007C70FD" w:rsidRDefault="007C70FD" w:rsidP="007C70FD">
      <w:pPr>
        <w:pStyle w:val="TOC6"/>
      </w:pPr>
      <w:r>
        <w:rPr>
          <w:noProof/>
        </w:rPr>
        <w:t>MEETINGS IN THE MARGINS OF THE COUNCIL</w:t>
      </w:r>
      <w:r>
        <w:rPr>
          <w:noProof/>
        </w:rPr>
        <w:tab/>
      </w:r>
      <w:r>
        <w:rPr>
          <w:noProof/>
        </w:rPr>
        <w:fldChar w:fldCharType="begin"/>
      </w:r>
      <w:r>
        <w:rPr>
          <w:noProof/>
        </w:rPr>
        <w:instrText xml:space="preserve"> PAGEREF \h _Toc422495446 \* MERGEFORMAT </w:instrText>
      </w:r>
      <w:r>
        <w:rPr>
          <w:noProof/>
        </w:rPr>
      </w:r>
      <w:r>
        <w:rPr>
          <w:noProof/>
        </w:rPr>
        <w:fldChar w:fldCharType="separate"/>
      </w:r>
      <w:r w:rsidR="00C4599F">
        <w:rPr>
          <w:noProof/>
        </w:rPr>
        <w:t>15</w:t>
      </w:r>
      <w:r>
        <w:rPr>
          <w:noProof/>
        </w:rPr>
        <w:fldChar w:fldCharType="end"/>
      </w:r>
    </w:p>
    <w:p w:rsidR="007C70FD" w:rsidRDefault="007C70FD" w:rsidP="007C70FD">
      <w:pPr>
        <w:pStyle w:val="TOC5"/>
      </w:pPr>
      <w:r>
        <w:lastRenderedPageBreak/>
        <w:t>OTHER ITEMS APPROVED</w:t>
      </w:r>
    </w:p>
    <w:p w:rsidR="007C70FD" w:rsidRDefault="007C70FD" w:rsidP="007C70FD">
      <w:pPr>
        <w:pStyle w:val="TOC8"/>
        <w:rPr>
          <w:rFonts w:asciiTheme="minorHAnsi" w:eastAsiaTheme="minorEastAsia" w:hAnsiTheme="minorHAnsi" w:cstheme="minorBidi"/>
          <w:i w:val="0"/>
          <w:noProof/>
          <w:sz w:val="22"/>
          <w:szCs w:val="22"/>
          <w:lang w:eastAsia="en-GB"/>
        </w:rPr>
      </w:pPr>
      <w:r>
        <w:rPr>
          <w:noProof/>
        </w:rPr>
        <w:t>ECONOMIC AND FINANCIAL AFFAIRS</w:t>
      </w:r>
    </w:p>
    <w:p w:rsidR="007C70FD" w:rsidRDefault="007C70FD" w:rsidP="007C03D8">
      <w:pPr>
        <w:pStyle w:val="TOC9"/>
        <w:keepNext/>
        <w:numPr>
          <w:ilvl w:val="0"/>
          <w:numId w:val="16"/>
        </w:numPr>
        <w:rPr>
          <w:rFonts w:asciiTheme="minorHAnsi" w:eastAsiaTheme="minorEastAsia" w:hAnsiTheme="minorHAnsi" w:cstheme="minorBidi"/>
          <w:noProof/>
          <w:sz w:val="22"/>
          <w:szCs w:val="22"/>
          <w:lang w:eastAsia="en-GB"/>
        </w:rPr>
      </w:pPr>
      <w:r>
        <w:rPr>
          <w:noProof/>
        </w:rPr>
        <w:t>Code of conduct on business taxation</w:t>
      </w:r>
      <w:r>
        <w:rPr>
          <w:noProof/>
        </w:rPr>
        <w:tab/>
      </w:r>
      <w:r>
        <w:rPr>
          <w:noProof/>
        </w:rPr>
        <w:fldChar w:fldCharType="begin"/>
      </w:r>
      <w:r>
        <w:rPr>
          <w:noProof/>
        </w:rPr>
        <w:instrText xml:space="preserve"> PAGEREF \h _Toc422495448 \* MERGEFORMAT </w:instrText>
      </w:r>
      <w:r>
        <w:rPr>
          <w:noProof/>
        </w:rPr>
      </w:r>
      <w:r>
        <w:rPr>
          <w:noProof/>
        </w:rPr>
        <w:fldChar w:fldCharType="separate"/>
      </w:r>
      <w:r w:rsidR="00C4599F">
        <w:rPr>
          <w:noProof/>
        </w:rPr>
        <w:t>16</w:t>
      </w:r>
      <w:r>
        <w:rPr>
          <w:noProof/>
        </w:rPr>
        <w:fldChar w:fldCharType="end"/>
      </w:r>
    </w:p>
    <w:p w:rsidR="007C70FD" w:rsidRDefault="007C70FD" w:rsidP="007C70FD">
      <w:pPr>
        <w:pStyle w:val="TOC9"/>
        <w:keepNext/>
        <w:rPr>
          <w:rFonts w:asciiTheme="minorHAnsi" w:eastAsiaTheme="minorEastAsia" w:hAnsiTheme="minorHAnsi" w:cstheme="minorBidi"/>
          <w:noProof/>
          <w:sz w:val="22"/>
          <w:szCs w:val="22"/>
          <w:lang w:eastAsia="en-GB"/>
        </w:rPr>
      </w:pPr>
      <w:r>
        <w:rPr>
          <w:noProof/>
        </w:rPr>
        <w:t>Taxation - Reports to the European Council</w:t>
      </w:r>
      <w:r>
        <w:rPr>
          <w:noProof/>
        </w:rPr>
        <w:tab/>
      </w:r>
      <w:r>
        <w:rPr>
          <w:noProof/>
        </w:rPr>
        <w:fldChar w:fldCharType="begin"/>
      </w:r>
      <w:r>
        <w:rPr>
          <w:noProof/>
        </w:rPr>
        <w:instrText xml:space="preserve"> PAGEREF \h _Toc422495449 \* MERGEFORMAT </w:instrText>
      </w:r>
      <w:r>
        <w:rPr>
          <w:noProof/>
        </w:rPr>
      </w:r>
      <w:r>
        <w:rPr>
          <w:noProof/>
        </w:rPr>
        <w:fldChar w:fldCharType="separate"/>
      </w:r>
      <w:r w:rsidR="00C4599F">
        <w:rPr>
          <w:noProof/>
        </w:rPr>
        <w:t>17</w:t>
      </w:r>
      <w:r>
        <w:rPr>
          <w:noProof/>
        </w:rPr>
        <w:fldChar w:fldCharType="end"/>
      </w:r>
    </w:p>
    <w:p w:rsidR="007C70FD" w:rsidRDefault="007C70FD" w:rsidP="007C70FD">
      <w:pPr>
        <w:pStyle w:val="TOC9"/>
        <w:keepNext/>
        <w:rPr>
          <w:rFonts w:asciiTheme="minorHAnsi" w:eastAsiaTheme="minorEastAsia" w:hAnsiTheme="minorHAnsi" w:cstheme="minorBidi"/>
          <w:noProof/>
          <w:sz w:val="22"/>
          <w:szCs w:val="22"/>
          <w:lang w:eastAsia="en-GB"/>
        </w:rPr>
      </w:pPr>
      <w:r>
        <w:rPr>
          <w:noProof/>
        </w:rPr>
        <w:t>Accounting: Product classification</w:t>
      </w:r>
      <w:r>
        <w:rPr>
          <w:noProof/>
        </w:rPr>
        <w:tab/>
      </w:r>
      <w:r>
        <w:rPr>
          <w:noProof/>
        </w:rPr>
        <w:fldChar w:fldCharType="begin"/>
      </w:r>
      <w:r>
        <w:rPr>
          <w:noProof/>
        </w:rPr>
        <w:instrText xml:space="preserve"> PAGEREF \h _Toc422495450 \* MERGEFORMAT </w:instrText>
      </w:r>
      <w:r>
        <w:rPr>
          <w:noProof/>
        </w:rPr>
      </w:r>
      <w:r>
        <w:rPr>
          <w:noProof/>
        </w:rPr>
        <w:fldChar w:fldCharType="separate"/>
      </w:r>
      <w:r w:rsidR="00C4599F">
        <w:rPr>
          <w:noProof/>
        </w:rPr>
        <w:t>17</w:t>
      </w:r>
      <w:r>
        <w:rPr>
          <w:noProof/>
        </w:rPr>
        <w:fldChar w:fldCharType="end"/>
      </w:r>
    </w:p>
    <w:p w:rsidR="007C70FD" w:rsidRDefault="007C70FD" w:rsidP="007C70FD">
      <w:pPr>
        <w:pStyle w:val="TOC9"/>
        <w:keepNext/>
        <w:rPr>
          <w:rFonts w:asciiTheme="minorHAnsi" w:eastAsiaTheme="minorEastAsia" w:hAnsiTheme="minorHAnsi" w:cstheme="minorBidi"/>
          <w:noProof/>
          <w:sz w:val="22"/>
          <w:szCs w:val="22"/>
          <w:lang w:eastAsia="en-GB"/>
        </w:rPr>
      </w:pPr>
      <w:r>
        <w:rPr>
          <w:noProof/>
        </w:rPr>
        <w:t>Accounting: R&amp;D expenditure</w:t>
      </w:r>
      <w:r>
        <w:rPr>
          <w:noProof/>
        </w:rPr>
        <w:tab/>
      </w:r>
      <w:r>
        <w:rPr>
          <w:noProof/>
        </w:rPr>
        <w:fldChar w:fldCharType="begin"/>
      </w:r>
      <w:r>
        <w:rPr>
          <w:noProof/>
        </w:rPr>
        <w:instrText xml:space="preserve"> PAGEREF \h _Toc422495451 \* MERGEFORMAT </w:instrText>
      </w:r>
      <w:r>
        <w:rPr>
          <w:noProof/>
        </w:rPr>
      </w:r>
      <w:r>
        <w:rPr>
          <w:noProof/>
        </w:rPr>
        <w:fldChar w:fldCharType="separate"/>
      </w:r>
      <w:r w:rsidR="00C4599F">
        <w:rPr>
          <w:noProof/>
        </w:rPr>
        <w:t>17</w:t>
      </w:r>
      <w:r>
        <w:rPr>
          <w:noProof/>
        </w:rPr>
        <w:fldChar w:fldCharType="end"/>
      </w:r>
    </w:p>
    <w:p w:rsidR="007C70FD" w:rsidRDefault="007C70FD" w:rsidP="007C70FD">
      <w:pPr>
        <w:pStyle w:val="TOC9"/>
        <w:keepNext/>
        <w:rPr>
          <w:rFonts w:asciiTheme="minorHAnsi" w:eastAsiaTheme="minorEastAsia" w:hAnsiTheme="minorHAnsi" w:cstheme="minorBidi"/>
          <w:noProof/>
          <w:sz w:val="22"/>
          <w:szCs w:val="22"/>
          <w:lang w:eastAsia="en-GB"/>
        </w:rPr>
      </w:pPr>
      <w:r>
        <w:rPr>
          <w:noProof/>
        </w:rPr>
        <w:t>German central bank - External auditors</w:t>
      </w:r>
      <w:r>
        <w:rPr>
          <w:noProof/>
        </w:rPr>
        <w:tab/>
      </w:r>
      <w:r>
        <w:rPr>
          <w:noProof/>
        </w:rPr>
        <w:fldChar w:fldCharType="begin"/>
      </w:r>
      <w:r>
        <w:rPr>
          <w:noProof/>
        </w:rPr>
        <w:instrText xml:space="preserve"> PAGEREF \h _Toc422495452 \* MERGEFORMAT </w:instrText>
      </w:r>
      <w:r>
        <w:rPr>
          <w:noProof/>
        </w:rPr>
      </w:r>
      <w:r>
        <w:rPr>
          <w:noProof/>
        </w:rPr>
        <w:fldChar w:fldCharType="separate"/>
      </w:r>
      <w:r w:rsidR="00C4599F">
        <w:rPr>
          <w:noProof/>
        </w:rPr>
        <w:t>18</w:t>
      </w:r>
      <w:r>
        <w:rPr>
          <w:noProof/>
        </w:rPr>
        <w:fldChar w:fldCharType="end"/>
      </w:r>
    </w:p>
    <w:p w:rsidR="007C70FD" w:rsidRDefault="007C70FD" w:rsidP="007C70FD">
      <w:pPr>
        <w:pStyle w:val="TOC9"/>
        <w:keepNext/>
        <w:rPr>
          <w:rFonts w:asciiTheme="minorHAnsi" w:eastAsiaTheme="minorEastAsia" w:hAnsiTheme="minorHAnsi" w:cstheme="minorBidi"/>
          <w:noProof/>
          <w:sz w:val="22"/>
          <w:szCs w:val="22"/>
          <w:lang w:eastAsia="en-GB"/>
        </w:rPr>
      </w:pPr>
      <w:r>
        <w:rPr>
          <w:noProof/>
        </w:rPr>
        <w:t>VAT derogation - Denmark</w:t>
      </w:r>
      <w:r>
        <w:rPr>
          <w:noProof/>
        </w:rPr>
        <w:tab/>
      </w:r>
      <w:r>
        <w:rPr>
          <w:noProof/>
        </w:rPr>
        <w:fldChar w:fldCharType="begin"/>
      </w:r>
      <w:r>
        <w:rPr>
          <w:noProof/>
        </w:rPr>
        <w:instrText xml:space="preserve"> PAGEREF \h _Toc422495453 \* MERGEFORMAT </w:instrText>
      </w:r>
      <w:r>
        <w:rPr>
          <w:noProof/>
        </w:rPr>
      </w:r>
      <w:r>
        <w:rPr>
          <w:noProof/>
        </w:rPr>
        <w:fldChar w:fldCharType="separate"/>
      </w:r>
      <w:r w:rsidR="00C4599F">
        <w:rPr>
          <w:noProof/>
        </w:rPr>
        <w:t>18</w:t>
      </w:r>
      <w:r>
        <w:rPr>
          <w:noProof/>
        </w:rPr>
        <w:fldChar w:fldCharType="end"/>
      </w:r>
    </w:p>
    <w:p w:rsidR="007C70FD" w:rsidRDefault="007C70FD" w:rsidP="007C70FD">
      <w:pPr>
        <w:pStyle w:val="TOC9"/>
        <w:rPr>
          <w:rFonts w:asciiTheme="minorHAnsi" w:eastAsiaTheme="minorEastAsia" w:hAnsiTheme="minorHAnsi" w:cstheme="minorBidi"/>
          <w:noProof/>
          <w:sz w:val="22"/>
          <w:szCs w:val="22"/>
          <w:lang w:eastAsia="en-GB"/>
        </w:rPr>
      </w:pPr>
      <w:r>
        <w:rPr>
          <w:noProof/>
        </w:rPr>
        <w:t>Shore-side electricity - Denmark</w:t>
      </w:r>
      <w:r>
        <w:rPr>
          <w:noProof/>
        </w:rPr>
        <w:tab/>
      </w:r>
      <w:r>
        <w:rPr>
          <w:noProof/>
        </w:rPr>
        <w:fldChar w:fldCharType="begin"/>
      </w:r>
      <w:r>
        <w:rPr>
          <w:noProof/>
        </w:rPr>
        <w:instrText xml:space="preserve"> PAGEREF \h _Toc422495454 \* MERGEFORMAT </w:instrText>
      </w:r>
      <w:r>
        <w:rPr>
          <w:noProof/>
        </w:rPr>
      </w:r>
      <w:r>
        <w:rPr>
          <w:noProof/>
        </w:rPr>
        <w:fldChar w:fldCharType="separate"/>
      </w:r>
      <w:r w:rsidR="00C4599F">
        <w:rPr>
          <w:noProof/>
        </w:rPr>
        <w:t>18</w:t>
      </w:r>
      <w:r>
        <w:rPr>
          <w:noProof/>
        </w:rPr>
        <w:fldChar w:fldCharType="end"/>
      </w:r>
    </w:p>
    <w:p w:rsidR="007C70FD" w:rsidRDefault="007C70FD" w:rsidP="007C70FD">
      <w:pPr>
        <w:pStyle w:val="TOC8"/>
        <w:rPr>
          <w:rFonts w:asciiTheme="minorHAnsi" w:eastAsiaTheme="minorEastAsia" w:hAnsiTheme="minorHAnsi" w:cstheme="minorBidi"/>
          <w:i w:val="0"/>
          <w:noProof/>
          <w:sz w:val="22"/>
          <w:szCs w:val="22"/>
          <w:lang w:eastAsia="en-GB"/>
        </w:rPr>
      </w:pPr>
      <w:r>
        <w:rPr>
          <w:noProof/>
        </w:rPr>
        <w:t>FOREIGN AFFAIRS</w:t>
      </w:r>
    </w:p>
    <w:p w:rsidR="007C70FD" w:rsidRDefault="007C70FD" w:rsidP="007C70FD">
      <w:pPr>
        <w:pStyle w:val="TOC9"/>
        <w:rPr>
          <w:rFonts w:asciiTheme="minorHAnsi" w:eastAsiaTheme="minorEastAsia" w:hAnsiTheme="minorHAnsi" w:cstheme="minorBidi"/>
          <w:noProof/>
          <w:sz w:val="22"/>
          <w:szCs w:val="22"/>
          <w:lang w:eastAsia="en-GB"/>
        </w:rPr>
      </w:pPr>
      <w:r>
        <w:rPr>
          <w:noProof/>
        </w:rPr>
        <w:t>Extension of sanctions in response to illegal annexation of Crimea and Sevastopol</w:t>
      </w:r>
      <w:r>
        <w:rPr>
          <w:noProof/>
        </w:rPr>
        <w:tab/>
      </w:r>
      <w:r>
        <w:rPr>
          <w:noProof/>
        </w:rPr>
        <w:fldChar w:fldCharType="begin"/>
      </w:r>
      <w:r>
        <w:rPr>
          <w:noProof/>
        </w:rPr>
        <w:instrText xml:space="preserve"> PAGEREF \h _Toc422495456 \* MERGEFORMAT </w:instrText>
      </w:r>
      <w:r>
        <w:rPr>
          <w:noProof/>
        </w:rPr>
      </w:r>
      <w:r>
        <w:rPr>
          <w:noProof/>
        </w:rPr>
        <w:fldChar w:fldCharType="separate"/>
      </w:r>
      <w:r w:rsidR="00C4599F">
        <w:rPr>
          <w:noProof/>
        </w:rPr>
        <w:t>18</w:t>
      </w:r>
      <w:r>
        <w:rPr>
          <w:noProof/>
        </w:rPr>
        <w:fldChar w:fldCharType="end"/>
      </w:r>
    </w:p>
    <w:p w:rsidR="007C70FD" w:rsidRDefault="007C70FD" w:rsidP="007C70FD">
      <w:pPr>
        <w:pStyle w:val="TOC8"/>
        <w:rPr>
          <w:rFonts w:asciiTheme="minorHAnsi" w:eastAsiaTheme="minorEastAsia" w:hAnsiTheme="minorHAnsi" w:cstheme="minorBidi"/>
          <w:i w:val="0"/>
          <w:noProof/>
          <w:sz w:val="22"/>
          <w:szCs w:val="22"/>
          <w:lang w:eastAsia="en-GB"/>
        </w:rPr>
      </w:pPr>
      <w:r>
        <w:rPr>
          <w:noProof/>
        </w:rPr>
        <w:t>BUDGETS</w:t>
      </w:r>
    </w:p>
    <w:p w:rsidR="007C70FD" w:rsidRDefault="007C70FD" w:rsidP="007C70FD">
      <w:pPr>
        <w:pStyle w:val="TOC9"/>
        <w:rPr>
          <w:rFonts w:asciiTheme="minorHAnsi" w:eastAsiaTheme="minorEastAsia" w:hAnsiTheme="minorHAnsi" w:cstheme="minorBidi"/>
          <w:noProof/>
          <w:sz w:val="22"/>
          <w:szCs w:val="22"/>
          <w:lang w:eastAsia="en-GB"/>
        </w:rPr>
      </w:pPr>
      <w:r>
        <w:rPr>
          <w:noProof/>
        </w:rPr>
        <w:t>Draft amending budgets for 2015 - Migration, solidarity fund, budget surplus 2014</w:t>
      </w:r>
      <w:r>
        <w:rPr>
          <w:noProof/>
        </w:rPr>
        <w:tab/>
      </w:r>
      <w:r>
        <w:rPr>
          <w:noProof/>
        </w:rPr>
        <w:fldChar w:fldCharType="begin"/>
      </w:r>
      <w:r>
        <w:rPr>
          <w:noProof/>
        </w:rPr>
        <w:instrText xml:space="preserve"> PAGEREF \h _Toc422495458 \* MERGEFORMAT </w:instrText>
      </w:r>
      <w:r>
        <w:rPr>
          <w:noProof/>
        </w:rPr>
      </w:r>
      <w:r>
        <w:rPr>
          <w:noProof/>
        </w:rPr>
        <w:fldChar w:fldCharType="separate"/>
      </w:r>
      <w:r w:rsidR="00C4599F">
        <w:rPr>
          <w:noProof/>
        </w:rPr>
        <w:t>19</w:t>
      </w:r>
      <w:r>
        <w:rPr>
          <w:noProof/>
        </w:rPr>
        <w:fldChar w:fldCharType="end"/>
      </w:r>
    </w:p>
    <w:p w:rsidR="007C70FD" w:rsidRDefault="007C70FD" w:rsidP="007C70FD">
      <w:pPr>
        <w:pStyle w:val="TOC8"/>
        <w:rPr>
          <w:rFonts w:asciiTheme="minorHAnsi" w:eastAsiaTheme="minorEastAsia" w:hAnsiTheme="minorHAnsi" w:cstheme="minorBidi"/>
          <w:i w:val="0"/>
          <w:noProof/>
          <w:sz w:val="22"/>
          <w:szCs w:val="22"/>
          <w:lang w:eastAsia="en-GB"/>
        </w:rPr>
      </w:pPr>
      <w:r>
        <w:rPr>
          <w:noProof/>
        </w:rPr>
        <w:t>TRADE POLICY</w:t>
      </w:r>
    </w:p>
    <w:p w:rsidR="007C70FD" w:rsidRDefault="007C70FD" w:rsidP="007C70FD">
      <w:pPr>
        <w:pStyle w:val="TOC9"/>
        <w:rPr>
          <w:rFonts w:asciiTheme="minorHAnsi" w:eastAsiaTheme="minorEastAsia" w:hAnsiTheme="minorHAnsi" w:cstheme="minorBidi"/>
          <w:noProof/>
          <w:sz w:val="22"/>
          <w:szCs w:val="22"/>
          <w:lang w:eastAsia="en-GB"/>
        </w:rPr>
      </w:pPr>
      <w:r>
        <w:rPr>
          <w:noProof/>
        </w:rPr>
        <w:t>Trade in goods used for capital punishment and torture</w:t>
      </w:r>
      <w:r>
        <w:rPr>
          <w:noProof/>
        </w:rPr>
        <w:tab/>
      </w:r>
      <w:r>
        <w:rPr>
          <w:noProof/>
        </w:rPr>
        <w:fldChar w:fldCharType="begin"/>
      </w:r>
      <w:r>
        <w:rPr>
          <w:noProof/>
        </w:rPr>
        <w:instrText xml:space="preserve"> PAGEREF \h _Toc422495460 \* MERGEFORMAT </w:instrText>
      </w:r>
      <w:r>
        <w:rPr>
          <w:noProof/>
        </w:rPr>
      </w:r>
      <w:r>
        <w:rPr>
          <w:noProof/>
        </w:rPr>
        <w:fldChar w:fldCharType="separate"/>
      </w:r>
      <w:r w:rsidR="00C4599F">
        <w:rPr>
          <w:noProof/>
        </w:rPr>
        <w:t>19</w:t>
      </w:r>
      <w:r>
        <w:rPr>
          <w:noProof/>
        </w:rPr>
        <w:fldChar w:fldCharType="end"/>
      </w:r>
    </w:p>
    <w:p w:rsidR="007C70FD" w:rsidRDefault="007C70FD" w:rsidP="007C70FD">
      <w:pPr>
        <w:pStyle w:val="TOC8"/>
        <w:rPr>
          <w:rFonts w:asciiTheme="minorHAnsi" w:eastAsiaTheme="minorEastAsia" w:hAnsiTheme="minorHAnsi" w:cstheme="minorBidi"/>
          <w:i w:val="0"/>
          <w:noProof/>
          <w:sz w:val="22"/>
          <w:szCs w:val="22"/>
          <w:lang w:eastAsia="en-GB"/>
        </w:rPr>
      </w:pPr>
      <w:r>
        <w:rPr>
          <w:noProof/>
        </w:rPr>
        <w:t>ENERGY</w:t>
      </w:r>
    </w:p>
    <w:p w:rsidR="007C70FD" w:rsidRDefault="007C70FD" w:rsidP="007C70FD">
      <w:pPr>
        <w:pStyle w:val="TOC9"/>
        <w:rPr>
          <w:rFonts w:asciiTheme="minorHAnsi" w:eastAsiaTheme="minorEastAsia" w:hAnsiTheme="minorHAnsi" w:cstheme="minorBidi"/>
          <w:noProof/>
          <w:sz w:val="22"/>
          <w:szCs w:val="22"/>
          <w:lang w:eastAsia="en-GB"/>
        </w:rPr>
      </w:pPr>
      <w:r>
        <w:rPr>
          <w:noProof/>
        </w:rPr>
        <w:t>Energy labelling</w:t>
      </w:r>
      <w:r>
        <w:rPr>
          <w:noProof/>
        </w:rPr>
        <w:tab/>
      </w:r>
      <w:r>
        <w:rPr>
          <w:noProof/>
        </w:rPr>
        <w:fldChar w:fldCharType="begin"/>
      </w:r>
      <w:r>
        <w:rPr>
          <w:noProof/>
        </w:rPr>
        <w:instrText xml:space="preserve"> PAGEREF \h _Toc422495462 \* MERGEFORMAT </w:instrText>
      </w:r>
      <w:r>
        <w:rPr>
          <w:noProof/>
        </w:rPr>
      </w:r>
      <w:r>
        <w:rPr>
          <w:noProof/>
        </w:rPr>
        <w:fldChar w:fldCharType="separate"/>
      </w:r>
      <w:r w:rsidR="00C4599F">
        <w:rPr>
          <w:noProof/>
        </w:rPr>
        <w:t>20</w:t>
      </w:r>
      <w:r>
        <w:rPr>
          <w:noProof/>
        </w:rPr>
        <w:fldChar w:fldCharType="end"/>
      </w:r>
    </w:p>
    <w:p w:rsidR="007C70FD" w:rsidRDefault="007C70FD" w:rsidP="007C70FD">
      <w:pPr>
        <w:pStyle w:val="TOC8"/>
        <w:rPr>
          <w:rFonts w:asciiTheme="minorHAnsi" w:eastAsiaTheme="minorEastAsia" w:hAnsiTheme="minorHAnsi" w:cstheme="minorBidi"/>
          <w:i w:val="0"/>
          <w:noProof/>
          <w:sz w:val="22"/>
          <w:szCs w:val="22"/>
          <w:lang w:eastAsia="en-GB"/>
        </w:rPr>
      </w:pPr>
      <w:r>
        <w:rPr>
          <w:noProof/>
        </w:rPr>
        <w:t>INDUSTRY</w:t>
      </w:r>
    </w:p>
    <w:p w:rsidR="007C70FD" w:rsidRDefault="007C70FD" w:rsidP="007C70FD">
      <w:pPr>
        <w:pStyle w:val="TOC9"/>
        <w:rPr>
          <w:rFonts w:asciiTheme="minorHAnsi" w:eastAsiaTheme="minorEastAsia" w:hAnsiTheme="minorHAnsi" w:cstheme="minorBidi"/>
          <w:noProof/>
          <w:sz w:val="22"/>
          <w:szCs w:val="22"/>
          <w:lang w:eastAsia="en-GB"/>
        </w:rPr>
      </w:pPr>
      <w:r>
        <w:rPr>
          <w:noProof/>
        </w:rPr>
        <w:t>Motor vehicles - Technical prescriptions</w:t>
      </w:r>
      <w:r>
        <w:rPr>
          <w:noProof/>
        </w:rPr>
        <w:tab/>
      </w:r>
      <w:r>
        <w:rPr>
          <w:noProof/>
        </w:rPr>
        <w:fldChar w:fldCharType="begin"/>
      </w:r>
      <w:r>
        <w:rPr>
          <w:noProof/>
        </w:rPr>
        <w:instrText xml:space="preserve"> PAGEREF \h _Toc422495464 \* MERGEFORMAT </w:instrText>
      </w:r>
      <w:r>
        <w:rPr>
          <w:noProof/>
        </w:rPr>
      </w:r>
      <w:r>
        <w:rPr>
          <w:noProof/>
        </w:rPr>
        <w:fldChar w:fldCharType="separate"/>
      </w:r>
      <w:r w:rsidR="00C4599F">
        <w:rPr>
          <w:noProof/>
        </w:rPr>
        <w:t>20</w:t>
      </w:r>
      <w:r>
        <w:rPr>
          <w:noProof/>
        </w:rPr>
        <w:fldChar w:fldCharType="end"/>
      </w:r>
    </w:p>
    <w:p w:rsidR="007C70FD" w:rsidRDefault="007C70FD" w:rsidP="007C70FD">
      <w:pPr>
        <w:pStyle w:val="TOC8"/>
        <w:rPr>
          <w:rFonts w:asciiTheme="minorHAnsi" w:eastAsiaTheme="minorEastAsia" w:hAnsiTheme="minorHAnsi" w:cstheme="minorBidi"/>
          <w:i w:val="0"/>
          <w:noProof/>
          <w:sz w:val="22"/>
          <w:szCs w:val="22"/>
          <w:lang w:eastAsia="en-GB"/>
        </w:rPr>
      </w:pPr>
      <w:r>
        <w:rPr>
          <w:noProof/>
        </w:rPr>
        <w:t>AGRICULTURE</w:t>
      </w:r>
    </w:p>
    <w:p w:rsidR="007C70FD" w:rsidRDefault="007C70FD" w:rsidP="007C70FD">
      <w:pPr>
        <w:pStyle w:val="TOC9"/>
        <w:rPr>
          <w:rFonts w:asciiTheme="minorHAnsi" w:eastAsiaTheme="minorEastAsia" w:hAnsiTheme="minorHAnsi" w:cstheme="minorBidi"/>
          <w:noProof/>
          <w:sz w:val="22"/>
          <w:szCs w:val="22"/>
          <w:lang w:eastAsia="en-GB"/>
        </w:rPr>
      </w:pPr>
      <w:r>
        <w:rPr>
          <w:noProof/>
        </w:rPr>
        <w:t>Pesticides - transitional measures</w:t>
      </w:r>
      <w:r>
        <w:rPr>
          <w:noProof/>
        </w:rPr>
        <w:tab/>
      </w:r>
      <w:r>
        <w:rPr>
          <w:noProof/>
        </w:rPr>
        <w:fldChar w:fldCharType="begin"/>
      </w:r>
      <w:r>
        <w:rPr>
          <w:noProof/>
        </w:rPr>
        <w:instrText xml:space="preserve"> PAGEREF \h _Toc422495466 \* MERGEFORMAT </w:instrText>
      </w:r>
      <w:r>
        <w:rPr>
          <w:noProof/>
        </w:rPr>
      </w:r>
      <w:r>
        <w:rPr>
          <w:noProof/>
        </w:rPr>
        <w:fldChar w:fldCharType="separate"/>
      </w:r>
      <w:r w:rsidR="00C4599F">
        <w:rPr>
          <w:noProof/>
        </w:rPr>
        <w:t>21</w:t>
      </w:r>
      <w:r>
        <w:rPr>
          <w:noProof/>
        </w:rPr>
        <w:fldChar w:fldCharType="end"/>
      </w:r>
    </w:p>
    <w:p w:rsidR="007C70FD" w:rsidRDefault="007C70FD" w:rsidP="007C70FD">
      <w:pPr>
        <w:pStyle w:val="TOC8"/>
        <w:rPr>
          <w:rFonts w:asciiTheme="minorHAnsi" w:eastAsiaTheme="minorEastAsia" w:hAnsiTheme="minorHAnsi" w:cstheme="minorBidi"/>
          <w:i w:val="0"/>
          <w:noProof/>
          <w:sz w:val="22"/>
          <w:szCs w:val="22"/>
          <w:lang w:eastAsia="en-GB"/>
        </w:rPr>
      </w:pPr>
      <w:r>
        <w:rPr>
          <w:noProof/>
        </w:rPr>
        <w:t>FISHERIES</w:t>
      </w:r>
    </w:p>
    <w:p w:rsidR="007C70FD" w:rsidRDefault="007C70FD" w:rsidP="007C70FD">
      <w:pPr>
        <w:pStyle w:val="TOC9"/>
        <w:rPr>
          <w:rFonts w:asciiTheme="minorHAnsi" w:eastAsiaTheme="minorEastAsia" w:hAnsiTheme="minorHAnsi" w:cstheme="minorBidi"/>
          <w:noProof/>
          <w:sz w:val="22"/>
          <w:szCs w:val="22"/>
          <w:lang w:eastAsia="en-GB"/>
        </w:rPr>
      </w:pPr>
      <w:r>
        <w:rPr>
          <w:noProof/>
        </w:rPr>
        <w:t>Amendment to fishing opportunities 2015 - seabass, capelin and redfish</w:t>
      </w:r>
      <w:r>
        <w:rPr>
          <w:noProof/>
        </w:rPr>
        <w:tab/>
      </w:r>
      <w:r>
        <w:rPr>
          <w:noProof/>
        </w:rPr>
        <w:fldChar w:fldCharType="begin"/>
      </w:r>
      <w:r>
        <w:rPr>
          <w:noProof/>
        </w:rPr>
        <w:instrText xml:space="preserve"> PAGEREF \h _Toc422495468 \* MERGEFORMAT </w:instrText>
      </w:r>
      <w:r>
        <w:rPr>
          <w:noProof/>
        </w:rPr>
      </w:r>
      <w:r>
        <w:rPr>
          <w:noProof/>
        </w:rPr>
        <w:fldChar w:fldCharType="separate"/>
      </w:r>
      <w:r w:rsidR="00C4599F">
        <w:rPr>
          <w:noProof/>
        </w:rPr>
        <w:t>22</w:t>
      </w:r>
      <w:r>
        <w:rPr>
          <w:noProof/>
        </w:rPr>
        <w:fldChar w:fldCharType="end"/>
      </w:r>
    </w:p>
    <w:p w:rsidR="007C70FD" w:rsidRDefault="007C70FD" w:rsidP="007C70FD">
      <w:pPr>
        <w:pStyle w:val="TOC8"/>
        <w:rPr>
          <w:rFonts w:asciiTheme="minorHAnsi" w:eastAsiaTheme="minorEastAsia" w:hAnsiTheme="minorHAnsi" w:cstheme="minorBidi"/>
          <w:i w:val="0"/>
          <w:noProof/>
          <w:sz w:val="22"/>
          <w:szCs w:val="22"/>
          <w:lang w:eastAsia="en-GB"/>
        </w:rPr>
      </w:pPr>
      <w:r>
        <w:rPr>
          <w:noProof/>
        </w:rPr>
        <w:t>FOOD LAW</w:t>
      </w:r>
    </w:p>
    <w:p w:rsidR="007C70FD" w:rsidRDefault="007C70FD" w:rsidP="007C70FD">
      <w:pPr>
        <w:pStyle w:val="TOC9"/>
      </w:pPr>
      <w:r>
        <w:rPr>
          <w:noProof/>
        </w:rPr>
        <w:t>Approval of silicon dioxide as food additive in extracts of rosemary</w:t>
      </w:r>
      <w:r>
        <w:rPr>
          <w:noProof/>
        </w:rPr>
        <w:tab/>
      </w:r>
      <w:r>
        <w:rPr>
          <w:noProof/>
        </w:rPr>
        <w:fldChar w:fldCharType="begin"/>
      </w:r>
      <w:r>
        <w:rPr>
          <w:noProof/>
        </w:rPr>
        <w:instrText xml:space="preserve"> PAGEREF \h _Toc422495470 \* MERGEFORMAT </w:instrText>
      </w:r>
      <w:r>
        <w:rPr>
          <w:noProof/>
        </w:rPr>
      </w:r>
      <w:r>
        <w:rPr>
          <w:noProof/>
        </w:rPr>
        <w:fldChar w:fldCharType="separate"/>
      </w:r>
      <w:r w:rsidR="00C4599F">
        <w:rPr>
          <w:noProof/>
        </w:rPr>
        <w:t>22</w:t>
      </w:r>
      <w:r>
        <w:rPr>
          <w:noProof/>
        </w:rPr>
        <w:fldChar w:fldCharType="end"/>
      </w:r>
    </w:p>
    <w:p w:rsidR="007C70FD" w:rsidRDefault="007C70FD" w:rsidP="004D6AAD">
      <w:pPr>
        <w:sectPr w:rsidR="007C70FD" w:rsidSect="00C4599F">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4D6AAD" w:rsidRDefault="004D6AAD" w:rsidP="004D6AAD">
      <w:pPr>
        <w:pStyle w:val="ItemsDebatedHeading"/>
      </w:pPr>
      <w:r w:rsidRPr="004D6AAD">
        <w:lastRenderedPageBreak/>
        <w:t>ITEMS DEBATED</w:t>
      </w:r>
    </w:p>
    <w:p w:rsidR="00523C4D" w:rsidRPr="00C81C5D" w:rsidRDefault="00523C4D" w:rsidP="00C81C5D">
      <w:pPr>
        <w:pStyle w:val="ItemDebated"/>
      </w:pPr>
      <w:bookmarkStart w:id="5" w:name="_Toc422495435"/>
      <w:r w:rsidRPr="00C81C5D">
        <w:t>BANKING STRUCTURAL REFORM</w:t>
      </w:r>
      <w:bookmarkEnd w:id="5"/>
    </w:p>
    <w:p w:rsidR="00523C4D" w:rsidRPr="00F70102" w:rsidRDefault="00523C4D" w:rsidP="00523C4D">
      <w:r w:rsidRPr="00F70102">
        <w:t>The Council agreed its negotiating stance on structural measures to improve the resilience of EU credit institutions.</w:t>
      </w:r>
    </w:p>
    <w:p w:rsidR="00523C4D" w:rsidRPr="00F70102" w:rsidRDefault="00523C4D" w:rsidP="00523C4D">
      <w:r w:rsidRPr="00F70102">
        <w:t>The proposal is aimed at strengthening financial stability by protecting the deposit-taking business of the largest and most complex EU banks from potentially risky trading activities.</w:t>
      </w:r>
    </w:p>
    <w:p w:rsidR="00523C4D" w:rsidRPr="00F70102" w:rsidRDefault="00523C4D" w:rsidP="00523C4D">
      <w:r w:rsidRPr="00F70102">
        <w:t xml:space="preserve">It applies to banks that are either deemed </w:t>
      </w:r>
      <w:r w:rsidR="00137D6F">
        <w:t xml:space="preserve">to be </w:t>
      </w:r>
      <w:r w:rsidRPr="00F70102">
        <w:t>of global systemic importance or exceed certain thresholds in terms of trading activity or absolute size. Despite recent regulatory reforms in the banking sector, these credit institutions and groups remain too-big-to-fail, too-big-to-save and too complex to manage, supervise and resolve.</w:t>
      </w:r>
    </w:p>
    <w:p w:rsidR="00523C4D" w:rsidRDefault="00523C4D" w:rsidP="00523C4D">
      <w:r>
        <w:t xml:space="preserve">The </w:t>
      </w:r>
      <w:r w:rsidRPr="00F70102">
        <w:t>agreement within the Council</w:t>
      </w:r>
      <w:r>
        <w:t xml:space="preserve"> will enable </w:t>
      </w:r>
      <w:r w:rsidRPr="00F70102">
        <w:t>the incoming presidency to start negotiations with the European Parliament</w:t>
      </w:r>
      <w:r>
        <w:t>,</w:t>
      </w:r>
      <w:r w:rsidRPr="00F70102">
        <w:t xml:space="preserve"> as soon as the EP has established its position</w:t>
      </w:r>
      <w:r>
        <w:t>.</w:t>
      </w:r>
    </w:p>
    <w:p w:rsidR="00C5118D" w:rsidRPr="00EA5572" w:rsidRDefault="00C5118D" w:rsidP="00C5118D">
      <w:pPr>
        <w:rPr>
          <w:bCs/>
          <w:snapToGrid w:val="0"/>
        </w:rPr>
      </w:pPr>
      <w:r>
        <w:rPr>
          <w:bCs/>
          <w:snapToGrid w:val="0"/>
        </w:rPr>
        <w:t>For details:</w:t>
      </w:r>
    </w:p>
    <w:p w:rsidR="00523C4D" w:rsidRPr="00F70102" w:rsidRDefault="00C4599F" w:rsidP="00523C4D">
      <w:hyperlink r:id="rId19" w:history="1">
        <w:r w:rsidR="00523C4D" w:rsidRPr="003E22EA">
          <w:rPr>
            <w:rStyle w:val="Hyperlink"/>
          </w:rPr>
          <w:t>Press release on Council negotiating stance on banking structural reform</w:t>
        </w:r>
      </w:hyperlink>
    </w:p>
    <w:p w:rsidR="00523C4D" w:rsidRPr="00A445F8" w:rsidRDefault="00523C4D" w:rsidP="00C81C5D">
      <w:pPr>
        <w:pStyle w:val="ItemDebated"/>
        <w:rPr>
          <w:b w:val="0"/>
          <w:bCs/>
        </w:rPr>
      </w:pPr>
      <w:r>
        <w:br w:type="page"/>
      </w:r>
      <w:bookmarkStart w:id="6" w:name="_Toc422495436"/>
      <w:r w:rsidRPr="00C81C5D">
        <w:lastRenderedPageBreak/>
        <w:t>EUROPEAN FUND FOR STRATEGIC INVESTMENT</w:t>
      </w:r>
      <w:bookmarkEnd w:id="6"/>
    </w:p>
    <w:p w:rsidR="00523C4D" w:rsidRPr="00A445F8" w:rsidRDefault="00523C4D" w:rsidP="00523C4D">
      <w:r w:rsidRPr="00A445F8">
        <w:t>The Council was</w:t>
      </w:r>
      <w:r>
        <w:t xml:space="preserve"> briefed on</w:t>
      </w:r>
      <w:r w:rsidRPr="00A445F8">
        <w:t xml:space="preserve"> next steps in the establishment of a European fund for strategic investment</w:t>
      </w:r>
      <w:r>
        <w:t xml:space="preserve"> (EFSI)</w:t>
      </w:r>
      <w:r w:rsidRPr="00A445F8">
        <w:t>, part of the EU action plan on investment.</w:t>
      </w:r>
    </w:p>
    <w:p w:rsidR="00523C4D" w:rsidRDefault="00523C4D" w:rsidP="00523C4D">
      <w:r w:rsidRPr="00A445F8">
        <w:t xml:space="preserve">The EFSI regulation </w:t>
      </w:r>
      <w:r>
        <w:t xml:space="preserve">will be adopted by the </w:t>
      </w:r>
      <w:r w:rsidRPr="00A445F8">
        <w:t xml:space="preserve">Council by written procedure </w:t>
      </w:r>
      <w:r>
        <w:t xml:space="preserve">once the European </w:t>
      </w:r>
      <w:r w:rsidRPr="00A445F8">
        <w:t xml:space="preserve">Parliament </w:t>
      </w:r>
      <w:r>
        <w:t xml:space="preserve">has </w:t>
      </w:r>
      <w:r w:rsidRPr="00A445F8">
        <w:t>approve</w:t>
      </w:r>
      <w:r>
        <w:t>d</w:t>
      </w:r>
      <w:r w:rsidRPr="00A445F8">
        <w:t xml:space="preserve"> it at first reading</w:t>
      </w:r>
      <w:r>
        <w:t xml:space="preserve">. The EP vote is scheduled for </w:t>
      </w:r>
      <w:r w:rsidRPr="00A445F8">
        <w:t>24 June</w:t>
      </w:r>
      <w:r>
        <w:t>. T</w:t>
      </w:r>
      <w:r w:rsidRPr="00A445F8">
        <w:t xml:space="preserve">he regulation </w:t>
      </w:r>
      <w:r>
        <w:t>will c</w:t>
      </w:r>
      <w:r w:rsidRPr="00A445F8">
        <w:t>onsequently</w:t>
      </w:r>
      <w:r>
        <w:t xml:space="preserve"> </w:t>
      </w:r>
      <w:r w:rsidRPr="00A445F8">
        <w:t>enter into</w:t>
      </w:r>
      <w:r>
        <w:t xml:space="preserve"> force at the beginning of July, in line with the deadline set with the European Council. T</w:t>
      </w:r>
      <w:r w:rsidRPr="00A445F8">
        <w:t>he EFSI</w:t>
      </w:r>
      <w:r>
        <w:t xml:space="preserve"> is expected to</w:t>
      </w:r>
      <w:r w:rsidRPr="00A445F8">
        <w:t xml:space="preserve"> become fully operational already as of as </w:t>
      </w:r>
      <w:r w:rsidRPr="00A445F8">
        <w:rPr>
          <w:noProof/>
        </w:rPr>
        <w:t>mid-September 2015.</w:t>
      </w:r>
    </w:p>
    <w:p w:rsidR="00523C4D" w:rsidRPr="00A445F8" w:rsidRDefault="00523C4D" w:rsidP="00523C4D">
      <w:r w:rsidRPr="00A445F8">
        <w:rPr>
          <w:noProof/>
        </w:rPr>
        <w:t xml:space="preserve">The EFSI is intended to stimulate participation by private investors in a broad range of new investment projects. By taking on part of the risk through a first-loss liability, it is expected to achieve </w:t>
      </w:r>
      <w:r w:rsidRPr="00A445F8">
        <w:t>an overall multiplier effect of 1:15 in real investment. Such leverage will eventually allow more than €300bn of new investment, to be mobilised during a three-year period.</w:t>
      </w:r>
    </w:p>
    <w:p w:rsidR="00523C4D" w:rsidRPr="00A445F8" w:rsidRDefault="00523C4D" w:rsidP="00523C4D">
      <w:r w:rsidRPr="00A445F8">
        <w:t>The fund will be built on €16 billion in guarantees from the EU budget and €5 billion from the European Investment Bank. EU funding will come from redeployment of funds for the Connecting Europe facility (transport, energy and digital networks) and the Horizon 2020 programme (research and innovation), as well as from unused margins in the EU’s annual budget.</w:t>
      </w:r>
    </w:p>
    <w:p w:rsidR="00523C4D" w:rsidRPr="00A445F8" w:rsidRDefault="00523C4D" w:rsidP="00523C4D">
      <w:pPr>
        <w:rPr>
          <w:rStyle w:val="prdnormal"/>
        </w:rPr>
      </w:pPr>
      <w:r w:rsidRPr="00A445F8">
        <w:rPr>
          <w:noProof/>
        </w:rPr>
        <w:t>The new fund will be established with</w:t>
      </w:r>
      <w:r w:rsidRPr="00A445F8">
        <w:t xml:space="preserve">in the EIB </w:t>
      </w:r>
      <w:r w:rsidRPr="00A445F8">
        <w:rPr>
          <w:noProof/>
        </w:rPr>
        <w:t>by an agreement between the EIB and the Commission. It will</w:t>
      </w:r>
      <w:r w:rsidRPr="00A445F8">
        <w:t xml:space="preserve"> support projects in areas such as transport, energy and broadband infrastructure, education, health, research and risk finance for SMEs.</w:t>
      </w:r>
    </w:p>
    <w:p w:rsidR="00523C4D" w:rsidRPr="00A445F8" w:rsidRDefault="00523C4D" w:rsidP="00523C4D">
      <w:r w:rsidRPr="00A445F8">
        <w:t xml:space="preserve">Negotiations with the </w:t>
      </w:r>
      <w:r>
        <w:t xml:space="preserve">European </w:t>
      </w:r>
      <w:r w:rsidRPr="00A445F8">
        <w:t>Parliament were led by the presidency, and an agreement was reached on 28 May 2015 (with final endorsement on 4 June). The deal was approved on behalf of the Council on 9 June, by the Permanent Representatives Committee (Coreper).</w:t>
      </w:r>
    </w:p>
    <w:p w:rsidR="00523C4D" w:rsidRPr="00A445F8" w:rsidRDefault="00523C4D" w:rsidP="00523C4D">
      <w:r w:rsidRPr="00A445F8">
        <w:t>The regulation requires a qualified majority for adoption by the Council, in agreement with the European Parliament. (Legal basis: articles 172, 173, 175(3) and 182(1) of the Trea</w:t>
      </w:r>
      <w:r w:rsidR="00137D6F">
        <w:t>ty on the Functioning of the EU</w:t>
      </w:r>
      <w:r w:rsidRPr="00A445F8">
        <w:t>)</w:t>
      </w:r>
      <w:r w:rsidR="00137D6F">
        <w:t>.</w:t>
      </w:r>
    </w:p>
    <w:p w:rsidR="00523C4D" w:rsidRDefault="00523C4D" w:rsidP="00523C4D">
      <w:r w:rsidRPr="00A445F8">
        <w:t xml:space="preserve">The EFSI is one of the core elements of the </w:t>
      </w:r>
      <w:r w:rsidRPr="00A445F8">
        <w:rPr>
          <w:noProof/>
        </w:rPr>
        <w:t>Commission's €315 billion "investment plan for Europe", published in November 2014</w:t>
      </w:r>
      <w:r w:rsidRPr="00A445F8">
        <w:t>.</w:t>
      </w:r>
    </w:p>
    <w:p w:rsidR="00523C4D" w:rsidRPr="00A445F8" w:rsidRDefault="00C4599F" w:rsidP="00F46D7A">
      <w:pPr>
        <w:rPr>
          <w:u w:val="single"/>
        </w:rPr>
      </w:pPr>
      <w:hyperlink r:id="rId20" w:history="1">
        <w:r w:rsidR="00523C4D" w:rsidRPr="00A445F8">
          <w:rPr>
            <w:rStyle w:val="Hyperlink"/>
          </w:rPr>
          <w:t xml:space="preserve">Press release on </w:t>
        </w:r>
        <w:proofErr w:type="spellStart"/>
        <w:r w:rsidR="00523C4D" w:rsidRPr="00A445F8">
          <w:rPr>
            <w:rStyle w:val="Hyperlink"/>
          </w:rPr>
          <w:t>Coreper</w:t>
        </w:r>
        <w:proofErr w:type="spellEnd"/>
        <w:r w:rsidR="00523C4D" w:rsidRPr="00A445F8">
          <w:rPr>
            <w:rStyle w:val="Hyperlink"/>
          </w:rPr>
          <w:t xml:space="preserve"> approval of agreement with EP on EFSI</w:t>
        </w:r>
      </w:hyperlink>
      <w:r w:rsidR="00F46D7A">
        <w:rPr>
          <w:rStyle w:val="Hyperlink"/>
        </w:rPr>
        <w:br/>
      </w:r>
      <w:hyperlink r:id="rId21" w:tooltip="http://register.consilium.europa.eu/pdf/en/14/st16/st16115.en14.pdf" w:history="1">
        <w:r w:rsidR="00523C4D" w:rsidRPr="00A445F8">
          <w:rPr>
            <w:rStyle w:val="Hyperlink"/>
          </w:rPr>
          <w:t>Communication from the Commission on the investment plan</w:t>
        </w:r>
      </w:hyperlink>
    </w:p>
    <w:p w:rsidR="00523C4D" w:rsidRPr="00C81C5D" w:rsidRDefault="00523C4D" w:rsidP="00C81C5D">
      <w:pPr>
        <w:pStyle w:val="ItemDebated"/>
      </w:pPr>
      <w:r>
        <w:br w:type="page"/>
      </w:r>
      <w:bookmarkStart w:id="7" w:name="_Toc422495437"/>
      <w:r w:rsidRPr="00C81C5D">
        <w:lastRenderedPageBreak/>
        <w:t>TAX TRANSPARENCY - CROSS-BORDER RULINGS</w:t>
      </w:r>
      <w:bookmarkEnd w:id="7"/>
    </w:p>
    <w:p w:rsidR="00523C4D" w:rsidRDefault="00523C4D" w:rsidP="00FC3274">
      <w:r w:rsidRPr="00EA5572">
        <w:t xml:space="preserve">The Council </w:t>
      </w:r>
      <w:r>
        <w:t>discussed</w:t>
      </w:r>
      <w:r w:rsidRPr="00D60EB6">
        <w:t xml:space="preserve"> </w:t>
      </w:r>
      <w:r w:rsidRPr="00EA5572">
        <w:t xml:space="preserve">a proposal </w:t>
      </w:r>
      <w:r w:rsidR="00FC3274">
        <w:t>to amend</w:t>
      </w:r>
      <w:r w:rsidR="00FC3274" w:rsidRPr="00FC3274">
        <w:t xml:space="preserve"> </w:t>
      </w:r>
      <w:r w:rsidR="00FC3274" w:rsidRPr="00EA5572">
        <w:t>directive 2011/16/EU</w:t>
      </w:r>
      <w:r w:rsidR="00FC3274">
        <w:t xml:space="preserve"> so as to </w:t>
      </w:r>
      <w:r>
        <w:t>require</w:t>
      </w:r>
      <w:r w:rsidRPr="00EA5572">
        <w:t xml:space="preserve"> member states to exchange information automatically about advance cross-border tax rulings, as well a</w:t>
      </w:r>
      <w:r>
        <w:t>s advance pricing arrangements</w:t>
      </w:r>
      <w:r>
        <w:rPr>
          <w:rStyle w:val="FootnoteReference"/>
        </w:rPr>
        <w:footnoteReference w:id="1"/>
      </w:r>
      <w:r>
        <w:t>.</w:t>
      </w:r>
    </w:p>
    <w:p w:rsidR="00523C4D" w:rsidRDefault="00523C4D" w:rsidP="00523C4D">
      <w:r>
        <w:t xml:space="preserve">The Council noted good progress during the two months since the proposal was presented, and all member states supported the </w:t>
      </w:r>
      <w:r w:rsidR="00FC3274">
        <w:t xml:space="preserve">main </w:t>
      </w:r>
      <w:r>
        <w:t>objectives set out by the Commission. Work will continue at technical level so as to enable the Council to reach an agreement in autumn 2015.</w:t>
      </w:r>
    </w:p>
    <w:p w:rsidR="00523C4D" w:rsidRDefault="00523C4D" w:rsidP="00523C4D">
      <w:r w:rsidRPr="00EA5572">
        <w:t>The proposal is part of a package of measures to prevent corporate tax avoidance and harmful tax competition between member states.</w:t>
      </w:r>
      <w:r>
        <w:t xml:space="preserve"> </w:t>
      </w:r>
      <w:r w:rsidRPr="00EA5572">
        <w:t>Tax planning by companies has become more elaborate in recent years, developing across jurisdictions with the shifting of taxable profits towards states with</w:t>
      </w:r>
      <w:r>
        <w:t xml:space="preserve"> more advantageous tax regimes.</w:t>
      </w:r>
    </w:p>
    <w:p w:rsidR="00523C4D" w:rsidRPr="00EA5572" w:rsidRDefault="00523C4D" w:rsidP="00FC3274">
      <w:r w:rsidRPr="00EA5572">
        <w:t xml:space="preserve">The proposal </w:t>
      </w:r>
      <w:r w:rsidR="00FC3274" w:rsidRPr="00FC3274">
        <w:t xml:space="preserve">is aimed </w:t>
      </w:r>
      <w:r w:rsidR="00FC3274">
        <w:t>at amending</w:t>
      </w:r>
      <w:r w:rsidRPr="00EA5572">
        <w:t xml:space="preserve"> directive 2011/16/EU, which sets out practical arrangements for </w:t>
      </w:r>
      <w:r>
        <w:t>the exchange of</w:t>
      </w:r>
      <w:r w:rsidRPr="00EA5572">
        <w:t xml:space="preserve"> information</w:t>
      </w:r>
      <w:r>
        <w:t xml:space="preserve"> between tax administrations</w:t>
      </w:r>
      <w:r w:rsidRPr="00EA5572">
        <w:t>.</w:t>
      </w:r>
      <w:r w:rsidR="00FC3274">
        <w:t xml:space="preserve"> This work takes into consideration</w:t>
      </w:r>
      <w:r w:rsidRPr="00EA5572">
        <w:t xml:space="preserve"> developments within the OECD and its work on </w:t>
      </w:r>
      <w:r w:rsidR="00FC3274">
        <w:t xml:space="preserve">measures against </w:t>
      </w:r>
      <w:r w:rsidRPr="00EA5572">
        <w:t>tax base erosion and profit shifting.</w:t>
      </w:r>
    </w:p>
    <w:p w:rsidR="00523C4D" w:rsidRPr="00C375D6" w:rsidRDefault="00523C4D" w:rsidP="00E157E0">
      <w:pPr>
        <w:rPr>
          <w:b/>
          <w:bCs/>
        </w:rPr>
      </w:pPr>
      <w:r>
        <w:t xml:space="preserve">The Council </w:t>
      </w:r>
      <w:r w:rsidR="00E157E0">
        <w:t>provided guidance for further technical work on the following issues.</w:t>
      </w:r>
    </w:p>
    <w:p w:rsidR="00523C4D" w:rsidRPr="00EA5572" w:rsidRDefault="00523C4D" w:rsidP="00E157E0">
      <w:pPr>
        <w:ind w:left="709" w:hanging="709"/>
      </w:pPr>
      <w:r w:rsidRPr="00EA5572">
        <w:t>-</w:t>
      </w:r>
      <w:r w:rsidRPr="00EA5572">
        <w:tab/>
        <w:t xml:space="preserve">the scope of </w:t>
      </w:r>
      <w:r w:rsidR="00E157E0">
        <w:t xml:space="preserve">the </w:t>
      </w:r>
      <w:r w:rsidRPr="00EA5572">
        <w:t>information to be exchanged;</w:t>
      </w:r>
    </w:p>
    <w:p w:rsidR="00523C4D" w:rsidRPr="00EA5572" w:rsidRDefault="00523C4D" w:rsidP="00E157E0">
      <w:pPr>
        <w:ind w:left="709" w:hanging="709"/>
      </w:pPr>
      <w:r w:rsidRPr="00EA5572">
        <w:t>-</w:t>
      </w:r>
      <w:r w:rsidRPr="00EA5572">
        <w:tab/>
      </w:r>
      <w:r w:rsidR="00E157E0">
        <w:t xml:space="preserve">the timing for the start of </w:t>
      </w:r>
      <w:r w:rsidRPr="00EA5572">
        <w:t>ex</w:t>
      </w:r>
      <w:r w:rsidR="00E157E0">
        <w:t>change of information</w:t>
      </w:r>
      <w:r w:rsidRPr="00EA5572">
        <w:t>;</w:t>
      </w:r>
    </w:p>
    <w:p w:rsidR="00523C4D" w:rsidRPr="00EA5572" w:rsidRDefault="00523C4D" w:rsidP="00E157E0">
      <w:pPr>
        <w:ind w:left="709" w:hanging="709"/>
      </w:pPr>
      <w:r w:rsidRPr="00EA5572">
        <w:t>-</w:t>
      </w:r>
      <w:r w:rsidRPr="00EA5572">
        <w:tab/>
        <w:t xml:space="preserve">the role </w:t>
      </w:r>
      <w:r w:rsidR="00E157E0">
        <w:t xml:space="preserve">the </w:t>
      </w:r>
      <w:r w:rsidR="00E157E0" w:rsidRPr="00EA5572">
        <w:t>Commissi</w:t>
      </w:r>
      <w:r w:rsidR="00E157E0">
        <w:t>on</w:t>
      </w:r>
      <w:r w:rsidR="00E157E0" w:rsidRPr="00EA5572">
        <w:t xml:space="preserve"> </w:t>
      </w:r>
      <w:r w:rsidR="00E157E0">
        <w:t xml:space="preserve">could play </w:t>
      </w:r>
      <w:r w:rsidRPr="00EA5572">
        <w:t xml:space="preserve">in the </w:t>
      </w:r>
      <w:r w:rsidR="00E157E0">
        <w:t xml:space="preserve">context of </w:t>
      </w:r>
      <w:r w:rsidRPr="00EA5572">
        <w:t>exchange of information</w:t>
      </w:r>
      <w:r w:rsidR="00E157E0">
        <w:t xml:space="preserve"> between member states</w:t>
      </w:r>
      <w:r w:rsidRPr="00EA5572">
        <w:t>.</w:t>
      </w:r>
    </w:p>
    <w:p w:rsidR="00523C4D" w:rsidRDefault="00523C4D" w:rsidP="00523C4D">
      <w:r w:rsidRPr="00EA5572">
        <w:t>The directive requires unanimity for adoption by the Council, after consulting the European Parliament. (Legal basis: article 115 of the Treaty</w:t>
      </w:r>
      <w:r>
        <w:t xml:space="preserve"> on the Functioning of the EU.)</w:t>
      </w:r>
    </w:p>
    <w:p w:rsidR="00523C4D" w:rsidRPr="00C81C5D" w:rsidRDefault="00523C4D" w:rsidP="00C81C5D">
      <w:pPr>
        <w:pStyle w:val="ItemDebated"/>
      </w:pPr>
      <w:r>
        <w:br w:type="page"/>
      </w:r>
      <w:bookmarkStart w:id="8" w:name="_Toc422495438"/>
      <w:r w:rsidRPr="00C81C5D">
        <w:lastRenderedPageBreak/>
        <w:t>PREVENTING CORPORATE TAX AVOIDANCE - INTEREST AND ROYALTIES</w:t>
      </w:r>
      <w:bookmarkEnd w:id="8"/>
    </w:p>
    <w:p w:rsidR="00523C4D" w:rsidRDefault="00523C4D" w:rsidP="00523C4D">
      <w:r>
        <w:t>The Council discussed a proposed recast of directive 2003/49/EC on taxation applicable to cross-border interest and royalty payments between associated companies.</w:t>
      </w:r>
    </w:p>
    <w:p w:rsidR="00523C4D" w:rsidRDefault="00523C4D" w:rsidP="00523C4D">
      <w:r>
        <w:t>It discussed in particular the possible adoption</w:t>
      </w:r>
      <w:r w:rsidR="00E157E0">
        <w:t>, as a first step,</w:t>
      </w:r>
      <w:r>
        <w:t xml:space="preserve"> of an anti-abuse clause to prevent the directive being used by multinational companies for tax avoidance and aggressive tax planning. A "de minimis" rule, the clause would prevent member states from granting the benefits of the directive to arrangements that are not "genuine", i.e. that have been put into place to obtain a tax advantage without reflecting economic reality.</w:t>
      </w:r>
    </w:p>
    <w:p w:rsidR="00523C4D" w:rsidRDefault="00523C4D" w:rsidP="00E157E0">
      <w:r>
        <w:t xml:space="preserve">In order to make progress on this 2011 proposal, the presidency proposed to agree first on the anti-abuse clause. Work </w:t>
      </w:r>
      <w:r w:rsidR="00E157E0">
        <w:t xml:space="preserve">in the Council </w:t>
      </w:r>
      <w:r>
        <w:t xml:space="preserve">would continue </w:t>
      </w:r>
      <w:r w:rsidR="00E157E0">
        <w:t xml:space="preserve">however </w:t>
      </w:r>
      <w:r>
        <w:t>on remaining element</w:t>
      </w:r>
      <w:r w:rsidR="00E157E0">
        <w:t xml:space="preserve">s, including effective taxation </w:t>
      </w:r>
      <w:r>
        <w:t>as part of a proposed review of the directive.</w:t>
      </w:r>
    </w:p>
    <w:p w:rsidR="00523C4D" w:rsidRDefault="00523C4D" w:rsidP="00137D6F">
      <w:r>
        <w:t>Whilst a broad majority of member states supported the presidency's proposal to split the proposal in this manner</w:t>
      </w:r>
      <w:r w:rsidR="00E157E0">
        <w:t xml:space="preserve"> in order to move beyond the status quo</w:t>
      </w:r>
      <w:r>
        <w:t>, some</w:t>
      </w:r>
      <w:r w:rsidR="00E157E0">
        <w:t xml:space="preserve"> member states </w:t>
      </w:r>
      <w:r w:rsidR="00137D6F">
        <w:t>expressed</w:t>
      </w:r>
      <w:r w:rsidR="00E157E0">
        <w:t xml:space="preserve"> their preference for a more ambitious approach</w:t>
      </w:r>
      <w:r>
        <w:t>.</w:t>
      </w:r>
    </w:p>
    <w:p w:rsidR="00523C4D" w:rsidRDefault="00523C4D" w:rsidP="00523C4D">
      <w:r>
        <w:t>The directive requires unanimity for adoption by the Council, after consulting the European Parliament. (Legal basis: article 115 of the Treaty on the Functioning of the EU.)</w:t>
      </w:r>
    </w:p>
    <w:p w:rsidR="00523C4D" w:rsidRDefault="00C4599F" w:rsidP="00C5118D">
      <w:hyperlink r:id="rId22" w:history="1">
        <w:r w:rsidR="00523C4D">
          <w:rPr>
            <w:rStyle w:val="Hyperlink"/>
          </w:rPr>
          <w:t>Presidency June 2015 compromise proposal on the interest and royalties directive</w:t>
        </w:r>
      </w:hyperlink>
    </w:p>
    <w:p w:rsidR="00C81C5D" w:rsidRPr="00C81C5D" w:rsidRDefault="00C81C5D" w:rsidP="00C81C5D">
      <w:pPr>
        <w:pStyle w:val="ItemDebated"/>
      </w:pPr>
      <w:r>
        <w:br w:type="page"/>
      </w:r>
      <w:bookmarkStart w:id="9" w:name="_Toc422495439"/>
      <w:r w:rsidRPr="00C81C5D">
        <w:lastRenderedPageBreak/>
        <w:t>BANKING UNION</w:t>
      </w:r>
      <w:bookmarkEnd w:id="9"/>
    </w:p>
    <w:p w:rsidR="00C81C5D" w:rsidRPr="00442040" w:rsidRDefault="00C81C5D" w:rsidP="00C81C5D">
      <w:r w:rsidRPr="00442040">
        <w:t>The Council reviewed implementation of Europe's banking union, specifically as concerns instruments to deal with the recovery and resolution of failing banks.</w:t>
      </w:r>
    </w:p>
    <w:p w:rsidR="00C81C5D" w:rsidRPr="00442040" w:rsidRDefault="00C81C5D" w:rsidP="00C81C5D">
      <w:r w:rsidRPr="00442040">
        <w:t>The Commission provided an update on:</w:t>
      </w:r>
    </w:p>
    <w:p w:rsidR="00C81C5D" w:rsidRPr="003E22EA" w:rsidRDefault="00C81C5D" w:rsidP="007C03D8">
      <w:pPr>
        <w:pStyle w:val="Tiret0"/>
        <w:numPr>
          <w:ilvl w:val="0"/>
          <w:numId w:val="17"/>
        </w:numPr>
      </w:pPr>
      <w:r w:rsidRPr="003E22EA">
        <w:t>transposition of a directive on bank recovery and resolution;</w:t>
      </w:r>
    </w:p>
    <w:p w:rsidR="00C81C5D" w:rsidRPr="00442040" w:rsidRDefault="00C81C5D" w:rsidP="003E22EA">
      <w:pPr>
        <w:pStyle w:val="Tiret0"/>
      </w:pPr>
      <w:r w:rsidRPr="00442040">
        <w:t>ratification of an intergovernmental agreement on the single resolution fund (SRF);</w:t>
      </w:r>
    </w:p>
    <w:p w:rsidR="00C81C5D" w:rsidRPr="00442040" w:rsidRDefault="00C81C5D" w:rsidP="003E22EA">
      <w:pPr>
        <w:pStyle w:val="Tiret0"/>
      </w:pPr>
      <w:r w:rsidRPr="00442040">
        <w:t>the functioning of the single resolution board (SRB).</w:t>
      </w:r>
    </w:p>
    <w:p w:rsidR="00C81C5D" w:rsidRPr="00442040" w:rsidRDefault="00C81C5D" w:rsidP="00C81C5D">
      <w:r w:rsidRPr="00442040">
        <w:t>The Council also discussed bridge financing for the SRF.</w:t>
      </w:r>
    </w:p>
    <w:p w:rsidR="00C81C5D" w:rsidRPr="00442040" w:rsidRDefault="00C81C5D" w:rsidP="00C81C5D">
      <w:r>
        <w:t xml:space="preserve">It </w:t>
      </w:r>
      <w:r w:rsidRPr="00442040">
        <w:t xml:space="preserve">called on member states to complete transposition and ratification measures at national level. </w:t>
      </w:r>
      <w:r>
        <w:t>The Council not</w:t>
      </w:r>
      <w:r w:rsidRPr="00442040">
        <w:t>ed that further efforts are needed on bridge financing, and agreed to return to the matter in autumn 2015.</w:t>
      </w:r>
    </w:p>
    <w:p w:rsidR="00C81C5D" w:rsidRPr="00442040" w:rsidRDefault="00C81C5D" w:rsidP="00137D6F">
      <w:r w:rsidRPr="00442040">
        <w:t>The SRF and SRB are components of a single resolution mechanism (SRM) aimed at ensuring the orderly resolution of failing banks. The intergovernmental agreement contains provisions on the transfer and mutualisation of contributions to the SRF.</w:t>
      </w:r>
    </w:p>
    <w:p w:rsidR="00C81C5D" w:rsidRPr="00442040" w:rsidRDefault="00C81C5D" w:rsidP="00C81C5D">
      <w:r w:rsidRPr="00442040">
        <w:t>Established by</w:t>
      </w:r>
      <w:r w:rsidR="00C87B82">
        <w:t xml:space="preserve"> a</w:t>
      </w:r>
      <w:r w:rsidRPr="00442040">
        <w:t xml:space="preserve"> regulation in July 2014, the SRM will be applicable from 1 January 2016.</w:t>
      </w:r>
      <w:r>
        <w:t xml:space="preserve"> </w:t>
      </w:r>
      <w:r w:rsidRPr="00442040">
        <w:t xml:space="preserve">The banking union </w:t>
      </w:r>
      <w:r>
        <w:t xml:space="preserve">comprises </w:t>
      </w:r>
      <w:r w:rsidRPr="00442040">
        <w:t xml:space="preserve">the 19 countries of the euro area, </w:t>
      </w:r>
      <w:r>
        <w:t>whilst</w:t>
      </w:r>
      <w:r w:rsidRPr="00442040">
        <w:t xml:space="preserve"> </w:t>
      </w:r>
      <w:r>
        <w:t xml:space="preserve">7 </w:t>
      </w:r>
      <w:r w:rsidRPr="00442040">
        <w:t>other member states have indicated their intention to join.</w:t>
      </w:r>
    </w:p>
    <w:p w:rsidR="00C81C5D" w:rsidRPr="00442040" w:rsidRDefault="00C4599F" w:rsidP="007C70FD">
      <w:pPr>
        <w:spacing w:before="0" w:after="0"/>
      </w:pPr>
      <w:hyperlink r:id="rId23" w:tooltip="http://register.consilium.europa.eu/pdf/en/14/st11/st11814.en14.pdf" w:history="1">
        <w:r w:rsidR="00C81C5D" w:rsidRPr="00442040">
          <w:rPr>
            <w:rStyle w:val="Hyperlink"/>
          </w:rPr>
          <w:t>Press release on the adoption of the regulation establishing the SRM</w:t>
        </w:r>
      </w:hyperlink>
    </w:p>
    <w:p w:rsidR="00C81C5D" w:rsidRPr="00442040" w:rsidRDefault="00C4599F" w:rsidP="007C70FD">
      <w:pPr>
        <w:spacing w:before="0" w:after="0"/>
      </w:pPr>
      <w:hyperlink r:id="rId24" w:tooltip="http://register.consilium.europa.eu/pdf/en/14/st10/st10088.en14.pdf" w:history="1">
        <w:r w:rsidR="00C81C5D" w:rsidRPr="00442040">
          <w:rPr>
            <w:rStyle w:val="Hyperlink"/>
          </w:rPr>
          <w:t>Press release on the signature of the intergovernmental agreement on the SRF</w:t>
        </w:r>
      </w:hyperlink>
    </w:p>
    <w:p w:rsidR="00C81C5D" w:rsidRPr="00442040" w:rsidRDefault="00C4599F" w:rsidP="007C70FD">
      <w:pPr>
        <w:spacing w:before="0" w:after="0"/>
      </w:pPr>
      <w:hyperlink r:id="rId25" w:history="1">
        <w:r w:rsidR="00C81C5D" w:rsidRPr="00442040">
          <w:rPr>
            <w:rStyle w:val="Hyperlink"/>
          </w:rPr>
          <w:t>Press release on SRF contributions and the appointment of members of the SRB</w:t>
        </w:r>
      </w:hyperlink>
    </w:p>
    <w:p w:rsidR="00C81C5D" w:rsidRPr="00442040" w:rsidRDefault="00C4599F" w:rsidP="007C70FD">
      <w:pPr>
        <w:spacing w:before="0" w:after="0"/>
      </w:pPr>
      <w:hyperlink r:id="rId26" w:tooltip="http://register.consilium.europa.eu/pdf/en/14/st09/st09510.en14.pdf" w:history="1">
        <w:r w:rsidR="00C81C5D" w:rsidRPr="00442040">
          <w:rPr>
            <w:rStyle w:val="Hyperlink"/>
          </w:rPr>
          <w:t>Press release on the adoption of the bank recovery and resolution directive</w:t>
        </w:r>
      </w:hyperlink>
    </w:p>
    <w:p w:rsidR="00C81C5D" w:rsidRPr="00C81C5D" w:rsidRDefault="00C81C5D" w:rsidP="00C81C5D">
      <w:pPr>
        <w:pStyle w:val="ItemDebated"/>
      </w:pPr>
      <w:r>
        <w:br w:type="page"/>
      </w:r>
      <w:bookmarkStart w:id="10" w:name="_Toc422495440"/>
      <w:r w:rsidRPr="00C81C5D">
        <w:lastRenderedPageBreak/>
        <w:t>CAPITAL MARKETS UNION</w:t>
      </w:r>
      <w:bookmarkEnd w:id="10"/>
    </w:p>
    <w:p w:rsidR="00C81C5D" w:rsidRDefault="00C81C5D" w:rsidP="00445CA6">
      <w:pPr>
        <w:rPr>
          <w:bCs/>
          <w:snapToGrid w:val="0"/>
        </w:rPr>
      </w:pPr>
      <w:r>
        <w:rPr>
          <w:bCs/>
          <w:snapToGrid w:val="0"/>
        </w:rPr>
        <w:t>The Council adopted conclusions on the development of a capital markets union in the EU.</w:t>
      </w:r>
    </w:p>
    <w:p w:rsidR="00C81C5D" w:rsidRPr="00897844" w:rsidRDefault="00C81C5D" w:rsidP="00C81C5D">
      <w:pPr>
        <w:rPr>
          <w:bCs/>
          <w:snapToGrid w:val="0"/>
        </w:rPr>
      </w:pPr>
      <w:r w:rsidRPr="00897844">
        <w:rPr>
          <w:bCs/>
          <w:snapToGrid w:val="0"/>
        </w:rPr>
        <w:t>A variety of measures are planned to strengthen capital markets in Europe so as to attract more investment for companies and for infrastructure projects. Improving access to finance for SMEs and start-ups, especially in innovative industries, is one of the main objectives. The Commission is expected to publish an action plan in autumn 2015.</w:t>
      </w:r>
    </w:p>
    <w:p w:rsidR="00C5118D" w:rsidRPr="00EA5572" w:rsidRDefault="00C5118D" w:rsidP="00C5118D">
      <w:pPr>
        <w:rPr>
          <w:bCs/>
          <w:snapToGrid w:val="0"/>
        </w:rPr>
      </w:pPr>
      <w:r>
        <w:rPr>
          <w:bCs/>
          <w:snapToGrid w:val="0"/>
        </w:rPr>
        <w:t>For details:</w:t>
      </w:r>
    </w:p>
    <w:p w:rsidR="00C81C5D" w:rsidRDefault="00C4599F" w:rsidP="00C81C5D">
      <w:hyperlink r:id="rId27" w:history="1">
        <w:r w:rsidR="00C81C5D" w:rsidRPr="00F46D7A">
          <w:rPr>
            <w:rStyle w:val="Hyperlink"/>
          </w:rPr>
          <w:t xml:space="preserve">June 2015 conclusions on </w:t>
        </w:r>
        <w:r w:rsidR="00445CA6" w:rsidRPr="00F46D7A">
          <w:rPr>
            <w:rStyle w:val="Hyperlink"/>
          </w:rPr>
          <w:t xml:space="preserve">a </w:t>
        </w:r>
        <w:r w:rsidR="00C81C5D" w:rsidRPr="00F46D7A">
          <w:rPr>
            <w:rStyle w:val="Hyperlink"/>
          </w:rPr>
          <w:t>capital markets union</w:t>
        </w:r>
      </w:hyperlink>
    </w:p>
    <w:p w:rsidR="00C81C5D" w:rsidRPr="00512B33" w:rsidRDefault="00C81C5D" w:rsidP="00E148A9">
      <w:pPr>
        <w:pStyle w:val="ItemDebated"/>
        <w:rPr>
          <w:b w:val="0"/>
          <w:bCs/>
        </w:rPr>
      </w:pPr>
      <w:r>
        <w:br w:type="page"/>
      </w:r>
      <w:bookmarkStart w:id="11" w:name="_Toc422495441"/>
      <w:r w:rsidRPr="00C81C5D">
        <w:lastRenderedPageBreak/>
        <w:t>COUNTRY-SPECIFIC RECOMMENDATIONS</w:t>
      </w:r>
      <w:bookmarkEnd w:id="11"/>
    </w:p>
    <w:p w:rsidR="00C81C5D" w:rsidRPr="00512B33" w:rsidRDefault="00C81C5D" w:rsidP="00137D6F">
      <w:r w:rsidRPr="00512B33">
        <w:t>The Council approve</w:t>
      </w:r>
      <w:r w:rsidR="00137D6F">
        <w:t>d</w:t>
      </w:r>
      <w:r w:rsidRPr="00512B33">
        <w:t>, under the 2015 "</w:t>
      </w:r>
      <w:r w:rsidRPr="00512B33">
        <w:rPr>
          <w:iCs/>
        </w:rPr>
        <w:t>European Semester"</w:t>
      </w:r>
      <w:r w:rsidRPr="00512B33">
        <w:t xml:space="preserve"> draft recommendations to 26 member states</w:t>
      </w:r>
      <w:r w:rsidRPr="00512B33">
        <w:rPr>
          <w:rStyle w:val="FootnoteReference"/>
        </w:rPr>
        <w:footnoteReference w:id="2"/>
      </w:r>
      <w:r w:rsidRPr="00512B33">
        <w:t xml:space="preserve"> on the economic policies set out in their national reform programmes. These include draft opinions on the fiscal policies set out in their stability/convergence programmes;</w:t>
      </w:r>
    </w:p>
    <w:p w:rsidR="00C81C5D" w:rsidRDefault="00C81C5D" w:rsidP="00C81C5D">
      <w:r>
        <w:t xml:space="preserve">It also approved </w:t>
      </w:r>
      <w:r w:rsidRPr="00512B33">
        <w:t>a specific draft recommendation on the economic policies of the euro area member states.</w:t>
      </w:r>
    </w:p>
    <w:p w:rsidR="00C81C5D" w:rsidRDefault="00C81C5D" w:rsidP="00C81C5D">
      <w:r>
        <w:t>The texts will be forwarded to the General Affairs Council</w:t>
      </w:r>
      <w:r w:rsidRPr="00512B33">
        <w:t xml:space="preserve"> on 23 June, and to the European Council for endorsement at its meeting on 25 and 26 June 2015</w:t>
      </w:r>
      <w:r>
        <w:t>.</w:t>
      </w:r>
    </w:p>
    <w:p w:rsidR="00C81C5D" w:rsidRDefault="00C81C5D" w:rsidP="00C81C5D">
      <w:r w:rsidRPr="00512B33">
        <w:t>Similar preparations will be made by the Employment, Social Policy, Health and Consumer Affairs Council on 18 June as concerns the memb</w:t>
      </w:r>
      <w:r>
        <w:t>er states' employment policies.</w:t>
      </w:r>
    </w:p>
    <w:p w:rsidR="00C81C5D" w:rsidRPr="00512B33" w:rsidRDefault="00C81C5D" w:rsidP="00C81C5D">
      <w:r w:rsidRPr="00512B33">
        <w:t>The whole package is due to be adopted in July 2015.</w:t>
      </w:r>
    </w:p>
    <w:p w:rsidR="00C5118D" w:rsidRPr="00EA5572" w:rsidRDefault="00C5118D" w:rsidP="00C5118D">
      <w:pPr>
        <w:rPr>
          <w:bCs/>
          <w:snapToGrid w:val="0"/>
        </w:rPr>
      </w:pPr>
      <w:r>
        <w:rPr>
          <w:bCs/>
          <w:snapToGrid w:val="0"/>
        </w:rPr>
        <w:t>For details:</w:t>
      </w:r>
    </w:p>
    <w:p w:rsidR="00C81C5D" w:rsidRPr="00A17B8D" w:rsidRDefault="00C4599F" w:rsidP="00C81C5D">
      <w:pPr>
        <w:rPr>
          <w:u w:val="single"/>
        </w:rPr>
      </w:pPr>
      <w:hyperlink r:id="rId28" w:history="1">
        <w:r w:rsidR="00C81C5D" w:rsidRPr="00F46D7A">
          <w:rPr>
            <w:rStyle w:val="Hyperlink"/>
          </w:rPr>
          <w:t>Press release on draft 2015 country-specific recommendations</w:t>
        </w:r>
      </w:hyperlink>
    </w:p>
    <w:p w:rsidR="00C81C5D" w:rsidRPr="00C81C5D" w:rsidRDefault="00C81C5D" w:rsidP="00C81C5D">
      <w:pPr>
        <w:pStyle w:val="ItemDebated"/>
      </w:pPr>
      <w:r>
        <w:br w:type="page"/>
      </w:r>
      <w:bookmarkStart w:id="12" w:name="_Toc422495442"/>
      <w:r w:rsidRPr="00C81C5D">
        <w:lastRenderedPageBreak/>
        <w:t>BROAD ECONOMIC POLICY GUIDELINES</w:t>
      </w:r>
      <w:bookmarkEnd w:id="12"/>
    </w:p>
    <w:p w:rsidR="00C81C5D" w:rsidRDefault="00C81C5D" w:rsidP="00C81C5D">
      <w:r>
        <w:rPr>
          <w:bCs/>
          <w:snapToGrid w:val="0"/>
        </w:rPr>
        <w:t>The Council approved a report on broad economic policy guidelines for the EU, and agreed to</w:t>
      </w:r>
      <w:r>
        <w:t xml:space="preserve"> forward it to the European Council for endorsement.</w:t>
      </w:r>
    </w:p>
    <w:p w:rsidR="00C5118D" w:rsidRPr="00EA5572" w:rsidRDefault="00C5118D" w:rsidP="00C5118D">
      <w:pPr>
        <w:rPr>
          <w:bCs/>
          <w:snapToGrid w:val="0"/>
        </w:rPr>
      </w:pPr>
      <w:r>
        <w:rPr>
          <w:bCs/>
          <w:snapToGrid w:val="0"/>
        </w:rPr>
        <w:t>For details:</w:t>
      </w:r>
    </w:p>
    <w:p w:rsidR="00C81C5D" w:rsidRDefault="00C4599F" w:rsidP="00F46D7A">
      <w:hyperlink r:id="rId29" w:history="1">
        <w:r w:rsidR="00C81C5D">
          <w:rPr>
            <w:rStyle w:val="Hyperlink"/>
          </w:rPr>
          <w:t>2015 broad economic policy guidelines</w:t>
        </w:r>
      </w:hyperlink>
    </w:p>
    <w:p w:rsidR="00C81C5D" w:rsidRPr="00C81C5D" w:rsidRDefault="00C81C5D" w:rsidP="00C81C5D">
      <w:pPr>
        <w:pStyle w:val="ItemDebated"/>
      </w:pPr>
      <w:r>
        <w:br w:type="page"/>
      </w:r>
      <w:bookmarkStart w:id="13" w:name="_Toc422495443"/>
      <w:r w:rsidRPr="00C81C5D">
        <w:lastRenderedPageBreak/>
        <w:t>ECONOMIC GOVERNANCE IN THE EURO AREA</w:t>
      </w:r>
      <w:bookmarkEnd w:id="13"/>
    </w:p>
    <w:p w:rsidR="00C81C5D" w:rsidRDefault="00C81C5D" w:rsidP="000100EB">
      <w:pPr>
        <w:rPr>
          <w:bCs/>
          <w:snapToGrid w:val="0"/>
        </w:rPr>
      </w:pPr>
      <w:r>
        <w:rPr>
          <w:bCs/>
          <w:snapToGrid w:val="0"/>
        </w:rPr>
        <w:t xml:space="preserve">The Council </w:t>
      </w:r>
      <w:r w:rsidR="000100EB">
        <w:rPr>
          <w:bCs/>
          <w:snapToGrid w:val="0"/>
        </w:rPr>
        <w:t xml:space="preserve">took note of </w:t>
      </w:r>
      <w:r>
        <w:rPr>
          <w:bCs/>
          <w:snapToGrid w:val="0"/>
        </w:rPr>
        <w:t>the preparation of a report on the next steps for improving economic governance in the euro area.</w:t>
      </w:r>
    </w:p>
    <w:p w:rsidR="00C81C5D" w:rsidRDefault="00C81C5D" w:rsidP="00C81C5D">
      <w:r>
        <w:rPr>
          <w:bCs/>
          <w:snapToGrid w:val="0"/>
        </w:rPr>
        <w:t xml:space="preserve">The report will be submitted to the </w:t>
      </w:r>
      <w:r>
        <w:t>European Council on 25 and 26 June 2015. It is being prepared by the presidents of the European Council, the Commission, the European Central Bank and the Eurogroup, in association with the president of the European Parliament.</w:t>
      </w:r>
    </w:p>
    <w:p w:rsidR="00C81C5D" w:rsidRDefault="00C81C5D" w:rsidP="00C81C5D">
      <w:r>
        <w:t>The Council agreed to return to the matter after the June European Council.</w:t>
      </w:r>
    </w:p>
    <w:p w:rsidR="00C81C5D" w:rsidRPr="00C81C5D" w:rsidRDefault="00C81C5D" w:rsidP="00C81C5D">
      <w:pPr>
        <w:pStyle w:val="ItemDebated"/>
      </w:pPr>
      <w:r>
        <w:br w:type="page"/>
      </w:r>
      <w:bookmarkStart w:id="14" w:name="_Toc422495444"/>
      <w:r>
        <w:lastRenderedPageBreak/>
        <w:t>EXCESSIVE DEFICIT PROCDURE - MALTA, POLAND AND THE UNITED KINGDOM</w:t>
      </w:r>
      <w:bookmarkEnd w:id="14"/>
    </w:p>
    <w:p w:rsidR="00C81C5D" w:rsidRPr="00940241" w:rsidRDefault="00C81C5D" w:rsidP="00C81C5D">
      <w:r w:rsidRPr="00940241">
        <w:t>The Council closed excessive deficit procedures for Malta and Poland and issued a new recommendation to the United Kingdom on measures to correct its deficit.</w:t>
      </w:r>
    </w:p>
    <w:p w:rsidR="00C81C5D" w:rsidRPr="00EA5572" w:rsidRDefault="00C81C5D" w:rsidP="00137D6F">
      <w:pPr>
        <w:rPr>
          <w:bCs/>
          <w:snapToGrid w:val="0"/>
        </w:rPr>
      </w:pPr>
      <w:r>
        <w:rPr>
          <w:bCs/>
          <w:snapToGrid w:val="0"/>
        </w:rPr>
        <w:t>A</w:t>
      </w:r>
      <w:r w:rsidRPr="00EA5572">
        <w:rPr>
          <w:bCs/>
          <w:snapToGrid w:val="0"/>
        </w:rPr>
        <w:t>brogat</w:t>
      </w:r>
      <w:r>
        <w:rPr>
          <w:bCs/>
          <w:snapToGrid w:val="0"/>
        </w:rPr>
        <w:t xml:space="preserve">ing </w:t>
      </w:r>
      <w:r w:rsidRPr="00EA5572">
        <w:rPr>
          <w:bCs/>
          <w:snapToGrid w:val="0"/>
        </w:rPr>
        <w:t>decisions</w:t>
      </w:r>
      <w:r>
        <w:rPr>
          <w:bCs/>
          <w:snapToGrid w:val="0"/>
        </w:rPr>
        <w:t xml:space="preserve"> </w:t>
      </w:r>
      <w:r w:rsidRPr="00EA5572">
        <w:rPr>
          <w:bCs/>
          <w:snapToGrid w:val="0"/>
        </w:rPr>
        <w:t>on the existence of excessive d</w:t>
      </w:r>
      <w:r>
        <w:rPr>
          <w:bCs/>
          <w:snapToGrid w:val="0"/>
        </w:rPr>
        <w:t>eficits in Malta and Poland, i</w:t>
      </w:r>
      <w:r w:rsidRPr="00EA5572">
        <w:rPr>
          <w:bCs/>
          <w:snapToGrid w:val="0"/>
        </w:rPr>
        <w:t>t confirm</w:t>
      </w:r>
      <w:r>
        <w:rPr>
          <w:bCs/>
          <w:snapToGrid w:val="0"/>
        </w:rPr>
        <w:t>ed</w:t>
      </w:r>
      <w:r w:rsidRPr="00EA5572">
        <w:rPr>
          <w:bCs/>
          <w:snapToGrid w:val="0"/>
        </w:rPr>
        <w:t xml:space="preserve"> that </w:t>
      </w:r>
      <w:r>
        <w:t xml:space="preserve">they </w:t>
      </w:r>
      <w:r w:rsidRPr="00EA5572">
        <w:rPr>
          <w:bCs/>
          <w:snapToGrid w:val="0"/>
        </w:rPr>
        <w:t>have reduced their deficits below 3% of GDP, the EU's reference value for government deficits.</w:t>
      </w:r>
    </w:p>
    <w:p w:rsidR="00C81C5D" w:rsidRDefault="00C81C5D" w:rsidP="00C81C5D">
      <w:pPr>
        <w:rPr>
          <w:bCs/>
          <w:snapToGrid w:val="0"/>
        </w:rPr>
      </w:pPr>
      <w:r w:rsidRPr="00EA5572">
        <w:rPr>
          <w:bCs/>
          <w:snapToGrid w:val="0"/>
        </w:rPr>
        <w:t>As a consequence, nine of the EU's 28 member states remain subject to the excessive deficit procedure, down from 24 during a 12-month period in 2010 and 2011. Most of these procedures were opened after the global financial crisis and recession of 2008 and 2009. The excessive deficit procedure has been used to support a return to sound fiscal positions.</w:t>
      </w:r>
    </w:p>
    <w:p w:rsidR="00C81C5D" w:rsidRPr="00EA5572" w:rsidRDefault="00C81C5D" w:rsidP="00C81C5D">
      <w:pPr>
        <w:rPr>
          <w:bCs/>
          <w:snapToGrid w:val="0"/>
        </w:rPr>
      </w:pPr>
      <w:r>
        <w:rPr>
          <w:bCs/>
          <w:snapToGrid w:val="0"/>
        </w:rPr>
        <w:t>As for t</w:t>
      </w:r>
      <w:r w:rsidRPr="00EA5572">
        <w:rPr>
          <w:bCs/>
          <w:snapToGrid w:val="0"/>
        </w:rPr>
        <w:t xml:space="preserve">he </w:t>
      </w:r>
      <w:r w:rsidRPr="00B24941">
        <w:rPr>
          <w:bCs/>
          <w:snapToGrid w:val="0"/>
        </w:rPr>
        <w:t>United Kingdom</w:t>
      </w:r>
      <w:r>
        <w:rPr>
          <w:bCs/>
          <w:snapToGrid w:val="0"/>
        </w:rPr>
        <w:t>,</w:t>
      </w:r>
      <w:r w:rsidRPr="00EA5572">
        <w:rPr>
          <w:bCs/>
          <w:snapToGrid w:val="0"/>
        </w:rPr>
        <w:t xml:space="preserve"> the Council </w:t>
      </w:r>
      <w:r>
        <w:rPr>
          <w:bCs/>
          <w:snapToGrid w:val="0"/>
        </w:rPr>
        <w:t>fou</w:t>
      </w:r>
      <w:r w:rsidRPr="00EA5572">
        <w:rPr>
          <w:bCs/>
          <w:snapToGrid w:val="0"/>
        </w:rPr>
        <w:t xml:space="preserve">nd that </w:t>
      </w:r>
      <w:r>
        <w:rPr>
          <w:bCs/>
          <w:snapToGrid w:val="0"/>
        </w:rPr>
        <w:t>it had</w:t>
      </w:r>
      <w:r w:rsidRPr="00EA5572">
        <w:rPr>
          <w:bCs/>
          <w:snapToGrid w:val="0"/>
        </w:rPr>
        <w:t xml:space="preserve"> not taken </w:t>
      </w:r>
      <w:r>
        <w:rPr>
          <w:bCs/>
          <w:snapToGrid w:val="0"/>
        </w:rPr>
        <w:t>sufficient</w:t>
      </w:r>
      <w:r w:rsidRPr="00EA5572">
        <w:rPr>
          <w:bCs/>
          <w:snapToGrid w:val="0"/>
        </w:rPr>
        <w:t xml:space="preserve"> action in response to its recommendation under the excessive deficit procedure. </w:t>
      </w:r>
      <w:r>
        <w:rPr>
          <w:bCs/>
          <w:snapToGrid w:val="0"/>
        </w:rPr>
        <w:t xml:space="preserve">The </w:t>
      </w:r>
      <w:r w:rsidRPr="00EA5572">
        <w:rPr>
          <w:bCs/>
          <w:snapToGrid w:val="0"/>
        </w:rPr>
        <w:t>new recommendation extend</w:t>
      </w:r>
      <w:r>
        <w:rPr>
          <w:bCs/>
          <w:snapToGrid w:val="0"/>
        </w:rPr>
        <w:t>s by two years</w:t>
      </w:r>
      <w:r w:rsidRPr="00EA5572">
        <w:rPr>
          <w:bCs/>
          <w:snapToGrid w:val="0"/>
        </w:rPr>
        <w:t>, to the 2016-17 financial year, the deadline set for the UK to reduce its deficit below 3% of GDP.</w:t>
      </w:r>
    </w:p>
    <w:p w:rsidR="00C81C5D" w:rsidRDefault="00C81C5D" w:rsidP="00C81C5D">
      <w:pPr>
        <w:rPr>
          <w:bCs/>
          <w:snapToGrid w:val="0"/>
        </w:rPr>
      </w:pPr>
      <w:r w:rsidRPr="00EA5572">
        <w:rPr>
          <w:bCs/>
          <w:snapToGrid w:val="0"/>
        </w:rPr>
        <w:t>As the UK (like Poland) is not a member of the euro area, it cannot face sanctions under the excessive deficit procedure.</w:t>
      </w:r>
    </w:p>
    <w:p w:rsidR="00C5118D" w:rsidRPr="00EA5572" w:rsidRDefault="00C5118D" w:rsidP="00C81C5D">
      <w:pPr>
        <w:rPr>
          <w:bCs/>
          <w:snapToGrid w:val="0"/>
        </w:rPr>
      </w:pPr>
      <w:r>
        <w:rPr>
          <w:bCs/>
          <w:snapToGrid w:val="0"/>
        </w:rPr>
        <w:t>For details:</w:t>
      </w:r>
    </w:p>
    <w:p w:rsidR="00C81C5D" w:rsidRPr="00B24941" w:rsidRDefault="00C4599F" w:rsidP="00F46D7A">
      <w:pPr>
        <w:rPr>
          <w:u w:val="single"/>
        </w:rPr>
      </w:pPr>
      <w:hyperlink r:id="rId30" w:history="1">
        <w:r w:rsidR="00C81C5D" w:rsidRPr="00F46D7A">
          <w:rPr>
            <w:rStyle w:val="Hyperlink"/>
          </w:rPr>
          <w:t>Press release on 2015 closure of the excessive deficit procedure for Malta and Poland</w:t>
        </w:r>
      </w:hyperlink>
      <w:r w:rsidR="00F46D7A">
        <w:rPr>
          <w:u w:val="single"/>
        </w:rPr>
        <w:br/>
      </w:r>
      <w:hyperlink r:id="rId31" w:history="1">
        <w:r w:rsidR="00C81C5D" w:rsidRPr="00F46D7A">
          <w:rPr>
            <w:rStyle w:val="Hyperlink"/>
          </w:rPr>
          <w:t>Press release on 2015 recommendation to the UK under the excessive deficit procedure</w:t>
        </w:r>
      </w:hyperlink>
    </w:p>
    <w:p w:rsidR="007B2375" w:rsidRPr="007B2375" w:rsidRDefault="007B2375" w:rsidP="007B2375">
      <w:pPr>
        <w:pStyle w:val="ItemDebated"/>
      </w:pPr>
      <w:r>
        <w:br w:type="page"/>
      </w:r>
      <w:bookmarkStart w:id="15" w:name="_Toc422495445"/>
      <w:r w:rsidRPr="007B2375">
        <w:lastRenderedPageBreak/>
        <w:t>OTHER BUSINESS</w:t>
      </w:r>
      <w:bookmarkEnd w:id="15"/>
    </w:p>
    <w:p w:rsidR="007B2375" w:rsidRDefault="007B2375" w:rsidP="007B2375">
      <w:pPr>
        <w:tabs>
          <w:tab w:val="left" w:pos="567"/>
        </w:tabs>
        <w:ind w:left="567" w:hanging="567"/>
        <w:rPr>
          <w:b/>
          <w:bCs/>
          <w:i/>
          <w:iCs/>
        </w:rPr>
      </w:pPr>
      <w:r>
        <w:rPr>
          <w:b/>
          <w:bCs/>
          <w:i/>
          <w:iCs/>
        </w:rPr>
        <w:t>-</w:t>
      </w:r>
      <w:r>
        <w:rPr>
          <w:b/>
          <w:bCs/>
          <w:i/>
          <w:iCs/>
        </w:rPr>
        <w:tab/>
        <w:t>Ongoing work on legislative dossiers</w:t>
      </w:r>
    </w:p>
    <w:p w:rsidR="007B2375" w:rsidRDefault="007B2375" w:rsidP="007B2375">
      <w:pPr>
        <w:tabs>
          <w:tab w:val="left" w:pos="567"/>
        </w:tabs>
        <w:ind w:left="567" w:hanging="567"/>
      </w:pPr>
      <w:r>
        <w:t>The Council took note of on-going legislative work on financial services dossiers.</w:t>
      </w:r>
    </w:p>
    <w:p w:rsidR="007B2375" w:rsidRDefault="007B2375" w:rsidP="007B2375">
      <w:pPr>
        <w:tabs>
          <w:tab w:val="left" w:pos="567"/>
        </w:tabs>
        <w:ind w:left="567" w:hanging="567"/>
        <w:rPr>
          <w:b/>
          <w:bCs/>
          <w:i/>
          <w:iCs/>
        </w:rPr>
      </w:pPr>
      <w:r>
        <w:rPr>
          <w:b/>
          <w:bCs/>
          <w:i/>
          <w:iCs/>
        </w:rPr>
        <w:t>-</w:t>
      </w:r>
      <w:r>
        <w:rPr>
          <w:b/>
          <w:bCs/>
          <w:i/>
          <w:iCs/>
        </w:rPr>
        <w:tab/>
        <w:t>Action plan on corporate taxation</w:t>
      </w:r>
    </w:p>
    <w:p w:rsidR="007B2375" w:rsidRDefault="007B2375" w:rsidP="007B2375">
      <w:pPr>
        <w:tabs>
          <w:tab w:val="left" w:pos="567"/>
        </w:tabs>
        <w:ind w:left="567" w:hanging="567"/>
      </w:pPr>
      <w:r>
        <w:t>The Commission presented an action plan on corporate taxation.</w:t>
      </w:r>
    </w:p>
    <w:p w:rsidR="007B2375" w:rsidRDefault="00C4599F" w:rsidP="00F46D7A">
      <w:hyperlink r:id="rId32" w:history="1">
        <w:r w:rsidR="007B2375" w:rsidRPr="00F46D7A">
          <w:rPr>
            <w:rStyle w:val="Hyperlink"/>
          </w:rPr>
          <w:t>Press release on Commission action plan on corporate taxation</w:t>
        </w:r>
      </w:hyperlink>
    </w:p>
    <w:p w:rsidR="00C81C5D" w:rsidRPr="00C81C5D" w:rsidRDefault="00C81C5D" w:rsidP="00C81C5D">
      <w:pPr>
        <w:pStyle w:val="ItemDebated"/>
      </w:pPr>
      <w:r>
        <w:br w:type="page"/>
      </w:r>
      <w:bookmarkStart w:id="16" w:name="_Toc422495446"/>
      <w:r w:rsidRPr="00C81C5D">
        <w:lastRenderedPageBreak/>
        <w:t>MEETINGS IN THE MARGINS OF THE COUNCIL</w:t>
      </w:r>
      <w:bookmarkEnd w:id="16"/>
    </w:p>
    <w:p w:rsidR="00C81C5D" w:rsidRDefault="00C81C5D" w:rsidP="00C81C5D">
      <w:pPr>
        <w:rPr>
          <w:b/>
          <w:bCs/>
          <w:i/>
          <w:iCs/>
        </w:rPr>
      </w:pPr>
      <w:r>
        <w:rPr>
          <w:b/>
          <w:bCs/>
          <w:i/>
          <w:iCs/>
        </w:rPr>
        <w:t>-</w:t>
      </w:r>
      <w:r>
        <w:rPr>
          <w:b/>
          <w:bCs/>
          <w:i/>
          <w:iCs/>
        </w:rPr>
        <w:tab/>
        <w:t>ESM board of governors</w:t>
      </w:r>
    </w:p>
    <w:p w:rsidR="00C81C5D" w:rsidRDefault="00C81C5D" w:rsidP="00C81C5D">
      <w:r>
        <w:t>The board of governors of the European Stability Mechanism held a meeting on 18 June 2015.</w:t>
      </w:r>
    </w:p>
    <w:p w:rsidR="00C81C5D" w:rsidRDefault="00C81C5D" w:rsidP="00C81C5D">
      <w:pPr>
        <w:rPr>
          <w:b/>
          <w:bCs/>
          <w:i/>
          <w:iCs/>
        </w:rPr>
      </w:pPr>
      <w:r>
        <w:rPr>
          <w:b/>
          <w:bCs/>
          <w:i/>
          <w:iCs/>
        </w:rPr>
        <w:t>-</w:t>
      </w:r>
      <w:r>
        <w:rPr>
          <w:b/>
          <w:bCs/>
          <w:i/>
          <w:iCs/>
        </w:rPr>
        <w:tab/>
        <w:t>Eurogroup</w:t>
      </w:r>
    </w:p>
    <w:p w:rsidR="00C81C5D" w:rsidRDefault="00C81C5D" w:rsidP="007E3D7B">
      <w:r>
        <w:t>Ministers of the euro area</w:t>
      </w:r>
      <w:r w:rsidR="007E3D7B">
        <w:t xml:space="preserve"> member states attended a meeting</w:t>
      </w:r>
      <w:r>
        <w:t xml:space="preserve"> of the Eurogroup on 18 June 2015.</w:t>
      </w:r>
      <w:r w:rsidR="007E3D7B">
        <w:t xml:space="preserve"> T</w:t>
      </w:r>
      <w:r>
        <w:t>hey discussed the situation in Greece, the sixth review of Cyprus's economic adjustment programme, the second review of post-programme surveillance in Portugal</w:t>
      </w:r>
      <w:r w:rsidR="007E3D7B">
        <w:t>,</w:t>
      </w:r>
      <w:r>
        <w:t xml:space="preserve"> and the IMF's annual review of the economic situation in the euro area.</w:t>
      </w:r>
    </w:p>
    <w:p w:rsidR="00C81C5D" w:rsidRDefault="00C81C5D" w:rsidP="00C5118D">
      <w:pPr>
        <w:rPr>
          <w:b/>
          <w:bCs/>
          <w:i/>
          <w:iCs/>
        </w:rPr>
      </w:pPr>
      <w:r>
        <w:rPr>
          <w:b/>
          <w:bCs/>
          <w:i/>
          <w:iCs/>
        </w:rPr>
        <w:t>-</w:t>
      </w:r>
      <w:r>
        <w:rPr>
          <w:b/>
          <w:bCs/>
          <w:i/>
          <w:iCs/>
        </w:rPr>
        <w:tab/>
        <w:t xml:space="preserve">EIB </w:t>
      </w:r>
      <w:r w:rsidR="00C5118D">
        <w:rPr>
          <w:b/>
          <w:bCs/>
          <w:i/>
          <w:iCs/>
        </w:rPr>
        <w:t>board of governors</w:t>
      </w:r>
    </w:p>
    <w:p w:rsidR="00C81C5D" w:rsidRDefault="00C81C5D" w:rsidP="00C81C5D">
      <w:r>
        <w:t xml:space="preserve">Ministers met in their capacity as governors of the European Investment Bank for the annual EIB </w:t>
      </w:r>
      <w:r w:rsidR="00C5118D">
        <w:t xml:space="preserve">board of </w:t>
      </w:r>
      <w:r>
        <w:t>governors meeting.</w:t>
      </w:r>
    </w:p>
    <w:p w:rsidR="00C81C5D" w:rsidRPr="00A503F9" w:rsidRDefault="00C81C5D" w:rsidP="00C81C5D">
      <w:pPr>
        <w:rPr>
          <w:b/>
          <w:bCs/>
          <w:i/>
          <w:iCs/>
        </w:rPr>
      </w:pPr>
      <w:r>
        <w:rPr>
          <w:b/>
          <w:bCs/>
          <w:i/>
          <w:iCs/>
        </w:rPr>
        <w:t>-</w:t>
      </w:r>
      <w:r>
        <w:rPr>
          <w:b/>
          <w:bCs/>
          <w:i/>
          <w:iCs/>
        </w:rPr>
        <w:tab/>
        <w:t>Ministerial breakfast</w:t>
      </w:r>
    </w:p>
    <w:p w:rsidR="00C81C5D" w:rsidRDefault="00C81C5D" w:rsidP="00C81C5D">
      <w:r>
        <w:t>Ministers held a breakfast meeting to discuss the economic situation.</w:t>
      </w:r>
    </w:p>
    <w:p w:rsidR="004D6AAD" w:rsidRDefault="004D6AAD" w:rsidP="004D6AAD">
      <w:pPr>
        <w:sectPr w:rsidR="004D6AAD" w:rsidSect="00C4599F">
          <w:footnotePr>
            <w:numRestart w:val="eachPage"/>
          </w:footnotePr>
          <w:pgSz w:w="11907" w:h="16840" w:code="9"/>
          <w:pgMar w:top="1134" w:right="1134" w:bottom="1134" w:left="1134" w:header="567" w:footer="567" w:gutter="0"/>
          <w:cols w:space="708"/>
          <w:docGrid w:linePitch="360"/>
        </w:sectPr>
      </w:pPr>
    </w:p>
    <w:p w:rsidR="004D6AAD" w:rsidRDefault="004D6AAD" w:rsidP="004D6AAD">
      <w:pPr>
        <w:pStyle w:val="ItemsApprovedHeading"/>
      </w:pPr>
      <w:r w:rsidRPr="004D6AAD">
        <w:lastRenderedPageBreak/>
        <w:t>OTHER ITEMS APPROVED</w:t>
      </w:r>
    </w:p>
    <w:p w:rsidR="00790BA6" w:rsidRPr="00991B0C" w:rsidRDefault="00790BA6" w:rsidP="00991B0C">
      <w:pPr>
        <w:pStyle w:val="ItemApproved"/>
      </w:pPr>
      <w:r w:rsidRPr="00991B0C">
        <w:t>ECONOMIC AND FINANCIAL AFFAIRS</w:t>
      </w:r>
    </w:p>
    <w:p w:rsidR="00A027A6" w:rsidRPr="00991B0C" w:rsidRDefault="00A027A6" w:rsidP="00991B0C">
      <w:pPr>
        <w:pStyle w:val="Sub-itemApproved"/>
      </w:pPr>
      <w:bookmarkStart w:id="17" w:name="_Toc422495448"/>
      <w:r w:rsidRPr="00991B0C">
        <w:t>Code of conduct on business taxation</w:t>
      </w:r>
      <w:bookmarkEnd w:id="17"/>
    </w:p>
    <w:p w:rsidR="00DB5CB0" w:rsidRDefault="00A027A6" w:rsidP="00A027A6">
      <w:r>
        <w:t xml:space="preserve">The Council </w:t>
      </w:r>
      <w:r w:rsidR="00DB5CB0">
        <w:t>endorsed a working group report on implementation of a code of conduct aimed at eliminating situations of harmful tax competition.</w:t>
      </w:r>
    </w:p>
    <w:p w:rsidR="00A027A6" w:rsidRDefault="00DB5CB0" w:rsidP="00A027A6">
      <w:r>
        <w:t xml:space="preserve">It </w:t>
      </w:r>
      <w:r w:rsidR="00A027A6">
        <w:t>adopted the following conclusions:</w:t>
      </w:r>
    </w:p>
    <w:p w:rsidR="00991B0C" w:rsidRDefault="00991B0C" w:rsidP="00991B0C">
      <w:pPr>
        <w:tabs>
          <w:tab w:val="left" w:pos="550"/>
        </w:tabs>
      </w:pPr>
      <w:r>
        <w:t>"With regard to the Code of Conduct (Business Taxation), the Council:</w:t>
      </w:r>
    </w:p>
    <w:p w:rsidR="00991B0C" w:rsidRDefault="00991B0C" w:rsidP="00F46D7A">
      <w:pPr>
        <w:pStyle w:val="Tiret0"/>
      </w:pPr>
      <w:r w:rsidRPr="00C30813">
        <w:t xml:space="preserve">welcomes the progress achieved by the Code Group during the </w:t>
      </w:r>
      <w:r>
        <w:t xml:space="preserve">Latvian </w:t>
      </w:r>
      <w:r w:rsidRPr="00C30813">
        <w:t xml:space="preserve">Presidency as set out in </w:t>
      </w:r>
      <w:r>
        <w:t>its</w:t>
      </w:r>
      <w:r w:rsidRPr="00C30813">
        <w:t xml:space="preserve"> report</w:t>
      </w:r>
      <w:r>
        <w:t xml:space="preserve"> (doc. 9620/15 FISC 60 ECOFIN 443);</w:t>
      </w:r>
    </w:p>
    <w:p w:rsidR="00991B0C" w:rsidRDefault="00991B0C" w:rsidP="00F46D7A">
      <w:pPr>
        <w:pStyle w:val="Tiret0"/>
      </w:pPr>
      <w:r>
        <w:t>invites the Group to continue its discussion on the future of the Group;</w:t>
      </w:r>
    </w:p>
    <w:p w:rsidR="00991B0C" w:rsidRDefault="00991B0C" w:rsidP="00F46D7A">
      <w:pPr>
        <w:pStyle w:val="Tiret0"/>
      </w:pPr>
      <w:r w:rsidRPr="00C30813">
        <w:t>asks the Group to continue monitoring standstill and the implementation of the rollback as well as its work u</w:t>
      </w:r>
      <w:r>
        <w:t>nder the Work Package 2011;</w:t>
      </w:r>
    </w:p>
    <w:p w:rsidR="00991B0C" w:rsidRDefault="00991B0C" w:rsidP="00F46D7A">
      <w:pPr>
        <w:pStyle w:val="Tiret0"/>
      </w:pPr>
      <w:r>
        <w:t>invites</w:t>
      </w:r>
      <w:r w:rsidRPr="00C30813">
        <w:t xml:space="preserve"> the Commission to </w:t>
      </w:r>
      <w:r>
        <w:t>continue the dialogue with Liechtenstein</w:t>
      </w:r>
      <w:r w:rsidRPr="00C30813">
        <w:t xml:space="preserve"> </w:t>
      </w:r>
      <w:r>
        <w:t>on the application of the principles of the Code of Conduct, as set out in the report;</w:t>
      </w:r>
    </w:p>
    <w:p w:rsidR="00991B0C" w:rsidRDefault="00991B0C" w:rsidP="00F46D7A">
      <w:pPr>
        <w:pStyle w:val="Tiret0"/>
      </w:pPr>
      <w:r>
        <w:t>invites the Group to continue to monitor the alignment of the Patent boxes regimes in line with the compromise on the nexus approach;</w:t>
      </w:r>
    </w:p>
    <w:p w:rsidR="00991B0C" w:rsidRDefault="00991B0C" w:rsidP="00DB5CB0">
      <w:pPr>
        <w:pStyle w:val="Tiret0"/>
      </w:pPr>
      <w:r w:rsidRPr="00C30813">
        <w:t xml:space="preserve">invites the Group to report back on its work to the Council by the end of the </w:t>
      </w:r>
      <w:r>
        <w:t xml:space="preserve">Luxembourg </w:t>
      </w:r>
      <w:r w:rsidRPr="00C30813">
        <w:t>Presidency</w:t>
      </w:r>
      <w:r w:rsidR="00DB5CB0">
        <w:t>."</w:t>
      </w:r>
    </w:p>
    <w:p w:rsidR="00991B0C" w:rsidRPr="00991B0C" w:rsidRDefault="00F46D7A" w:rsidP="00991B0C">
      <w:pPr>
        <w:pStyle w:val="Sub-itemApproved"/>
      </w:pPr>
      <w:r>
        <w:br w:type="page"/>
      </w:r>
      <w:bookmarkStart w:id="18" w:name="_Toc422495449"/>
      <w:r w:rsidR="00991B0C" w:rsidRPr="00991B0C">
        <w:lastRenderedPageBreak/>
        <w:t>Taxation - Reports to the European Council</w:t>
      </w:r>
      <w:bookmarkEnd w:id="18"/>
    </w:p>
    <w:p w:rsidR="00991B0C" w:rsidRDefault="00991B0C" w:rsidP="00991B0C">
      <w:r>
        <w:t>The Council endorsed two six-monthly reports to the European Council:</w:t>
      </w:r>
    </w:p>
    <w:p w:rsidR="00991B0C" w:rsidRDefault="00991B0C" w:rsidP="00991B0C">
      <w:r>
        <w:t>-</w:t>
      </w:r>
      <w:r>
        <w:tab/>
        <w:t>a report on tax issues; and</w:t>
      </w:r>
    </w:p>
    <w:p w:rsidR="00991B0C" w:rsidRDefault="00991B0C" w:rsidP="00991B0C">
      <w:r>
        <w:t>-</w:t>
      </w:r>
      <w:r>
        <w:tab/>
        <w:t xml:space="preserve">a report on tax issues by finance ministers participating in the </w:t>
      </w:r>
      <w:r w:rsidRPr="002529A8">
        <w:rPr>
          <w:snapToGrid w:val="0"/>
        </w:rPr>
        <w:t>Euro Plus Pact</w:t>
      </w:r>
      <w:r>
        <w:rPr>
          <w:rStyle w:val="FootnoteReference"/>
          <w:snapToGrid w:val="0"/>
        </w:rPr>
        <w:footnoteReference w:id="3"/>
      </w:r>
      <w:r>
        <w:t>.</w:t>
      </w:r>
    </w:p>
    <w:p w:rsidR="007C70FD" w:rsidRPr="00991B0C" w:rsidRDefault="007C70FD" w:rsidP="007C70FD">
      <w:pPr>
        <w:pStyle w:val="Sub-itemApproved"/>
      </w:pPr>
      <w:bookmarkStart w:id="19" w:name="_Toc422495450"/>
      <w:r w:rsidRPr="00991B0C">
        <w:t>Accounting: Product classification</w:t>
      </w:r>
      <w:bookmarkEnd w:id="19"/>
    </w:p>
    <w:p w:rsidR="007C70FD" w:rsidRDefault="007C70FD" w:rsidP="007C70FD">
      <w:r w:rsidRPr="00B51FA8">
        <w:t xml:space="preserve">The Council decided not to object to the adoption by the Commission of a regulation amending </w:t>
      </w:r>
      <w:r>
        <w:t>the methodology for the classification of products by activity given in annex A to regulation 549/2013 on the European system of national and regional accounts in the EU.</w:t>
      </w:r>
    </w:p>
    <w:p w:rsidR="007C70FD" w:rsidRPr="00B51FA8" w:rsidRDefault="007C70FD" w:rsidP="007C70FD">
      <w:r>
        <w:rPr>
          <w:noProof/>
        </w:rPr>
        <w:t xml:space="preserve">The regulation amends the methodology for the current European system of accounts (ESA 2010) by bringing the references made in annex A to the classification of products by activity into line with the new classification introduced by </w:t>
      </w:r>
      <w:r>
        <w:rPr>
          <w:bCs/>
          <w:noProof/>
        </w:rPr>
        <w:t>regulation 1209/2014</w:t>
      </w:r>
      <w:r>
        <w:rPr>
          <w:rStyle w:val="FootnoteReference"/>
          <w:noProof/>
        </w:rPr>
        <w:footnoteReference w:id="4"/>
      </w:r>
      <w:r>
        <w:rPr>
          <w:noProof/>
        </w:rPr>
        <w:t>.</w:t>
      </w:r>
    </w:p>
    <w:p w:rsidR="007C70FD" w:rsidRPr="00B51FA8" w:rsidRDefault="007C70FD" w:rsidP="007C70FD">
      <w:r w:rsidRPr="00B51FA8">
        <w:t>The regulation is a delegated act pursuant to article 290 of the Treaty on the Functioning of the EU. The act can now enter into force, unless the European Parliament objects.</w:t>
      </w:r>
    </w:p>
    <w:p w:rsidR="007C70FD" w:rsidRPr="00991B0C" w:rsidRDefault="007C70FD" w:rsidP="007C70FD">
      <w:pPr>
        <w:pStyle w:val="Sub-itemApproved"/>
      </w:pPr>
      <w:bookmarkStart w:id="20" w:name="_Toc422495451"/>
      <w:r>
        <w:t xml:space="preserve">Accounting: </w:t>
      </w:r>
      <w:r w:rsidRPr="00991B0C">
        <w:t>R&amp;D expenditure</w:t>
      </w:r>
      <w:bookmarkEnd w:id="20"/>
    </w:p>
    <w:p w:rsidR="007C70FD" w:rsidRDefault="007C70FD" w:rsidP="007C70FD">
      <w:pPr>
        <w:rPr>
          <w:noProof/>
        </w:rPr>
      </w:pPr>
      <w:r w:rsidRPr="00B51FA8">
        <w:t xml:space="preserve">The Council decided not to object to the adoption by the Commission of a regulation </w:t>
      </w:r>
      <w:r>
        <w:t xml:space="preserve">supplementing regulation 549/2013 on the European system of national and regional accounts with regard to </w:t>
      </w:r>
      <w:r>
        <w:rPr>
          <w:noProof/>
        </w:rPr>
        <w:t>the format in which national accounts data on research and development expenditure should be submitted.</w:t>
      </w:r>
    </w:p>
    <w:p w:rsidR="007C70FD" w:rsidRPr="00B51FA8" w:rsidRDefault="007C70FD" w:rsidP="007C70FD">
      <w:r w:rsidRPr="00B51FA8">
        <w:t>The regulation is a delegated act pursuant to article 290 of the Treaty on the Functioning of the EU. The act can now enter into force, unless the European Parliament objects.</w:t>
      </w:r>
    </w:p>
    <w:p w:rsidR="007C70FD" w:rsidRDefault="007C70FD" w:rsidP="007C70FD">
      <w:pPr>
        <w:pStyle w:val="Sub-itemApproved"/>
      </w:pPr>
      <w:r>
        <w:br w:type="page"/>
      </w:r>
      <w:bookmarkStart w:id="21" w:name="_Toc422495452"/>
      <w:r>
        <w:lastRenderedPageBreak/>
        <w:t>German central bank - External auditors</w:t>
      </w:r>
      <w:bookmarkEnd w:id="21"/>
    </w:p>
    <w:p w:rsidR="007C70FD" w:rsidRDefault="007C70FD" w:rsidP="007C70FD">
      <w:pPr>
        <w:outlineLvl w:val="0"/>
      </w:pPr>
      <w:r w:rsidRPr="001A7429">
        <w:t xml:space="preserve">The Council adopted a decision approving the appointment of </w:t>
      </w:r>
      <w:r>
        <w:t xml:space="preserve">'KPMG AG </w:t>
      </w:r>
      <w:r w:rsidRPr="00311349">
        <w:t>Wirtschaftsprüfungsgesellschaft</w:t>
      </w:r>
      <w:r w:rsidR="00137D6F">
        <w:t xml:space="preserve"> </w:t>
      </w:r>
      <w:r w:rsidRPr="001A7429">
        <w:rPr>
          <w:color w:val="000000"/>
        </w:rPr>
        <w:t>as external auditors of the</w:t>
      </w:r>
      <w:r>
        <w:t xml:space="preserve"> </w:t>
      </w:r>
      <w:r w:rsidRPr="00311349">
        <w:t>Deutsche Bundesbank for the financial years 2015 to 2020.</w:t>
      </w:r>
    </w:p>
    <w:p w:rsidR="00991B0C" w:rsidRPr="00991B0C" w:rsidRDefault="00991B0C" w:rsidP="00991B0C">
      <w:pPr>
        <w:pStyle w:val="Sub-itemApproved"/>
      </w:pPr>
      <w:bookmarkStart w:id="22" w:name="_Toc422495453"/>
      <w:r w:rsidRPr="00991B0C">
        <w:t>VAT derogation - Denmark</w:t>
      </w:r>
      <w:bookmarkEnd w:id="22"/>
    </w:p>
    <w:p w:rsidR="00991B0C" w:rsidRDefault="00991B0C" w:rsidP="00991B0C">
      <w:r>
        <w:t>The Council adopted a decision authorising Denmark, by way of derogation from article 75 of directive 2006/112/EC, to introduce a flat-rate scheme for the private use of light goods vehicles with a maximum authorised weight of three tonnes which have been registered solely for business use. The measure will not apply where the private use exceeds 20 days per calendar year.</w:t>
      </w:r>
    </w:p>
    <w:p w:rsidR="00991B0C" w:rsidRDefault="00991B0C" w:rsidP="00991B0C">
      <w:r>
        <w:t>The scheme is aimed at simplifying VAT collection and combat</w:t>
      </w:r>
      <w:r w:rsidR="00137D6F">
        <w:t>ing</w:t>
      </w:r>
      <w:r>
        <w:t xml:space="preserve"> tax evasion.</w:t>
      </w:r>
    </w:p>
    <w:p w:rsidR="00991B0C" w:rsidRDefault="00991B0C" w:rsidP="00991B0C">
      <w:r>
        <w:t>The decision will apply until 31 December 2017.</w:t>
      </w:r>
    </w:p>
    <w:p w:rsidR="00991B0C" w:rsidRPr="00991B0C" w:rsidRDefault="00991B0C" w:rsidP="00991B0C">
      <w:pPr>
        <w:pStyle w:val="Sub-itemApproved"/>
      </w:pPr>
      <w:bookmarkStart w:id="23" w:name="_Toc422495454"/>
      <w:r w:rsidRPr="00991B0C">
        <w:t>Shore-side electricity - Denmark</w:t>
      </w:r>
      <w:bookmarkEnd w:id="23"/>
    </w:p>
    <w:p w:rsidR="00991B0C" w:rsidRDefault="00991B0C" w:rsidP="00137D6F">
      <w:r>
        <w:t xml:space="preserve">The Council adopted a decision authorising Denmark, in accordance with article 19 of directive 2003/96/EC, to apply a </w:t>
      </w:r>
      <w:r>
        <w:rPr>
          <w:noProof/>
        </w:rPr>
        <w:t>reduced rate of taxation to electricity supplied</w:t>
      </w:r>
      <w:r w:rsidR="00137D6F">
        <w:rPr>
          <w:noProof/>
        </w:rPr>
        <w:t xml:space="preserve"> directly</w:t>
      </w:r>
      <w:r>
        <w:rPr>
          <w:noProof/>
        </w:rPr>
        <w:t xml:space="preserve"> to vessels berthed in ports.</w:t>
      </w:r>
      <w:r>
        <w:t xml:space="preserve"> This is aimed at </w:t>
      </w:r>
      <w:r>
        <w:rPr>
          <w:noProof/>
        </w:rPr>
        <w:t>promoting the use of shore-side electricity in order to reduce air pollution in port cities and improve local air quality</w:t>
      </w:r>
      <w:r>
        <w:t>.</w:t>
      </w:r>
    </w:p>
    <w:p w:rsidR="00991B0C" w:rsidRDefault="00991B0C" w:rsidP="00991B0C">
      <w:r>
        <w:rPr>
          <w:noProof/>
        </w:rPr>
        <w:t>The measure would not apply to private pleasure craft. The minimum levels of taxation referred to in article 10 of directive 2003/96/EC would have to be respected</w:t>
      </w:r>
      <w:r>
        <w:t>.</w:t>
      </w:r>
    </w:p>
    <w:p w:rsidR="00991B0C" w:rsidRDefault="00991B0C" w:rsidP="00991B0C">
      <w:pPr>
        <w:rPr>
          <w:noProof/>
          <w:lang w:val="en"/>
        </w:rPr>
      </w:pPr>
      <w:r>
        <w:t xml:space="preserve">The decision will </w:t>
      </w:r>
      <w:r>
        <w:rPr>
          <w:noProof/>
        </w:rPr>
        <w:t xml:space="preserve">take effect on the date of its notification and </w:t>
      </w:r>
      <w:r>
        <w:rPr>
          <w:noProof/>
          <w:lang w:val="en"/>
        </w:rPr>
        <w:t>expire after six years.</w:t>
      </w:r>
    </w:p>
    <w:p w:rsidR="007C70FD" w:rsidRDefault="007C70FD" w:rsidP="007C70FD">
      <w:pPr>
        <w:pStyle w:val="ItemApproved"/>
      </w:pPr>
      <w:r>
        <w:t>FOREIGN AFFAIRS</w:t>
      </w:r>
    </w:p>
    <w:p w:rsidR="007C70FD" w:rsidRPr="003E22EA" w:rsidRDefault="007C70FD" w:rsidP="007C70FD">
      <w:pPr>
        <w:pStyle w:val="Sub-itemApproved"/>
      </w:pPr>
      <w:bookmarkStart w:id="24" w:name="_Toc422495456"/>
      <w:r w:rsidRPr="003E22EA">
        <w:t>Extension of sanctions in response to illegal annexation of Crimea and Sevastopol</w:t>
      </w:r>
      <w:bookmarkEnd w:id="24"/>
    </w:p>
    <w:p w:rsidR="007C70FD" w:rsidRPr="003E22EA" w:rsidRDefault="007C70FD" w:rsidP="007C70FD">
      <w:r w:rsidRPr="003E22EA">
        <w:t>The Council extended the EU restrictive measures in response to the illegal annexation of Crimea and Sevastopol until 23 June 2016.</w:t>
      </w:r>
    </w:p>
    <w:p w:rsidR="007C70FD" w:rsidRPr="003E22EA" w:rsidRDefault="007C70FD" w:rsidP="00137D6F">
      <w:r w:rsidRPr="003E22EA">
        <w:t xml:space="preserve">See </w:t>
      </w:r>
      <w:hyperlink r:id="rId33" w:history="1">
        <w:r w:rsidRPr="003E22EA">
          <w:rPr>
            <w:rStyle w:val="Hyperlink"/>
            <w:bCs/>
          </w:rPr>
          <w:t>press release</w:t>
        </w:r>
      </w:hyperlink>
    </w:p>
    <w:p w:rsidR="007C70FD" w:rsidRPr="00C81C5D" w:rsidRDefault="007C70FD" w:rsidP="007C70FD">
      <w:pPr>
        <w:pStyle w:val="ItemApproved"/>
      </w:pPr>
      <w:r>
        <w:br w:type="page"/>
      </w:r>
      <w:r w:rsidRPr="00C81C5D">
        <w:lastRenderedPageBreak/>
        <w:t>BUDGETS</w:t>
      </w:r>
    </w:p>
    <w:p w:rsidR="007C70FD" w:rsidRPr="00C81C5D" w:rsidRDefault="007C70FD" w:rsidP="007C70FD">
      <w:pPr>
        <w:pStyle w:val="Sub-itemApproved"/>
      </w:pPr>
      <w:bookmarkStart w:id="25" w:name="_Toc422495458"/>
      <w:r w:rsidRPr="00C81C5D">
        <w:t>Draft amending budgets for 2015 - Migration, solidarity fund, budget surplus 2014</w:t>
      </w:r>
      <w:bookmarkEnd w:id="25"/>
    </w:p>
    <w:p w:rsidR="007C70FD" w:rsidRDefault="007C70FD" w:rsidP="007C70FD">
      <w:r w:rsidRPr="0071752A">
        <w:t>The Council adopted its position accepting draft amending budgets</w:t>
      </w:r>
      <w:r>
        <w:t> no 3-5 for 2015.</w:t>
      </w:r>
    </w:p>
    <w:p w:rsidR="007C70FD" w:rsidRDefault="007C70FD" w:rsidP="007C70FD">
      <w:pPr>
        <w:rPr>
          <w:color w:val="000000" w:themeColor="text1"/>
          <w:lang w:eastAsia="en-GB"/>
        </w:rPr>
      </w:pPr>
      <w:r w:rsidRPr="0071752A">
        <w:rPr>
          <w:color w:val="000000" w:themeColor="text1"/>
          <w:lang w:eastAsia="en-GB"/>
        </w:rPr>
        <w:t>Draft amending budget no 3 seeks to incorporate the budget surplus of 2014</w:t>
      </w:r>
      <w:r w:rsidRPr="0071752A">
        <w:rPr>
          <w:b/>
          <w:bCs/>
          <w:color w:val="000000" w:themeColor="text1"/>
          <w:lang w:eastAsia="en-GB"/>
        </w:rPr>
        <w:t xml:space="preserve"> </w:t>
      </w:r>
      <w:r w:rsidRPr="0071752A">
        <w:rPr>
          <w:color w:val="000000" w:themeColor="text1"/>
          <w:lang w:eastAsia="en-GB"/>
        </w:rPr>
        <w:t>into the revenue side of the EU budget for 2015. The 2014 EU budget closed with a surplus of</w:t>
      </w:r>
      <w:r w:rsidRPr="0071752A">
        <w:rPr>
          <w:b/>
          <w:bCs/>
          <w:color w:val="000000" w:themeColor="text1"/>
          <w:lang w:eastAsia="en-GB"/>
        </w:rPr>
        <w:t xml:space="preserve"> </w:t>
      </w:r>
      <w:r w:rsidRPr="0071752A">
        <w:rPr>
          <w:color w:val="000000" w:themeColor="text1"/>
          <w:lang w:eastAsia="en-GB"/>
        </w:rPr>
        <w:t>€1.43 billion</w:t>
      </w:r>
      <w:r>
        <w:rPr>
          <w:color w:val="000000" w:themeColor="text1"/>
          <w:lang w:eastAsia="en-GB"/>
        </w:rPr>
        <w:t>.</w:t>
      </w:r>
    </w:p>
    <w:p w:rsidR="007C70FD" w:rsidRPr="0071752A" w:rsidRDefault="007C70FD" w:rsidP="007C70FD">
      <w:pPr>
        <w:rPr>
          <w:color w:val="000000" w:themeColor="text1"/>
          <w:lang w:eastAsia="en-GB"/>
        </w:rPr>
      </w:pPr>
      <w:r w:rsidRPr="0071752A">
        <w:rPr>
          <w:color w:val="000000" w:themeColor="text1"/>
          <w:lang w:eastAsia="en-GB"/>
        </w:rPr>
        <w:t>Draft amending budget no 4 increases the 2015 EU budget by €66.5 million in commitments and payments for the EU solidarity fund to deal with the damage caused by floods in Italy (€56 million), Romania (€8.5 million) and Bulgaria (€1.98 million).</w:t>
      </w:r>
    </w:p>
    <w:p w:rsidR="007C70FD" w:rsidRDefault="007C70FD" w:rsidP="00137D6F">
      <w:pPr>
        <w:rPr>
          <w:color w:val="000000" w:themeColor="text1"/>
          <w:lang w:eastAsia="en-GB"/>
        </w:rPr>
      </w:pPr>
      <w:r w:rsidRPr="0071752A">
        <w:rPr>
          <w:color w:val="000000" w:themeColor="text1"/>
          <w:lang w:eastAsia="en-GB"/>
        </w:rPr>
        <w:t xml:space="preserve">Draft amending budget no 5 increases the EU 2015 budget to respond to migratory pressures in the Mediterranean. It provides for additional resources to manage migration and refugee flows by €89 million in commitments and €76.6 million in payments. Since part of this support can be financed from unused funds in other areas the additional financing burden is limited to €75.8 million in commitments and no fresh payments are needed. The additional resources are intended to support FRONTEX, the Asylum, Migration and Integration Fund </w:t>
      </w:r>
      <w:r w:rsidR="00137D6F">
        <w:rPr>
          <w:color w:val="000000" w:themeColor="text1"/>
          <w:lang w:eastAsia="en-GB"/>
        </w:rPr>
        <w:t>and</w:t>
      </w:r>
      <w:r w:rsidRPr="0071752A">
        <w:rPr>
          <w:color w:val="000000" w:themeColor="text1"/>
          <w:lang w:eastAsia="en-GB"/>
        </w:rPr>
        <w:t xml:space="preserve"> the Internal Security Fund.</w:t>
      </w:r>
    </w:p>
    <w:p w:rsidR="007C70FD" w:rsidRDefault="007C70FD" w:rsidP="00137D6F">
      <w:pPr>
        <w:rPr>
          <w:color w:val="000000" w:themeColor="text1"/>
          <w:lang w:eastAsia="en-GB"/>
        </w:rPr>
      </w:pPr>
      <w:r>
        <w:rPr>
          <w:color w:val="000000" w:themeColor="text1"/>
          <w:lang w:eastAsia="en-GB"/>
        </w:rPr>
        <w:t xml:space="preserve">The European Parliament is expected to vote on the three draft amending budgets at its plenary session starting on 6 July 2015. If the Parliament accepts the Council's position the draft amending budgets </w:t>
      </w:r>
      <w:r w:rsidR="00137D6F">
        <w:rPr>
          <w:color w:val="000000" w:themeColor="text1"/>
          <w:lang w:eastAsia="en-GB"/>
        </w:rPr>
        <w:t>will be</w:t>
      </w:r>
      <w:r>
        <w:rPr>
          <w:color w:val="000000" w:themeColor="text1"/>
          <w:lang w:eastAsia="en-GB"/>
        </w:rPr>
        <w:t xml:space="preserve"> adopted. If the Parliament adopts amendments a three-week conciliation period </w:t>
      </w:r>
      <w:r w:rsidR="00137D6F">
        <w:rPr>
          <w:color w:val="000000" w:themeColor="text1"/>
          <w:lang w:eastAsia="en-GB"/>
        </w:rPr>
        <w:t>will begin</w:t>
      </w:r>
      <w:r>
        <w:rPr>
          <w:color w:val="000000" w:themeColor="text1"/>
          <w:lang w:eastAsia="en-GB"/>
        </w:rPr>
        <w:t>.</w:t>
      </w:r>
    </w:p>
    <w:p w:rsidR="006B0A17" w:rsidRPr="006B0A17" w:rsidRDefault="006B0A17" w:rsidP="006B0A17">
      <w:pPr>
        <w:pStyle w:val="ItemApproved"/>
      </w:pPr>
      <w:r w:rsidRPr="006B0A17">
        <w:t>TRADE POLICY</w:t>
      </w:r>
    </w:p>
    <w:p w:rsidR="006B0A17" w:rsidRPr="00991B0C" w:rsidRDefault="006B0A17" w:rsidP="00991B0C">
      <w:pPr>
        <w:pStyle w:val="Sub-itemApproved"/>
      </w:pPr>
      <w:bookmarkStart w:id="26" w:name="_Toc422495460"/>
      <w:r>
        <w:t>Trade in goods used for capital punishment and torture</w:t>
      </w:r>
      <w:bookmarkEnd w:id="26"/>
    </w:p>
    <w:p w:rsidR="006B0A17" w:rsidRDefault="006B0A17" w:rsidP="006B0A17">
      <w:r w:rsidRPr="005B6D8A">
        <w:t xml:space="preserve">The Council decided not to object to the adoption by the Commission of a regulation </w:t>
      </w:r>
      <w:r>
        <w:t>amending regulation 1236/2005 concerning trade in certain goods which could be used for capital punishment, torture or other cruel, inhuman or degrading treatment or punishment.</w:t>
      </w:r>
    </w:p>
    <w:p w:rsidR="006B0A17" w:rsidRDefault="006B0A17" w:rsidP="006B0A17">
      <w:pPr>
        <w:rPr>
          <w:noProof/>
        </w:rPr>
      </w:pPr>
      <w:r>
        <w:rPr>
          <w:noProof/>
        </w:rPr>
        <w:t xml:space="preserve">The regulation updates annex I of </w:t>
      </w:r>
      <w:r>
        <w:t xml:space="preserve">regulation 1236/2005 </w:t>
      </w:r>
      <w:r>
        <w:rPr>
          <w:noProof/>
        </w:rPr>
        <w:t>listing the competent authorities which may grant authorisations.</w:t>
      </w:r>
    </w:p>
    <w:p w:rsidR="006B0A17" w:rsidRDefault="007C70FD" w:rsidP="006B0A17">
      <w:r>
        <w:rPr>
          <w:noProof/>
          <w:lang w:val="en-US"/>
        </w:rPr>
        <w:br w:type="page"/>
      </w:r>
      <w:r w:rsidR="006B0A17">
        <w:rPr>
          <w:noProof/>
          <w:lang w:val="en-US"/>
        </w:rPr>
        <w:lastRenderedPageBreak/>
        <w:t>Belgium, Bulgaria, Denmark, Germany, Estonia, Ireland, Spain, France, Croatia, Latvia, Lithuania, Austria, Portugal, Romania, Slovakia, Finland and the United Kingdom had requested that the information concerning their competent authorities be amended.</w:t>
      </w:r>
    </w:p>
    <w:p w:rsidR="006B0A17" w:rsidRDefault="006B0A17" w:rsidP="006B0A17">
      <w:r>
        <w:t>The regulation is a delegated act pursuant to article 290 of the Treaty on the Functioning of the EU. Now that the Council has given its consent, the act can enter into force unless the European Parliament objects to it.</w:t>
      </w:r>
    </w:p>
    <w:p w:rsidR="006B0A17" w:rsidRPr="006B0A17" w:rsidRDefault="006B0A17" w:rsidP="006B0A17">
      <w:pPr>
        <w:pStyle w:val="ItemApproved"/>
      </w:pPr>
      <w:r w:rsidRPr="006B0A17">
        <w:t>ENERGY</w:t>
      </w:r>
    </w:p>
    <w:p w:rsidR="009B57D1" w:rsidRPr="007C70FD" w:rsidRDefault="009B57D1" w:rsidP="007C70FD">
      <w:pPr>
        <w:pStyle w:val="Sub-itemApproved"/>
      </w:pPr>
      <w:bookmarkStart w:id="27" w:name="_Toc422495462"/>
      <w:r w:rsidRPr="007C70FD">
        <w:t>Energy labelling</w:t>
      </w:r>
      <w:bookmarkEnd w:id="27"/>
    </w:p>
    <w:p w:rsidR="006B0A17" w:rsidRPr="006B0A17" w:rsidRDefault="009B57D1" w:rsidP="009B57D1">
      <w:pPr>
        <w:spacing w:line="276" w:lineRule="auto"/>
        <w:rPr>
          <w:rFonts w:asciiTheme="majorBidi" w:hAnsiTheme="majorBidi" w:cstheme="majorBidi"/>
        </w:rPr>
      </w:pPr>
      <w:r>
        <w:rPr>
          <w:rFonts w:asciiTheme="majorBidi" w:hAnsiTheme="majorBidi" w:cstheme="majorBidi"/>
        </w:rPr>
        <w:t>The Council decided not</w:t>
      </w:r>
      <w:r w:rsidR="006B0A17" w:rsidRPr="006B0A17">
        <w:rPr>
          <w:rFonts w:asciiTheme="majorBidi" w:hAnsiTheme="majorBidi" w:cstheme="majorBidi"/>
        </w:rPr>
        <w:t xml:space="preserve"> to oppose adoption </w:t>
      </w:r>
      <w:r>
        <w:rPr>
          <w:rFonts w:asciiTheme="majorBidi" w:hAnsiTheme="majorBidi" w:cstheme="majorBidi"/>
        </w:rPr>
        <w:t xml:space="preserve">by the </w:t>
      </w:r>
      <w:r w:rsidR="006B0A17" w:rsidRPr="006B0A17">
        <w:rPr>
          <w:rFonts w:asciiTheme="majorBidi" w:hAnsiTheme="majorBidi" w:cstheme="majorBidi"/>
        </w:rPr>
        <w:t xml:space="preserve">Commission </w:t>
      </w:r>
      <w:r>
        <w:rPr>
          <w:rFonts w:asciiTheme="majorBidi" w:hAnsiTheme="majorBidi" w:cstheme="majorBidi"/>
        </w:rPr>
        <w:t xml:space="preserve">of </w:t>
      </w:r>
      <w:r w:rsidRPr="006B0A17">
        <w:rPr>
          <w:rFonts w:asciiTheme="majorBidi" w:hAnsiTheme="majorBidi" w:cstheme="majorBidi"/>
        </w:rPr>
        <w:t xml:space="preserve">the following </w:t>
      </w:r>
      <w:r w:rsidR="006B0A17" w:rsidRPr="006B0A17">
        <w:rPr>
          <w:rFonts w:asciiTheme="majorBidi" w:hAnsiTheme="majorBidi" w:cstheme="majorBidi"/>
        </w:rPr>
        <w:t>deleg</w:t>
      </w:r>
      <w:r>
        <w:rPr>
          <w:rFonts w:asciiTheme="majorBidi" w:hAnsiTheme="majorBidi" w:cstheme="majorBidi"/>
        </w:rPr>
        <w:t>ated regulations, supplementing d</w:t>
      </w:r>
      <w:r w:rsidR="006B0A17" w:rsidRPr="006B0A17">
        <w:rPr>
          <w:rFonts w:asciiTheme="majorBidi" w:hAnsiTheme="majorBidi" w:cstheme="majorBidi"/>
        </w:rPr>
        <w:t>irective 2010/30/EU with regard to the energy labelling of</w:t>
      </w:r>
    </w:p>
    <w:p w:rsidR="006B0A17" w:rsidRPr="00F46D7A" w:rsidRDefault="006B0A17" w:rsidP="006B0A17">
      <w:pPr>
        <w:pStyle w:val="Tiret0"/>
      </w:pPr>
      <w:r w:rsidRPr="009B57D1">
        <w:t>professional refrigerated storage cabinets</w:t>
      </w:r>
      <w:r w:rsidRPr="00F46D7A">
        <w:t xml:space="preserve"> </w:t>
      </w:r>
      <w:r w:rsidRPr="00F46D7A">
        <w:rPr>
          <w:i/>
          <w:iCs/>
        </w:rPr>
        <w:t>(</w:t>
      </w:r>
      <w:hyperlink r:id="rId34" w:tooltip="http://data.consilium.europa.eu/doc/document/ST-8558-2015-INIT/en/pdf" w:history="1">
        <w:r w:rsidR="00F46D7A">
          <w:rPr>
            <w:rStyle w:val="Hyperlink"/>
            <w:i/>
            <w:iCs/>
          </w:rPr>
          <w:t>8558/15</w:t>
        </w:r>
      </w:hyperlink>
      <w:r w:rsidRPr="00F46D7A">
        <w:rPr>
          <w:i/>
          <w:iCs/>
        </w:rPr>
        <w:t xml:space="preserve"> + ADD 1+ ADD 2 )</w:t>
      </w:r>
    </w:p>
    <w:p w:rsidR="006B0A17" w:rsidRPr="009B57D1" w:rsidRDefault="006B0A17" w:rsidP="006B0A17">
      <w:pPr>
        <w:pStyle w:val="Tiret0"/>
      </w:pPr>
      <w:r w:rsidRPr="009B57D1">
        <w:t xml:space="preserve">local space heaters </w:t>
      </w:r>
      <w:r w:rsidRPr="009B57D1">
        <w:rPr>
          <w:i/>
          <w:iCs/>
        </w:rPr>
        <w:t>(</w:t>
      </w:r>
      <w:hyperlink r:id="rId35" w:tooltip="http://data.consilium.europa.eu/doc/document/ST-8514-2015-INIT/en/pdf" w:history="1">
        <w:r w:rsidR="00F46D7A" w:rsidRPr="009B57D1">
          <w:rPr>
            <w:rStyle w:val="Hyperlink"/>
            <w:i/>
            <w:iCs/>
          </w:rPr>
          <w:t>8514/15</w:t>
        </w:r>
      </w:hyperlink>
      <w:r w:rsidRPr="009B57D1">
        <w:rPr>
          <w:i/>
          <w:iCs/>
        </w:rPr>
        <w:t xml:space="preserve"> + ADD 1)</w:t>
      </w:r>
    </w:p>
    <w:p w:rsidR="006B0A17" w:rsidRPr="006B0A17" w:rsidRDefault="006B0A17" w:rsidP="009B57D1">
      <w:pPr>
        <w:rPr>
          <w:rFonts w:asciiTheme="majorBidi" w:hAnsiTheme="majorBidi" w:cstheme="majorBidi"/>
        </w:rPr>
      </w:pPr>
      <w:r w:rsidRPr="006B0A17">
        <w:rPr>
          <w:rFonts w:asciiTheme="majorBidi" w:hAnsiTheme="majorBidi" w:cstheme="majorBidi"/>
        </w:rPr>
        <w:t>Both regulations establish requirements for adequate labelling in terms of energy consumption and the provision of supplementary product information to the consumer.</w:t>
      </w:r>
    </w:p>
    <w:p w:rsidR="006B0A17" w:rsidRDefault="009B57D1" w:rsidP="009B57D1">
      <w:pPr>
        <w:rPr>
          <w:rFonts w:asciiTheme="majorBidi" w:hAnsiTheme="majorBidi" w:cstheme="majorBidi"/>
        </w:rPr>
      </w:pPr>
      <w:r>
        <w:rPr>
          <w:rFonts w:asciiTheme="majorBidi" w:hAnsiTheme="majorBidi" w:cstheme="majorBidi"/>
        </w:rPr>
        <w:t>U</w:t>
      </w:r>
      <w:r w:rsidR="006B0A17" w:rsidRPr="006B0A17">
        <w:rPr>
          <w:rFonts w:asciiTheme="majorBidi" w:hAnsiTheme="majorBidi" w:cstheme="majorBidi"/>
        </w:rPr>
        <w:t xml:space="preserve">nless the European Parliament objects, these delegated acts </w:t>
      </w:r>
      <w:r>
        <w:rPr>
          <w:rFonts w:asciiTheme="majorBidi" w:hAnsiTheme="majorBidi" w:cstheme="majorBidi"/>
        </w:rPr>
        <w:t xml:space="preserve">can now </w:t>
      </w:r>
      <w:r w:rsidR="006B0A17" w:rsidRPr="006B0A17">
        <w:rPr>
          <w:rFonts w:asciiTheme="majorBidi" w:hAnsiTheme="majorBidi" w:cstheme="majorBidi"/>
        </w:rPr>
        <w:t>be published</w:t>
      </w:r>
      <w:r>
        <w:rPr>
          <w:rFonts w:asciiTheme="majorBidi" w:hAnsiTheme="majorBidi" w:cstheme="majorBidi"/>
        </w:rPr>
        <w:t>,</w:t>
      </w:r>
      <w:r w:rsidR="006B0A17" w:rsidRPr="006B0A17">
        <w:rPr>
          <w:rFonts w:asciiTheme="majorBidi" w:hAnsiTheme="majorBidi" w:cstheme="majorBidi"/>
        </w:rPr>
        <w:t xml:space="preserve"> and enter into force on the twentieth day following publication in the Official Journal.</w:t>
      </w:r>
    </w:p>
    <w:p w:rsidR="006B0A17" w:rsidRPr="00CE3E0A" w:rsidRDefault="006B0A17" w:rsidP="006B0A17">
      <w:pPr>
        <w:pStyle w:val="ItemApproved"/>
      </w:pPr>
      <w:r w:rsidRPr="00CE3E0A">
        <w:t>INDUSTRY</w:t>
      </w:r>
    </w:p>
    <w:p w:rsidR="006B0A17" w:rsidRPr="00CE3E0A" w:rsidRDefault="006B0A17" w:rsidP="006B0A17">
      <w:pPr>
        <w:pStyle w:val="Sub-itemApproved"/>
      </w:pPr>
      <w:bookmarkStart w:id="28" w:name="_Toc422495464"/>
      <w:r w:rsidRPr="00CE3E0A">
        <w:t>Motor vehicles - Technical prescriptions</w:t>
      </w:r>
      <w:bookmarkEnd w:id="28"/>
    </w:p>
    <w:p w:rsidR="006B0A17" w:rsidRPr="00CE3E0A" w:rsidRDefault="006B0A17" w:rsidP="006B0A17">
      <w:r w:rsidRPr="00CE3E0A">
        <w:t xml:space="preserve">The Council adopted a </w:t>
      </w:r>
      <w:hyperlink r:id="rId36" w:history="1">
        <w:r w:rsidRPr="00CE3E0A">
          <w:rPr>
            <w:rStyle w:val="Hyperlink"/>
          </w:rPr>
          <w:t>decision</w:t>
        </w:r>
      </w:hyperlink>
      <w:r w:rsidRPr="00CE3E0A">
        <w:t xml:space="preserve"> aimed at supporting certain amendments to the agreement of the United Nations Economic Commission for Europe (UNECE) concerning the adoption of uniform technical prescriptions for wheeled vehicles, equipment and parts used on wheeled vehicles.</w:t>
      </w:r>
    </w:p>
    <w:p w:rsidR="006B0A17" w:rsidRPr="00CE3E0A" w:rsidRDefault="007C70FD" w:rsidP="00137D6F">
      <w:pPr>
        <w:rPr>
          <w:noProof/>
        </w:rPr>
      </w:pPr>
      <w:r>
        <w:br w:type="page"/>
      </w:r>
      <w:r w:rsidR="006B0A17" w:rsidRPr="00CE3E0A">
        <w:lastRenderedPageBreak/>
        <w:t xml:space="preserve">The decision includes support </w:t>
      </w:r>
      <w:r w:rsidR="00137D6F">
        <w:t>for</w:t>
      </w:r>
      <w:r w:rsidR="006B0A17" w:rsidRPr="00CE3E0A">
        <w:t xml:space="preserve"> a </w:t>
      </w:r>
      <w:r w:rsidR="006B0A17" w:rsidRPr="00CE3E0A">
        <w:rPr>
          <w:noProof/>
        </w:rPr>
        <w:t>new UN regulation which seeks to harmonise safety provisions for the type-approval of electric vehicles of category L.</w:t>
      </w:r>
    </w:p>
    <w:p w:rsidR="006B0A17" w:rsidRPr="00CE3E0A" w:rsidRDefault="00C4599F" w:rsidP="00137D6F">
      <w:hyperlink r:id="rId37" w:history="1">
        <w:r w:rsidR="006B0A17">
          <w:rPr>
            <w:rStyle w:val="Hyperlink"/>
          </w:rPr>
          <w:t>UNECE</w:t>
        </w:r>
      </w:hyperlink>
      <w:r w:rsidR="006B0A17" w:rsidRPr="00CE3E0A">
        <w:t xml:space="preserve"> develops harmonised requirements intended to remove technical barriers to the trade in motor vehicles between the contracting parties </w:t>
      </w:r>
      <w:r w:rsidR="00137D6F">
        <w:t>to</w:t>
      </w:r>
      <w:r w:rsidR="006B0A17" w:rsidRPr="00CE3E0A">
        <w:t xml:space="preserve"> the agreement. The EU is a contracting party to this agreement and votes on behalf of the member states.</w:t>
      </w:r>
    </w:p>
    <w:p w:rsidR="006B0A17" w:rsidRPr="00991B0C" w:rsidRDefault="006B0A17" w:rsidP="00991B0C">
      <w:pPr>
        <w:pStyle w:val="ItemApproved"/>
      </w:pPr>
      <w:r w:rsidRPr="00991B0C">
        <w:t>AGRICULTURE</w:t>
      </w:r>
    </w:p>
    <w:p w:rsidR="006B0A17" w:rsidRPr="007C70FD" w:rsidRDefault="006B0A17" w:rsidP="007C70FD">
      <w:pPr>
        <w:pStyle w:val="Sub-itemApproved"/>
      </w:pPr>
      <w:bookmarkStart w:id="29" w:name="_Toc422495466"/>
      <w:r w:rsidRPr="007C70FD">
        <w:t>Pesticides - transitional measures</w:t>
      </w:r>
      <w:bookmarkEnd w:id="29"/>
    </w:p>
    <w:p w:rsidR="006B0A17" w:rsidRDefault="006B0A17" w:rsidP="00137D6F">
      <w:r w:rsidRPr="003F24FA">
        <w:t xml:space="preserve">The Council decided not to oppose the adoption </w:t>
      </w:r>
      <w:r w:rsidR="00137D6F">
        <w:t xml:space="preserve">by the </w:t>
      </w:r>
      <w:r>
        <w:t xml:space="preserve">Commission </w:t>
      </w:r>
      <w:r w:rsidR="00137D6F">
        <w:t xml:space="preserve">of a </w:t>
      </w:r>
      <w:r>
        <w:t>regulation amending regulation 284/2013</w:t>
      </w:r>
      <w:r w:rsidRPr="00634E77">
        <w:rPr>
          <w:rFonts w:eastAsia="Calibri"/>
          <w:szCs w:val="20"/>
          <w:vertAlign w:val="superscript"/>
        </w:rPr>
        <w:footnoteReference w:id="5"/>
      </w:r>
      <w:r>
        <w:t xml:space="preserve"> as regards the transitional measures applying to procedures concerning plant protection products (</w:t>
      </w:r>
      <w:hyperlink r:id="rId38" w:tooltip="http://data.consilium.europa.eu/doc/document/ST-8879-2015-INIT/en/pdf" w:history="1">
        <w:r w:rsidR="00F46D7A">
          <w:rPr>
            <w:rStyle w:val="Hyperlink"/>
            <w:i/>
            <w:iCs/>
          </w:rPr>
          <w:t>8879/15</w:t>
        </w:r>
      </w:hyperlink>
      <w:r>
        <w:t>).</w:t>
      </w:r>
    </w:p>
    <w:p w:rsidR="006B0A17" w:rsidRDefault="006B0A17" w:rsidP="00137D6F">
      <w:r>
        <w:t xml:space="preserve">Commission Regulation 284/2013 laid down new data requirements for </w:t>
      </w:r>
      <w:r w:rsidRPr="006B402F">
        <w:t>plant protection products</w:t>
      </w:r>
      <w:r>
        <w:t xml:space="preserve">. In order to </w:t>
      </w:r>
      <w:r w:rsidR="00137D6F">
        <w:t>allow</w:t>
      </w:r>
      <w:r>
        <w:t xml:space="preserve"> member states and interested parties to prepare </w:t>
      </w:r>
      <w:r w:rsidR="00137D6F">
        <w:t>for</w:t>
      </w:r>
      <w:r>
        <w:t xml:space="preserve"> meet</w:t>
      </w:r>
      <w:r w:rsidR="00137D6F">
        <w:t>ing</w:t>
      </w:r>
      <w:r>
        <w:t xml:space="preserve"> th</w:t>
      </w:r>
      <w:r w:rsidR="00137D6F">
        <w:t>es</w:t>
      </w:r>
      <w:r>
        <w:t xml:space="preserve">e new requirements, the regulation </w:t>
      </w:r>
      <w:r w:rsidR="00137D6F">
        <w:t>establishe</w:t>
      </w:r>
      <w:r>
        <w:t>s transitional measures concerning submission of data</w:t>
      </w:r>
      <w:r w:rsidRPr="00894F8C">
        <w:t>.</w:t>
      </w:r>
    </w:p>
    <w:p w:rsidR="006B0A17" w:rsidRDefault="006B0A17" w:rsidP="00137D6F">
      <w:r>
        <w:t>The delegated act applies in particular to certain renewals of authorisation of plant protection products which could be submitted after the 31 December 2015, which was the initial deadline scheduled for applying transitional provisions.</w:t>
      </w:r>
      <w:r w:rsidRPr="007C70AD">
        <w:t xml:space="preserve"> </w:t>
      </w:r>
      <w:r>
        <w:t xml:space="preserve">Considering </w:t>
      </w:r>
      <w:r w:rsidR="00137D6F">
        <w:t>not</w:t>
      </w:r>
      <w:r>
        <w:t xml:space="preserve"> all applications</w:t>
      </w:r>
      <w:r w:rsidRPr="007C70AD">
        <w:t xml:space="preserve"> </w:t>
      </w:r>
      <w:r>
        <w:t xml:space="preserve">will have been submitted </w:t>
      </w:r>
      <w:r w:rsidR="00137D6F">
        <w:t>by</w:t>
      </w:r>
      <w:r>
        <w:t xml:space="preserve"> this date</w:t>
      </w:r>
      <w:r w:rsidR="00137D6F">
        <w:t>,</w:t>
      </w:r>
      <w:r>
        <w:t xml:space="preserve"> and </w:t>
      </w:r>
      <w:r w:rsidR="00137D6F">
        <w:t xml:space="preserve">in order </w:t>
      </w:r>
      <w:r>
        <w:t>to ensure that all applications are subjects to the same data requirements, transitional provisions will continue to apply after this date.</w:t>
      </w:r>
    </w:p>
    <w:p w:rsidR="006B0A17" w:rsidRDefault="006B0A17" w:rsidP="006B0A17">
      <w:r>
        <w:t>This</w:t>
      </w:r>
      <w:r w:rsidRPr="003F24FA">
        <w:t xml:space="preserve"> Commission regulation </w:t>
      </w:r>
      <w:r>
        <w:t>is</w:t>
      </w:r>
      <w:r w:rsidRPr="003F24FA">
        <w:t xml:space="preserve"> subject to the regulatory procedure with scrutiny. This means that now that the Council has given its consent, the Commission may adopt the regulation, unless the European Parliament objects.</w:t>
      </w:r>
    </w:p>
    <w:p w:rsidR="006B0A17" w:rsidRPr="00991B0C" w:rsidRDefault="007C70FD" w:rsidP="00991B0C">
      <w:pPr>
        <w:pStyle w:val="ItemApproved"/>
      </w:pPr>
      <w:r>
        <w:br w:type="page"/>
      </w:r>
      <w:r w:rsidR="006B0A17" w:rsidRPr="00991B0C">
        <w:lastRenderedPageBreak/>
        <w:t>FISHERIES</w:t>
      </w:r>
    </w:p>
    <w:p w:rsidR="006B0A17" w:rsidRPr="003C6956" w:rsidRDefault="006B0A17" w:rsidP="00991B0C">
      <w:pPr>
        <w:pStyle w:val="Sub-itemApproved"/>
      </w:pPr>
      <w:bookmarkStart w:id="30" w:name="_Toc422495468"/>
      <w:r w:rsidRPr="00991B0C">
        <w:t>Amendment to fishing opportunities 2015 - seabass, capelin and redfish</w:t>
      </w:r>
      <w:bookmarkEnd w:id="30"/>
    </w:p>
    <w:p w:rsidR="006B0A17" w:rsidRDefault="006B0A17" w:rsidP="006B0A17">
      <w:r>
        <w:t>The Council adopted by written procedure on 23 March 2015 an amendment to regulation 2015/104 as regards certain fishing opportunities for 2015 (</w:t>
      </w:r>
      <w:hyperlink r:id="rId39" w:tooltip="http://data.consilium.europa.eu/doc/document/ST-9774-2015-INIT/en/pdf" w:history="1">
        <w:r w:rsidR="00F46D7A">
          <w:rPr>
            <w:rStyle w:val="Hyperlink"/>
            <w:i/>
            <w:iCs/>
          </w:rPr>
          <w:t>9774/15</w:t>
        </w:r>
      </w:hyperlink>
      <w:r>
        <w:t>).</w:t>
      </w:r>
    </w:p>
    <w:p w:rsidR="006B0A17" w:rsidRDefault="006B0A17" w:rsidP="000C107D">
      <w:r>
        <w:t xml:space="preserve">Regulation 2015/104 fixes for 2015 fishing opportunities for certain fish stocks </w:t>
      </w:r>
      <w:r w:rsidR="000C107D">
        <w:t xml:space="preserve">for </w:t>
      </w:r>
      <w:r>
        <w:t>EU vessels in Union and certain non-Union waters. This amendment establishes:</w:t>
      </w:r>
    </w:p>
    <w:p w:rsidR="006B0A17" w:rsidRPr="00991B0C" w:rsidRDefault="006B0A17" w:rsidP="00991B0C">
      <w:pPr>
        <w:pStyle w:val="Tiret0"/>
      </w:pPr>
      <w:r w:rsidRPr="00991B0C">
        <w:t>monthly catch limits of seabass in certain fishing areas and extension to other areas of conservation actions initiated by some member states to reduce the pressure on this fish stock ;</w:t>
      </w:r>
    </w:p>
    <w:p w:rsidR="006B0A17" w:rsidRPr="000B503E" w:rsidRDefault="006B0A17" w:rsidP="00991B0C">
      <w:pPr>
        <w:pStyle w:val="Tiret0"/>
      </w:pPr>
      <w:r>
        <w:t>monitoring of seabass catches through collection of data on a monthly basis;</w:t>
      </w:r>
    </w:p>
    <w:p w:rsidR="006B0A17" w:rsidRDefault="006B0A17" w:rsidP="00991B0C">
      <w:pPr>
        <w:pStyle w:val="Tiret0"/>
      </w:pPr>
      <w:r>
        <w:t>fixing and allocation of EU fishing opportunities and fixing a quota for Norway as regards capelin in the Greenland waters;</w:t>
      </w:r>
    </w:p>
    <w:p w:rsidR="006B0A17" w:rsidRDefault="006B0A17" w:rsidP="00991B0C">
      <w:pPr>
        <w:pStyle w:val="Tiret0"/>
        <w:rPr>
          <w:szCs w:val="20"/>
          <w:lang w:eastAsia="fr-BE"/>
        </w:rPr>
      </w:pPr>
      <w:r>
        <w:t>adjustment of EU cod quota in Norwegian waters;</w:t>
      </w:r>
    </w:p>
    <w:p w:rsidR="006B0A17" w:rsidRDefault="006B0A17" w:rsidP="00991B0C">
      <w:pPr>
        <w:pStyle w:val="Tiret0"/>
        <w:rPr>
          <w:szCs w:val="20"/>
          <w:lang w:eastAsia="fr-BE"/>
        </w:rPr>
      </w:pPr>
      <w:r>
        <w:rPr>
          <w:szCs w:val="20"/>
          <w:lang w:eastAsia="fr-BE"/>
        </w:rPr>
        <w:t>measures on the management of redfish certain fishing areas.</w:t>
      </w:r>
    </w:p>
    <w:p w:rsidR="006B0A17" w:rsidRPr="00991B0C" w:rsidRDefault="006B0A17" w:rsidP="00991B0C">
      <w:pPr>
        <w:pStyle w:val="ItemApproved"/>
      </w:pPr>
      <w:r w:rsidRPr="00991B0C">
        <w:t>FOOD LAW</w:t>
      </w:r>
    </w:p>
    <w:p w:rsidR="006B0A17" w:rsidRPr="00991B0C" w:rsidRDefault="006B0A17" w:rsidP="00991B0C">
      <w:pPr>
        <w:pStyle w:val="Sub-itemApproved"/>
      </w:pPr>
      <w:bookmarkStart w:id="31" w:name="_Toc422495470"/>
      <w:r w:rsidRPr="00991B0C">
        <w:t>Approval of silicon dioxide as food additive in extracts of rosemary</w:t>
      </w:r>
      <w:bookmarkEnd w:id="31"/>
    </w:p>
    <w:p w:rsidR="006B0A17" w:rsidRPr="00FB7164" w:rsidRDefault="006B0A17" w:rsidP="006B0A17">
      <w:r w:rsidRPr="00FB7164">
        <w:t>The Council decided not to oppose the adoption of a Commission regulation</w:t>
      </w:r>
      <w:r>
        <w:t xml:space="preserve"> </w:t>
      </w:r>
      <w:r w:rsidRPr="00857627">
        <w:rPr>
          <w:noProof/>
        </w:rPr>
        <w:t>authoris</w:t>
      </w:r>
      <w:r>
        <w:rPr>
          <w:noProof/>
        </w:rPr>
        <w:t>ing</w:t>
      </w:r>
      <w:r w:rsidRPr="00857627">
        <w:rPr>
          <w:noProof/>
        </w:rPr>
        <w:t xml:space="preserve"> the use of of silicon dioxide (E</w:t>
      </w:r>
      <w:r>
        <w:rPr>
          <w:noProof/>
        </w:rPr>
        <w:t> </w:t>
      </w:r>
      <w:r w:rsidRPr="00857627">
        <w:rPr>
          <w:noProof/>
        </w:rPr>
        <w:t>551) as an anti-caking agent in extracts of rosemary (E</w:t>
      </w:r>
      <w:r>
        <w:rPr>
          <w:noProof/>
        </w:rPr>
        <w:t> </w:t>
      </w:r>
      <w:r w:rsidRPr="00857627">
        <w:rPr>
          <w:noProof/>
        </w:rPr>
        <w:t>392)</w:t>
      </w:r>
      <w:r>
        <w:rPr>
          <w:noProof/>
        </w:rPr>
        <w:t xml:space="preserve"> (</w:t>
      </w:r>
      <w:hyperlink r:id="rId40" w:tooltip="http://data.consilium.europa.eu/doc/document/ST-8814-2015-INIT/en/pdf" w:history="1">
        <w:r w:rsidR="00F46D7A">
          <w:rPr>
            <w:rStyle w:val="Hyperlink"/>
            <w:i/>
            <w:iCs/>
            <w:noProof/>
          </w:rPr>
          <w:t>8814/15</w:t>
        </w:r>
      </w:hyperlink>
      <w:r>
        <w:rPr>
          <w:noProof/>
        </w:rPr>
        <w:t>).</w:t>
      </w:r>
    </w:p>
    <w:p w:rsidR="006B0A17" w:rsidRPr="00877662" w:rsidRDefault="006B0A17" w:rsidP="000C107D">
      <w:r>
        <w:t xml:space="preserve">The Commission regulation is subject to the </w:t>
      </w:r>
      <w:r w:rsidRPr="00FB7164">
        <w:t>regulatory procedure with scrutiny</w:t>
      </w:r>
      <w:r w:rsidR="000C107D">
        <w:t>. Now</w:t>
      </w:r>
      <w:r>
        <w:t xml:space="preserve"> that the Council has given its conse</w:t>
      </w:r>
      <w:r w:rsidR="000C107D">
        <w:t>nt, the Commission may adopt it</w:t>
      </w:r>
      <w:r>
        <w:t xml:space="preserve"> unless the European Parliament objects.</w:t>
      </w:r>
    </w:p>
    <w:p w:rsidR="00895676" w:rsidRPr="004D6AAD" w:rsidRDefault="00895676" w:rsidP="004D6AAD">
      <w:pPr>
        <w:pStyle w:val="FinalLine"/>
      </w:pPr>
      <w:bookmarkStart w:id="32" w:name="_GoBack"/>
      <w:bookmarkEnd w:id="32"/>
    </w:p>
    <w:sectPr w:rsidR="00895676" w:rsidRPr="004D6AAD" w:rsidSect="00C4599F">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AD" w:rsidRDefault="004D6AAD">
      <w:pPr>
        <w:spacing w:before="0" w:after="0"/>
      </w:pPr>
      <w:r>
        <w:separator/>
      </w:r>
    </w:p>
  </w:endnote>
  <w:endnote w:type="continuationSeparator" w:id="0">
    <w:p w:rsidR="004D6AAD" w:rsidRDefault="004D6A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9F" w:rsidRPr="00C4599F" w:rsidRDefault="00C4599F" w:rsidP="00C45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4599F" w:rsidRPr="007410E8" w:rsidTr="00C4599F">
      <w:trPr>
        <w:jc w:val="center"/>
      </w:trPr>
      <w:tc>
        <w:tcPr>
          <w:tcW w:w="2604" w:type="pct"/>
          <w:shd w:val="clear" w:color="auto" w:fill="auto"/>
        </w:tcPr>
        <w:p w:rsidR="00C4599F" w:rsidRPr="007410E8" w:rsidRDefault="00C4599F" w:rsidP="0035025C">
          <w:pPr>
            <w:pStyle w:val="FooterText"/>
            <w:rPr>
              <w:sz w:val="16"/>
              <w:szCs w:val="16"/>
            </w:rPr>
          </w:pPr>
          <w:bookmarkStart w:id="1" w:name="FOOTER_PR_STANDARD"/>
        </w:p>
      </w:tc>
      <w:tc>
        <w:tcPr>
          <w:tcW w:w="1319" w:type="pct"/>
          <w:shd w:val="clear" w:color="auto" w:fill="auto"/>
        </w:tcPr>
        <w:p w:rsidR="00C4599F" w:rsidRPr="007410E8" w:rsidRDefault="00C4599F" w:rsidP="0035025C">
          <w:pPr>
            <w:pStyle w:val="FooterText"/>
            <w:rPr>
              <w:sz w:val="16"/>
              <w:szCs w:val="16"/>
            </w:rPr>
          </w:pPr>
        </w:p>
      </w:tc>
      <w:tc>
        <w:tcPr>
          <w:tcW w:w="1077" w:type="pct"/>
          <w:shd w:val="clear" w:color="auto" w:fill="auto"/>
        </w:tcPr>
        <w:p w:rsidR="00C4599F" w:rsidRPr="007410E8" w:rsidRDefault="00C4599F" w:rsidP="0035025C">
          <w:pPr>
            <w:pStyle w:val="FooterText"/>
            <w:jc w:val="right"/>
            <w:rPr>
              <w:sz w:val="16"/>
              <w:szCs w:val="16"/>
            </w:rPr>
          </w:pPr>
        </w:p>
      </w:tc>
    </w:tr>
    <w:tr w:rsidR="00C4599F" w:rsidRPr="007410E8" w:rsidTr="00C4599F">
      <w:trPr>
        <w:jc w:val="center"/>
      </w:trPr>
      <w:tc>
        <w:tcPr>
          <w:tcW w:w="2604" w:type="pct"/>
          <w:shd w:val="clear" w:color="auto" w:fill="auto"/>
        </w:tcPr>
        <w:p w:rsidR="00C4599F" w:rsidRPr="007410E8" w:rsidRDefault="00C4599F" w:rsidP="0035025C">
          <w:pPr>
            <w:pStyle w:val="FooterText"/>
            <w:rPr>
              <w:sz w:val="16"/>
            </w:rPr>
          </w:pPr>
          <w:r>
            <w:t>10089/15</w:t>
          </w:r>
          <w:r w:rsidRPr="002511D8">
            <w:t xml:space="preserve"> </w:t>
          </w:r>
        </w:p>
      </w:tc>
      <w:tc>
        <w:tcPr>
          <w:tcW w:w="1319" w:type="pct"/>
          <w:shd w:val="clear" w:color="auto" w:fill="auto"/>
        </w:tcPr>
        <w:p w:rsidR="00C4599F" w:rsidRPr="007410E8" w:rsidRDefault="00C4599F" w:rsidP="0035025C">
          <w:pPr>
            <w:pStyle w:val="FooterText"/>
            <w:rPr>
              <w:sz w:val="16"/>
            </w:rPr>
          </w:pPr>
        </w:p>
      </w:tc>
      <w:tc>
        <w:tcPr>
          <w:tcW w:w="1077" w:type="pct"/>
          <w:shd w:val="clear" w:color="auto" w:fill="auto"/>
        </w:tcPr>
        <w:p w:rsidR="00C4599F" w:rsidRPr="007410E8" w:rsidRDefault="00C4599F" w:rsidP="0035025C">
          <w:pPr>
            <w:pStyle w:val="FooterText"/>
            <w:jc w:val="right"/>
            <w:rPr>
              <w:sz w:val="16"/>
            </w:rPr>
          </w:pPr>
          <w:r>
            <w:fldChar w:fldCharType="begin"/>
          </w:r>
          <w:r>
            <w:instrText xml:space="preserve"> PAGE  \* MERGEFORMAT </w:instrText>
          </w:r>
          <w:r>
            <w:fldChar w:fldCharType="separate"/>
          </w:r>
          <w:r>
            <w:rPr>
              <w:noProof/>
            </w:rPr>
            <w:t>22</w:t>
          </w:r>
          <w:r>
            <w:fldChar w:fldCharType="end"/>
          </w:r>
        </w:p>
      </w:tc>
    </w:tr>
    <w:tr w:rsidR="00C4599F" w:rsidRPr="007410E8" w:rsidTr="00C4599F">
      <w:trPr>
        <w:jc w:val="center"/>
      </w:trPr>
      <w:tc>
        <w:tcPr>
          <w:tcW w:w="2604" w:type="pct"/>
          <w:shd w:val="clear" w:color="auto" w:fill="auto"/>
        </w:tcPr>
        <w:p w:rsidR="00C4599F" w:rsidRPr="007410E8" w:rsidRDefault="00C4599F" w:rsidP="0035025C">
          <w:pPr>
            <w:pStyle w:val="FooterText"/>
            <w:rPr>
              <w:sz w:val="16"/>
            </w:rPr>
          </w:pPr>
        </w:p>
      </w:tc>
      <w:tc>
        <w:tcPr>
          <w:tcW w:w="1319" w:type="pct"/>
          <w:shd w:val="clear" w:color="auto" w:fill="auto"/>
        </w:tcPr>
        <w:p w:rsidR="00C4599F" w:rsidRPr="007410E8" w:rsidRDefault="00C4599F" w:rsidP="0035025C">
          <w:pPr>
            <w:pStyle w:val="FooterText"/>
            <w:rPr>
              <w:sz w:val="16"/>
            </w:rPr>
          </w:pPr>
        </w:p>
      </w:tc>
      <w:tc>
        <w:tcPr>
          <w:tcW w:w="1077" w:type="pct"/>
          <w:shd w:val="clear" w:color="auto" w:fill="auto"/>
        </w:tcPr>
        <w:p w:rsidR="00C4599F" w:rsidRPr="007410E8" w:rsidRDefault="00C4599F" w:rsidP="0035025C">
          <w:pPr>
            <w:pStyle w:val="FooterText"/>
            <w:jc w:val="right"/>
            <w:rPr>
              <w:sz w:val="16"/>
            </w:rPr>
          </w:pPr>
          <w:r>
            <w:rPr>
              <w:b/>
              <w:position w:val="-4"/>
              <w:sz w:val="36"/>
            </w:rPr>
            <w:t>EN</w:t>
          </w:r>
        </w:p>
      </w:tc>
    </w:tr>
    <w:bookmarkEnd w:id="1"/>
  </w:tbl>
  <w:p w:rsidR="00926EAF" w:rsidRPr="00C4599F" w:rsidRDefault="00926EAF" w:rsidP="00C4599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C4599F" w:rsidRPr="009C2FB3" w:rsidTr="00C4599F">
      <w:trPr>
        <w:jc w:val="center"/>
      </w:trPr>
      <w:tc>
        <w:tcPr>
          <w:tcW w:w="569" w:type="pct"/>
          <w:shd w:val="clear" w:color="auto" w:fill="auto"/>
        </w:tcPr>
        <w:p w:rsidR="00C4599F" w:rsidRPr="009C2FB3" w:rsidRDefault="00C4599F" w:rsidP="0035025C">
          <w:pPr>
            <w:pStyle w:val="FooterText"/>
          </w:pPr>
          <w:bookmarkStart w:id="2" w:name="FOOTER_PR_COVERPAGE"/>
        </w:p>
      </w:tc>
      <w:tc>
        <w:tcPr>
          <w:tcW w:w="3760" w:type="pct"/>
          <w:gridSpan w:val="3"/>
          <w:shd w:val="clear" w:color="auto" w:fill="auto"/>
          <w:noWrap/>
        </w:tcPr>
        <w:p w:rsidR="00C4599F" w:rsidRPr="00F37CD6" w:rsidRDefault="00C4599F"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C4599F" w:rsidRPr="009C2FB3" w:rsidRDefault="00C4599F" w:rsidP="0035025C">
          <w:pPr>
            <w:pStyle w:val="FooterText"/>
          </w:pPr>
        </w:p>
      </w:tc>
    </w:tr>
    <w:tr w:rsidR="00C4599F" w:rsidRPr="00C4599F" w:rsidTr="00C4599F">
      <w:trPr>
        <w:jc w:val="center"/>
      </w:trPr>
      <w:tc>
        <w:tcPr>
          <w:tcW w:w="5000" w:type="pct"/>
          <w:gridSpan w:val="5"/>
          <w:shd w:val="clear" w:color="auto" w:fill="auto"/>
        </w:tcPr>
        <w:p w:rsidR="00C4599F" w:rsidRPr="00C4599F" w:rsidRDefault="00C4599F" w:rsidP="0035025C">
          <w:pPr>
            <w:pStyle w:val="FooterAddressText"/>
            <w:rPr>
              <w:lang w:val="fr-BE"/>
            </w:rPr>
          </w:pPr>
        </w:p>
        <w:p w:rsidR="00C4599F" w:rsidRPr="00C4599F" w:rsidRDefault="00C4599F" w:rsidP="0035025C">
          <w:pPr>
            <w:pStyle w:val="FooterAddressText"/>
            <w:rPr>
              <w:lang w:val="fr-BE"/>
            </w:rPr>
          </w:pPr>
          <w:r w:rsidRPr="00C4599F">
            <w:rPr>
              <w:lang w:val="fr-BE"/>
            </w:rPr>
            <w:t>Rue de la Loi 175  B – 1048 BRUSSELS  Tel.: +32 (0)2 281 6319  Fax: +32 (0)2 281 8026</w:t>
          </w:r>
        </w:p>
      </w:tc>
    </w:tr>
    <w:tr w:rsidR="00C4599F" w:rsidRPr="00C4599F" w:rsidTr="00C4599F">
      <w:trPr>
        <w:jc w:val="center"/>
      </w:trPr>
      <w:tc>
        <w:tcPr>
          <w:tcW w:w="5000" w:type="pct"/>
          <w:gridSpan w:val="5"/>
          <w:shd w:val="clear" w:color="auto" w:fill="auto"/>
        </w:tcPr>
        <w:p w:rsidR="00C4599F" w:rsidRPr="00C4599F" w:rsidRDefault="00C4599F" w:rsidP="0035025C">
          <w:pPr>
            <w:pStyle w:val="FooterText"/>
            <w:jc w:val="center"/>
            <w:rPr>
              <w:sz w:val="20"/>
              <w:szCs w:val="20"/>
              <w:lang w:val="fr-BE"/>
            </w:rPr>
          </w:pPr>
          <w:hyperlink r:id="rId1" w:history="1">
            <w:r w:rsidRPr="00C4599F">
              <w:rPr>
                <w:rStyle w:val="Hyperlink"/>
                <w:sz w:val="20"/>
                <w:lang w:val="fr-BE"/>
              </w:rPr>
              <w:t>press.office@consilium.europa.eu</w:t>
            </w:r>
          </w:hyperlink>
          <w:r w:rsidRPr="00C4599F">
            <w:rPr>
              <w:sz w:val="20"/>
              <w:szCs w:val="20"/>
              <w:lang w:val="fr-BE"/>
            </w:rPr>
            <w:t xml:space="preserve">  </w:t>
          </w:r>
          <w:hyperlink r:id="rId2" w:history="1">
            <w:r w:rsidRPr="00C4599F">
              <w:rPr>
                <w:rStyle w:val="Hyperlink"/>
                <w:sz w:val="20"/>
                <w:lang w:val="fr-BE"/>
              </w:rPr>
              <w:t>http://www.consilium.europa.eu/press</w:t>
            </w:r>
          </w:hyperlink>
        </w:p>
      </w:tc>
    </w:tr>
    <w:tr w:rsidR="00C4599F" w:rsidRPr="007410E8" w:rsidTr="00C4599F">
      <w:trPr>
        <w:jc w:val="center"/>
      </w:trPr>
      <w:tc>
        <w:tcPr>
          <w:tcW w:w="2604" w:type="pct"/>
          <w:gridSpan w:val="2"/>
          <w:shd w:val="clear" w:color="auto" w:fill="auto"/>
        </w:tcPr>
        <w:p w:rsidR="00C4599F" w:rsidRPr="007410E8" w:rsidRDefault="00C4599F" w:rsidP="0035025C">
          <w:pPr>
            <w:pStyle w:val="FooterText"/>
            <w:spacing w:before="60"/>
            <w:rPr>
              <w:sz w:val="16"/>
            </w:rPr>
          </w:pPr>
          <w:r>
            <w:t>10089/15</w:t>
          </w:r>
          <w:r w:rsidRPr="002511D8">
            <w:t xml:space="preserve"> </w:t>
          </w:r>
        </w:p>
      </w:tc>
      <w:tc>
        <w:tcPr>
          <w:tcW w:w="1319" w:type="pct"/>
          <w:shd w:val="clear" w:color="auto" w:fill="auto"/>
        </w:tcPr>
        <w:p w:rsidR="00C4599F" w:rsidRPr="007410E8" w:rsidRDefault="00C4599F" w:rsidP="0035025C">
          <w:pPr>
            <w:pStyle w:val="FooterText"/>
            <w:spacing w:before="120"/>
            <w:rPr>
              <w:sz w:val="16"/>
            </w:rPr>
          </w:pPr>
        </w:p>
      </w:tc>
      <w:tc>
        <w:tcPr>
          <w:tcW w:w="1077" w:type="pct"/>
          <w:gridSpan w:val="2"/>
          <w:shd w:val="clear" w:color="auto" w:fill="auto"/>
        </w:tcPr>
        <w:p w:rsidR="00C4599F" w:rsidRPr="007410E8" w:rsidRDefault="00C4599F"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C4599F" w:rsidRPr="007410E8" w:rsidTr="00C4599F">
      <w:trPr>
        <w:jc w:val="center"/>
      </w:trPr>
      <w:tc>
        <w:tcPr>
          <w:tcW w:w="2604" w:type="pct"/>
          <w:gridSpan w:val="2"/>
          <w:shd w:val="clear" w:color="auto" w:fill="auto"/>
        </w:tcPr>
        <w:p w:rsidR="00C4599F" w:rsidRPr="007410E8" w:rsidRDefault="00C4599F" w:rsidP="0035025C">
          <w:pPr>
            <w:pStyle w:val="FooterText"/>
            <w:rPr>
              <w:sz w:val="16"/>
            </w:rPr>
          </w:pPr>
        </w:p>
      </w:tc>
      <w:tc>
        <w:tcPr>
          <w:tcW w:w="1319" w:type="pct"/>
          <w:shd w:val="clear" w:color="auto" w:fill="auto"/>
        </w:tcPr>
        <w:p w:rsidR="00C4599F" w:rsidRPr="007410E8" w:rsidRDefault="00C4599F" w:rsidP="0035025C">
          <w:pPr>
            <w:pStyle w:val="FooterText"/>
            <w:rPr>
              <w:sz w:val="16"/>
            </w:rPr>
          </w:pPr>
        </w:p>
      </w:tc>
      <w:tc>
        <w:tcPr>
          <w:tcW w:w="1077" w:type="pct"/>
          <w:gridSpan w:val="2"/>
          <w:shd w:val="clear" w:color="auto" w:fill="auto"/>
        </w:tcPr>
        <w:p w:rsidR="00C4599F" w:rsidRPr="007410E8" w:rsidRDefault="00C4599F" w:rsidP="0035025C">
          <w:pPr>
            <w:pStyle w:val="FooterText"/>
            <w:jc w:val="right"/>
            <w:rPr>
              <w:sz w:val="16"/>
            </w:rPr>
          </w:pPr>
          <w:r>
            <w:rPr>
              <w:b/>
              <w:position w:val="-4"/>
              <w:sz w:val="36"/>
            </w:rPr>
            <w:t>EN</w:t>
          </w:r>
        </w:p>
      </w:tc>
    </w:tr>
    <w:bookmarkEnd w:id="2"/>
  </w:tbl>
  <w:p w:rsidR="00926EAF" w:rsidRPr="00C4599F" w:rsidRDefault="00926EAF" w:rsidP="00C4599F">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4599F" w:rsidRPr="007410E8" w:rsidTr="00C4599F">
      <w:trPr>
        <w:jc w:val="center"/>
      </w:trPr>
      <w:tc>
        <w:tcPr>
          <w:tcW w:w="5000" w:type="pct"/>
          <w:gridSpan w:val="3"/>
          <w:shd w:val="clear" w:color="auto" w:fill="auto"/>
        </w:tcPr>
        <w:p w:rsidR="00C4599F" w:rsidRPr="007410E8" w:rsidRDefault="00C4599F"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C4599F" w:rsidRPr="007410E8" w:rsidRDefault="00C4599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C4599F" w:rsidRPr="007410E8" w:rsidRDefault="00C4599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C4599F" w:rsidRPr="007410E8" w:rsidRDefault="00C4599F" w:rsidP="0035025C">
          <w:pPr>
            <w:pStyle w:val="FooterText"/>
            <w:tabs>
              <w:tab w:val="left" w:pos="285"/>
              <w:tab w:val="left" w:pos="585"/>
            </w:tabs>
            <w:rPr>
              <w:sz w:val="21"/>
              <w:szCs w:val="21"/>
            </w:rPr>
          </w:pPr>
        </w:p>
      </w:tc>
    </w:tr>
    <w:tr w:rsidR="00C4599F" w:rsidRPr="007410E8" w:rsidTr="00C4599F">
      <w:trPr>
        <w:jc w:val="center"/>
      </w:trPr>
      <w:tc>
        <w:tcPr>
          <w:tcW w:w="2604" w:type="pct"/>
          <w:shd w:val="clear" w:color="auto" w:fill="auto"/>
        </w:tcPr>
        <w:p w:rsidR="00C4599F" w:rsidRPr="007410E8" w:rsidRDefault="00C4599F" w:rsidP="0035025C">
          <w:pPr>
            <w:pStyle w:val="FooterText"/>
            <w:rPr>
              <w:sz w:val="16"/>
            </w:rPr>
          </w:pPr>
          <w:r>
            <w:t>10089/15</w:t>
          </w:r>
          <w:r w:rsidRPr="002511D8">
            <w:t xml:space="preserve"> </w:t>
          </w:r>
        </w:p>
      </w:tc>
      <w:tc>
        <w:tcPr>
          <w:tcW w:w="1319" w:type="pct"/>
          <w:shd w:val="clear" w:color="auto" w:fill="auto"/>
        </w:tcPr>
        <w:p w:rsidR="00C4599F" w:rsidRPr="007410E8" w:rsidRDefault="00C4599F" w:rsidP="0035025C">
          <w:pPr>
            <w:pStyle w:val="FooterText"/>
            <w:rPr>
              <w:sz w:val="16"/>
            </w:rPr>
          </w:pPr>
        </w:p>
      </w:tc>
      <w:tc>
        <w:tcPr>
          <w:tcW w:w="1077" w:type="pct"/>
          <w:shd w:val="clear" w:color="auto" w:fill="auto"/>
        </w:tcPr>
        <w:p w:rsidR="00C4599F" w:rsidRPr="007410E8" w:rsidRDefault="00C4599F"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C4599F" w:rsidRPr="007410E8" w:rsidTr="00C4599F">
      <w:trPr>
        <w:jc w:val="center"/>
      </w:trPr>
      <w:tc>
        <w:tcPr>
          <w:tcW w:w="2604" w:type="pct"/>
          <w:shd w:val="clear" w:color="auto" w:fill="auto"/>
        </w:tcPr>
        <w:p w:rsidR="00C4599F" w:rsidRPr="007410E8" w:rsidRDefault="00C4599F" w:rsidP="0035025C">
          <w:pPr>
            <w:pStyle w:val="FooterText"/>
            <w:rPr>
              <w:sz w:val="16"/>
            </w:rPr>
          </w:pPr>
        </w:p>
      </w:tc>
      <w:tc>
        <w:tcPr>
          <w:tcW w:w="1319" w:type="pct"/>
          <w:shd w:val="clear" w:color="auto" w:fill="auto"/>
        </w:tcPr>
        <w:p w:rsidR="00C4599F" w:rsidRPr="007410E8" w:rsidRDefault="00C4599F" w:rsidP="0035025C">
          <w:pPr>
            <w:pStyle w:val="FooterText"/>
            <w:rPr>
              <w:sz w:val="16"/>
            </w:rPr>
          </w:pPr>
        </w:p>
      </w:tc>
      <w:tc>
        <w:tcPr>
          <w:tcW w:w="1077" w:type="pct"/>
          <w:shd w:val="clear" w:color="auto" w:fill="auto"/>
        </w:tcPr>
        <w:p w:rsidR="00C4599F" w:rsidRPr="007410E8" w:rsidRDefault="00C4599F" w:rsidP="0035025C">
          <w:pPr>
            <w:pStyle w:val="FooterText"/>
            <w:jc w:val="right"/>
            <w:rPr>
              <w:sz w:val="16"/>
            </w:rPr>
          </w:pPr>
          <w:r>
            <w:rPr>
              <w:b/>
              <w:position w:val="-4"/>
              <w:sz w:val="36"/>
            </w:rPr>
            <w:t>EN</w:t>
          </w:r>
        </w:p>
      </w:tc>
    </w:tr>
    <w:bookmarkEnd w:id="4"/>
  </w:tbl>
  <w:p w:rsidR="004D6AAD" w:rsidRPr="00C4599F" w:rsidRDefault="004D6AAD" w:rsidP="00C4599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AD" w:rsidRDefault="004D6AAD">
      <w:pPr>
        <w:spacing w:before="0" w:after="0"/>
      </w:pPr>
      <w:r>
        <w:separator/>
      </w:r>
    </w:p>
  </w:footnote>
  <w:footnote w:type="continuationSeparator" w:id="0">
    <w:p w:rsidR="004D6AAD" w:rsidRDefault="004D6AAD">
      <w:pPr>
        <w:spacing w:before="0" w:after="0"/>
      </w:pPr>
      <w:r>
        <w:continuationSeparator/>
      </w:r>
    </w:p>
  </w:footnote>
  <w:footnote w:id="1">
    <w:p w:rsidR="00523C4D" w:rsidRPr="00440798" w:rsidRDefault="00523C4D" w:rsidP="00523C4D">
      <w:pPr>
        <w:pStyle w:val="FootnoteText"/>
        <w:ind w:left="709" w:hanging="709"/>
      </w:pPr>
      <w:r>
        <w:rPr>
          <w:rStyle w:val="FootnoteReference"/>
        </w:rPr>
        <w:footnoteRef/>
      </w:r>
      <w:r>
        <w:tab/>
      </w:r>
      <w:r w:rsidRPr="00EA5572">
        <w:t>A tax ruling is an assurance that tax authorities give to taxpayers on how their tax will be calculated. An advance pricing arrangement is a contract between a company and a tax authority specifying the pricing method that will be applied to goods and services sold between related legal entities within the company.</w:t>
      </w:r>
    </w:p>
  </w:footnote>
  <w:footnote w:id="2">
    <w:p w:rsidR="00C81C5D" w:rsidRPr="00790BA6" w:rsidRDefault="00C81C5D" w:rsidP="00C81C5D">
      <w:pPr>
        <w:pStyle w:val="FootnoteText"/>
        <w:tabs>
          <w:tab w:val="left" w:pos="567"/>
        </w:tabs>
        <w:ind w:left="567" w:hanging="567"/>
        <w:rPr>
          <w:sz w:val="22"/>
          <w:szCs w:val="22"/>
        </w:rPr>
      </w:pPr>
      <w:r w:rsidRPr="00AB5D5E">
        <w:rPr>
          <w:rStyle w:val="FootnoteReference"/>
        </w:rPr>
        <w:footnoteRef/>
      </w:r>
      <w:r w:rsidRPr="00AB5D5E">
        <w:tab/>
      </w:r>
      <w:r w:rsidRPr="00790BA6">
        <w:rPr>
          <w:sz w:val="22"/>
          <w:szCs w:val="22"/>
        </w:rPr>
        <w:t>All except Cyprus and Greece, which are subject to macroeconomic adjustment programmes. To avoid duplication, there are no country-specific recommendations for these two countries.</w:t>
      </w:r>
    </w:p>
  </w:footnote>
  <w:footnote w:id="3">
    <w:p w:rsidR="00991B0C" w:rsidRPr="007C70FD" w:rsidRDefault="00991B0C" w:rsidP="00991B0C">
      <w:pPr>
        <w:ind w:left="567" w:hanging="567"/>
        <w:rPr>
          <w:szCs w:val="20"/>
        </w:rPr>
      </w:pPr>
      <w:r>
        <w:rPr>
          <w:rStyle w:val="FootnoteReference"/>
          <w:sz w:val="22"/>
        </w:rPr>
        <w:footnoteRef/>
      </w:r>
      <w:r>
        <w:rPr>
          <w:sz w:val="22"/>
        </w:rPr>
        <w:tab/>
      </w:r>
      <w:r w:rsidRPr="007C70FD">
        <w:rPr>
          <w:szCs w:val="20"/>
        </w:rPr>
        <w:t>Concluded in March 2011 by 23 of the 27 member states, the Euro Plus Pact is aimed at strengthening economic policy coordination with a view to improving competitiveness and enabling a greater degree of convergence.</w:t>
      </w:r>
    </w:p>
  </w:footnote>
  <w:footnote w:id="4">
    <w:p w:rsidR="007C70FD" w:rsidRDefault="007C70FD" w:rsidP="007C70FD">
      <w:pPr>
        <w:pStyle w:val="FootnoteText"/>
      </w:pPr>
      <w:r>
        <w:rPr>
          <w:rStyle w:val="FootnoteReference"/>
        </w:rPr>
        <w:footnoteRef/>
      </w:r>
      <w:r>
        <w:tab/>
        <w:t xml:space="preserve">Commission Regulation (EU) No 1209/2014 of 29 October 2014 amending Regulation (EC) No 451/2008 of the European Parliament and of the Council establishing a new statistical classification of products by activity (CPA) and repealing Council Regulation (EEC) No 3696/93 (OJ L </w:t>
      </w:r>
      <w:r>
        <w:rPr>
          <w:iCs/>
        </w:rPr>
        <w:t>336, 22.11.2014, p. 1)</w:t>
      </w:r>
      <w:r>
        <w:t>.</w:t>
      </w:r>
    </w:p>
  </w:footnote>
  <w:footnote w:id="5">
    <w:p w:rsidR="006B0A17" w:rsidRPr="00C8310F" w:rsidRDefault="006B0A17" w:rsidP="006B0A17">
      <w:pPr>
        <w:pStyle w:val="FootnoteText"/>
      </w:pPr>
      <w:r>
        <w:rPr>
          <w:rStyle w:val="FootnoteReference"/>
        </w:rPr>
        <w:footnoteRef/>
      </w:r>
      <w:r>
        <w:tab/>
      </w:r>
      <w:r w:rsidRPr="00B36438">
        <w:t>Commission Regulation (EU) No 284/2013 of 1 March 2013 setting out the data requirements for plant protection products, in accordance with Regulation (EC) No 1107/2009 of the European Parliament and of the Council concerning the placing of plant protection products on the mark</w:t>
      </w:r>
      <w:r>
        <w:t>et</w:t>
      </w:r>
      <w:r>
        <w:br/>
        <w:t>(OJ L 93, 3.4.2013, p. </w:t>
      </w:r>
      <w:r w:rsidRPr="00B36438">
        <w:t>85</w:t>
      </w:r>
      <w:r>
        <w:t>)</w:t>
      </w:r>
      <w:r w:rsidRPr="00B3643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9F" w:rsidRPr="00C4599F" w:rsidRDefault="00C4599F" w:rsidP="00C45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9F" w:rsidRPr="00C4599F" w:rsidRDefault="00C4599F" w:rsidP="00C4599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9F" w:rsidRPr="00C4599F" w:rsidRDefault="00C4599F" w:rsidP="00C4599F">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4599F" w:rsidRPr="007410E8" w:rsidTr="00C4599F">
      <w:trPr>
        <w:jc w:val="center"/>
      </w:trPr>
      <w:tc>
        <w:tcPr>
          <w:tcW w:w="2500" w:type="pct"/>
          <w:shd w:val="clear" w:color="auto" w:fill="auto"/>
        </w:tcPr>
        <w:p w:rsidR="00C4599F" w:rsidRPr="007410E8" w:rsidRDefault="00C4599F" w:rsidP="0035025C">
          <w:pPr>
            <w:pStyle w:val="HeaderText"/>
            <w:rPr>
              <w:b/>
              <w:i/>
              <w:sz w:val="16"/>
              <w:u w:val="single"/>
            </w:rPr>
          </w:pPr>
          <w:bookmarkStart w:id="3" w:name="HEADER_PRMEET"/>
        </w:p>
      </w:tc>
      <w:tc>
        <w:tcPr>
          <w:tcW w:w="2500" w:type="pct"/>
          <w:shd w:val="clear" w:color="auto" w:fill="auto"/>
        </w:tcPr>
        <w:p w:rsidR="00C4599F" w:rsidRPr="007410E8" w:rsidRDefault="00C4599F" w:rsidP="00C4599F">
          <w:pPr>
            <w:pStyle w:val="HeaderText"/>
            <w:jc w:val="right"/>
            <w:rPr>
              <w:sz w:val="16"/>
            </w:rPr>
          </w:pPr>
          <w:r w:rsidRPr="00C4599F">
            <w:t>19 June 2015</w:t>
          </w:r>
        </w:p>
      </w:tc>
    </w:tr>
    <w:bookmarkEnd w:id="3"/>
  </w:tbl>
  <w:p w:rsidR="004D6AAD" w:rsidRPr="00C4599F" w:rsidRDefault="004D6AAD" w:rsidP="00C4599F">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4599F" w:rsidRPr="007410E8" w:rsidTr="00C4599F">
      <w:trPr>
        <w:jc w:val="center"/>
      </w:trPr>
      <w:tc>
        <w:tcPr>
          <w:tcW w:w="2500" w:type="pct"/>
          <w:shd w:val="clear" w:color="auto" w:fill="auto"/>
        </w:tcPr>
        <w:p w:rsidR="00C4599F" w:rsidRPr="007410E8" w:rsidRDefault="00C4599F" w:rsidP="0035025C">
          <w:pPr>
            <w:pStyle w:val="HeaderText"/>
            <w:rPr>
              <w:b/>
              <w:i/>
              <w:sz w:val="16"/>
              <w:u w:val="single"/>
            </w:rPr>
          </w:pPr>
        </w:p>
      </w:tc>
      <w:tc>
        <w:tcPr>
          <w:tcW w:w="2500" w:type="pct"/>
          <w:shd w:val="clear" w:color="auto" w:fill="auto"/>
        </w:tcPr>
        <w:p w:rsidR="00C4599F" w:rsidRPr="007410E8" w:rsidRDefault="00C4599F" w:rsidP="00C4599F">
          <w:pPr>
            <w:pStyle w:val="HeaderText"/>
            <w:jc w:val="right"/>
            <w:rPr>
              <w:sz w:val="16"/>
            </w:rPr>
          </w:pPr>
          <w:r w:rsidRPr="00C4599F">
            <w:t>19 June 2015</w:t>
          </w:r>
        </w:p>
      </w:tc>
    </w:tr>
  </w:tbl>
  <w:p w:rsidR="004D6AAD" w:rsidRPr="00C4599F" w:rsidRDefault="004D6AAD" w:rsidP="00C4599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7"/>
    <w:lvlOverride w:ilvl="0">
      <w:startOverride w:val="1"/>
    </w:lvlOverride>
  </w:num>
  <w:num w:numId="17">
    <w:abstractNumId w:val="4"/>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3&quot; technicalblockguid=&quot;ce919ee3-23ad-44f6-bfa8-2433ada9417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008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4&lt;/text&gt;_x000d__x000a_      &lt;text&gt;PR CO 3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inance of Latvia&quot; name=&quot;J&amp;#257;nis Reirs  &quot; text=&quot;J&amp;#257;nis Reirs  , Minister for Finance of Latvia&quot; genderKeyBds=&quot;gend_01&quot; /&gt;_x000d__x000a_    &lt;/presidents&gt;_x000d__x000a_  &lt;/metadata&gt;_x000d__x000a_  &lt;metadata key=&quot;md_MeetingNumber&quot;&gt;_x000d__x000a_    &lt;text&gt;3399th Council meeting&lt;/text&gt;_x000d__x000a_  &lt;/metadata&gt;_x000d__x000a_  &lt;metadata key=&quot;md_CouncilConfiguration&quot;&gt;_x000d__x000a_    &lt;basicdatatype&gt;_x000d__x000a_      &lt;configuration key=&quot;cc_03&quot; text=&quot;Economic and Financi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19&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4D6AAD"/>
    <w:rsid w:val="000100EB"/>
    <w:rsid w:val="00035E1C"/>
    <w:rsid w:val="00090459"/>
    <w:rsid w:val="000A458C"/>
    <w:rsid w:val="000A6025"/>
    <w:rsid w:val="000A63B0"/>
    <w:rsid w:val="000C107D"/>
    <w:rsid w:val="00137D6F"/>
    <w:rsid w:val="003946C8"/>
    <w:rsid w:val="003E22EA"/>
    <w:rsid w:val="00426BF5"/>
    <w:rsid w:val="00445CA6"/>
    <w:rsid w:val="004D6AAD"/>
    <w:rsid w:val="00523C4D"/>
    <w:rsid w:val="00546259"/>
    <w:rsid w:val="006A56D8"/>
    <w:rsid w:val="006B0A17"/>
    <w:rsid w:val="006B4D41"/>
    <w:rsid w:val="006E2F9D"/>
    <w:rsid w:val="006F4E9F"/>
    <w:rsid w:val="00727B0C"/>
    <w:rsid w:val="00790BA6"/>
    <w:rsid w:val="007A4CB1"/>
    <w:rsid w:val="007B2375"/>
    <w:rsid w:val="007C03D8"/>
    <w:rsid w:val="007C70FD"/>
    <w:rsid w:val="007E3D7B"/>
    <w:rsid w:val="008774FD"/>
    <w:rsid w:val="00895676"/>
    <w:rsid w:val="00926EAF"/>
    <w:rsid w:val="00991B0C"/>
    <w:rsid w:val="009B57D1"/>
    <w:rsid w:val="00A027A6"/>
    <w:rsid w:val="00A33747"/>
    <w:rsid w:val="00A36655"/>
    <w:rsid w:val="00A67613"/>
    <w:rsid w:val="00A76CDC"/>
    <w:rsid w:val="00B03546"/>
    <w:rsid w:val="00B1074F"/>
    <w:rsid w:val="00B34272"/>
    <w:rsid w:val="00BD54A3"/>
    <w:rsid w:val="00BE2CA6"/>
    <w:rsid w:val="00C320AF"/>
    <w:rsid w:val="00C4599F"/>
    <w:rsid w:val="00C5118D"/>
    <w:rsid w:val="00C57AAC"/>
    <w:rsid w:val="00C81C5D"/>
    <w:rsid w:val="00C87B82"/>
    <w:rsid w:val="00CA0D26"/>
    <w:rsid w:val="00D45C7C"/>
    <w:rsid w:val="00DB5CB0"/>
    <w:rsid w:val="00E148A9"/>
    <w:rsid w:val="00E157E0"/>
    <w:rsid w:val="00E737DC"/>
    <w:rsid w:val="00F46D7A"/>
    <w:rsid w:val="00FA43AC"/>
    <w:rsid w:val="00FC3274"/>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D6AAD"/>
    <w:pPr>
      <w:spacing w:before="0" w:after="440"/>
      <w:ind w:left="-1134" w:right="-1134"/>
    </w:pPr>
    <w:rPr>
      <w:sz w:val="2"/>
    </w:rPr>
  </w:style>
  <w:style w:type="character" w:customStyle="1" w:styleId="TechnicalBlockChar">
    <w:name w:val="Technical Block Char"/>
    <w:basedOn w:val="DefaultParagraphFont"/>
    <w:rsid w:val="004D6AAD"/>
    <w:rPr>
      <w:sz w:val="24"/>
      <w:szCs w:val="24"/>
      <w:lang w:val="en-GB" w:eastAsia="en-US"/>
    </w:rPr>
  </w:style>
  <w:style w:type="character" w:customStyle="1" w:styleId="HeaderCouncilLargeChar">
    <w:name w:val="Header Council Large Char"/>
    <w:basedOn w:val="TechnicalBlockChar"/>
    <w:link w:val="HeaderCouncilLarge"/>
    <w:rsid w:val="004D6AAD"/>
    <w:rPr>
      <w:sz w:val="2"/>
      <w:szCs w:val="24"/>
      <w:lang w:val="en-GB" w:eastAsia="en-US"/>
    </w:rPr>
  </w:style>
  <w:style w:type="paragraph" w:customStyle="1" w:styleId="FooterText">
    <w:name w:val="Footer Text"/>
    <w:basedOn w:val="Normal"/>
    <w:rsid w:val="004D6AAD"/>
    <w:pPr>
      <w:spacing w:before="0" w:after="0"/>
    </w:pPr>
  </w:style>
  <w:style w:type="paragraph" w:customStyle="1" w:styleId="FooterAddressText">
    <w:name w:val="Footer Address Text"/>
    <w:basedOn w:val="FooterText"/>
    <w:qFormat/>
    <w:rsid w:val="004D6AAD"/>
    <w:pPr>
      <w:jc w:val="center"/>
    </w:pPr>
    <w:rPr>
      <w:spacing w:val="10"/>
      <w:sz w:val="16"/>
      <w:szCs w:val="16"/>
    </w:rPr>
  </w:style>
  <w:style w:type="character" w:styleId="Hyperlink">
    <w:name w:val="Hyperlink"/>
    <w:basedOn w:val="DefaultParagraphFont"/>
    <w:unhideWhenUsed/>
    <w:qFormat/>
    <w:rsid w:val="004D6AAD"/>
    <w:rPr>
      <w:color w:val="0000FF" w:themeColor="hyperlink"/>
      <w:u w:val="single"/>
    </w:rPr>
  </w:style>
  <w:style w:type="paragraph" w:customStyle="1" w:styleId="HeaderText">
    <w:name w:val="Header Text"/>
    <w:basedOn w:val="Normal"/>
    <w:rsid w:val="004D6AAD"/>
    <w:pPr>
      <w:spacing w:before="0" w:after="0"/>
    </w:pPr>
  </w:style>
  <w:style w:type="character" w:customStyle="1" w:styleId="prdnormal">
    <w:name w:val="prdnormal"/>
    <w:rsid w:val="00523C4D"/>
  </w:style>
  <w:style w:type="character" w:customStyle="1" w:styleId="FootnoteTextChar">
    <w:name w:val="Footnote Text Char"/>
    <w:aliases w:val="Reference Char,Footnote Text Char1 Char Char,Footnote Text Char Char Char Char,Footnote Text Char2 Char Char Char Char,Footnote Text Char1 Char Char Char Char Char,Footnote Text Char Char Char Char Char Char Char,Plonk Char"/>
    <w:basedOn w:val="DefaultParagraphFont"/>
    <w:uiPriority w:val="99"/>
    <w:rsid w:val="00523C4D"/>
    <w:rPr>
      <w:sz w:val="24"/>
      <w:lang w:val="en-GB" w:eastAsia="en-US"/>
    </w:rPr>
  </w:style>
  <w:style w:type="character" w:styleId="CommentReference">
    <w:name w:val="annotation reference"/>
    <w:basedOn w:val="DefaultParagraphFont"/>
    <w:uiPriority w:val="99"/>
    <w:semiHidden/>
    <w:unhideWhenUsed/>
    <w:rsid w:val="000A6025"/>
    <w:rPr>
      <w:sz w:val="16"/>
      <w:szCs w:val="16"/>
    </w:rPr>
  </w:style>
  <w:style w:type="paragraph" w:styleId="CommentText">
    <w:name w:val="annotation text"/>
    <w:basedOn w:val="Normal"/>
    <w:link w:val="CommentTextChar"/>
    <w:uiPriority w:val="99"/>
    <w:semiHidden/>
    <w:unhideWhenUsed/>
    <w:rsid w:val="000A6025"/>
    <w:rPr>
      <w:sz w:val="20"/>
      <w:szCs w:val="20"/>
    </w:rPr>
  </w:style>
  <w:style w:type="character" w:customStyle="1" w:styleId="CommentTextChar">
    <w:name w:val="Comment Text Char"/>
    <w:basedOn w:val="DefaultParagraphFont"/>
    <w:link w:val="CommentText"/>
    <w:uiPriority w:val="99"/>
    <w:semiHidden/>
    <w:rsid w:val="000A6025"/>
    <w:rPr>
      <w:lang w:val="en-GB" w:eastAsia="en-US"/>
    </w:rPr>
  </w:style>
  <w:style w:type="paragraph" w:styleId="CommentSubject">
    <w:name w:val="annotation subject"/>
    <w:basedOn w:val="CommentText"/>
    <w:next w:val="CommentText"/>
    <w:link w:val="CommentSubjectChar"/>
    <w:uiPriority w:val="99"/>
    <w:semiHidden/>
    <w:unhideWhenUsed/>
    <w:rsid w:val="000A6025"/>
    <w:rPr>
      <w:b/>
      <w:bCs/>
    </w:rPr>
  </w:style>
  <w:style w:type="character" w:customStyle="1" w:styleId="CommentSubjectChar">
    <w:name w:val="Comment Subject Char"/>
    <w:basedOn w:val="CommentTextChar"/>
    <w:link w:val="CommentSubject"/>
    <w:uiPriority w:val="99"/>
    <w:semiHidden/>
    <w:rsid w:val="000A6025"/>
    <w:rPr>
      <w:b/>
      <w:bCs/>
      <w:lang w:val="en-GB" w:eastAsia="en-US"/>
    </w:rPr>
  </w:style>
  <w:style w:type="paragraph" w:styleId="BalloonText">
    <w:name w:val="Balloon Text"/>
    <w:basedOn w:val="Normal"/>
    <w:link w:val="BalloonTextChar"/>
    <w:uiPriority w:val="99"/>
    <w:semiHidden/>
    <w:unhideWhenUsed/>
    <w:rsid w:val="00426B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F5"/>
    <w:rPr>
      <w:rFonts w:ascii="Tahoma" w:hAnsi="Tahoma" w:cs="Tahoma"/>
      <w:sz w:val="16"/>
      <w:szCs w:val="16"/>
      <w:lang w:val="en-GB" w:eastAsia="en-US"/>
    </w:rPr>
  </w:style>
  <w:style w:type="paragraph" w:customStyle="1" w:styleId="entemet">
    <w:name w:val="entemet"/>
    <w:basedOn w:val="Normal"/>
    <w:rsid w:val="00790BA6"/>
    <w:pPr>
      <w:spacing w:before="100" w:beforeAutospacing="1" w:after="100" w:afterAutospacing="1"/>
    </w:pPr>
    <w:rPr>
      <w:lang w:eastAsia="en-GB"/>
    </w:rPr>
  </w:style>
  <w:style w:type="paragraph" w:customStyle="1" w:styleId="CharChar1CharCharCharCharCharCharCharCharCharCharCharCharChar">
    <w:name w:val="Char Char1 Char Char Char Char Char Char Char Char Char Char Char Char Char"/>
    <w:basedOn w:val="Normal"/>
    <w:rsid w:val="00790BA6"/>
    <w:pPr>
      <w:spacing w:before="0" w:after="160" w:line="240" w:lineRule="exact"/>
    </w:pPr>
    <w:rPr>
      <w:rFonts w:ascii="Verdana" w:hAnsi="Verdana"/>
      <w:sz w:val="20"/>
      <w:szCs w:val="20"/>
      <w:lang w:val="en-US"/>
    </w:rPr>
  </w:style>
  <w:style w:type="paragraph" w:styleId="ListParagraph">
    <w:name w:val="List Paragraph"/>
    <w:basedOn w:val="Normal"/>
    <w:uiPriority w:val="34"/>
    <w:qFormat/>
    <w:rsid w:val="006B0A17"/>
    <w:pPr>
      <w:spacing w:before="0" w:after="0" w:line="360" w:lineRule="auto"/>
      <w:ind w:left="720"/>
      <w:contextualSpacing/>
    </w:pPr>
    <w:rPr>
      <w:rFonts w:eastAsiaTheme="minorHAnsi" w:cstheme="minorBidi"/>
      <w:szCs w:val="22"/>
      <w:lang w:val="en-US"/>
    </w:rPr>
  </w:style>
  <w:style w:type="paragraph" w:customStyle="1" w:styleId="CarcterCarcterCharCarcterCarcterCharCarcterCarcterCharCharCarcterCarcter">
    <w:name w:val="Carácter Carácter Char Carácter Carácter Char Carácter Carácter Char Char Carácter Carácter"/>
    <w:basedOn w:val="Normal"/>
    <w:rsid w:val="00991B0C"/>
    <w:pPr>
      <w:spacing w:before="0" w:after="0"/>
    </w:pPr>
    <w:rPr>
      <w:lang w:val="pl-PL" w:eastAsia="pl-PL"/>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D6AAD"/>
    <w:pPr>
      <w:spacing w:before="0" w:after="440"/>
      <w:ind w:left="-1134" w:right="-1134"/>
    </w:pPr>
    <w:rPr>
      <w:sz w:val="2"/>
    </w:rPr>
  </w:style>
  <w:style w:type="character" w:customStyle="1" w:styleId="TechnicalBlockChar">
    <w:name w:val="Technical Block Char"/>
    <w:basedOn w:val="DefaultParagraphFont"/>
    <w:rsid w:val="004D6AAD"/>
    <w:rPr>
      <w:sz w:val="24"/>
      <w:szCs w:val="24"/>
      <w:lang w:val="en-GB" w:eastAsia="en-US"/>
    </w:rPr>
  </w:style>
  <w:style w:type="character" w:customStyle="1" w:styleId="HeaderCouncilLargeChar">
    <w:name w:val="Header Council Large Char"/>
    <w:basedOn w:val="TechnicalBlockChar"/>
    <w:link w:val="HeaderCouncilLarge"/>
    <w:rsid w:val="004D6AAD"/>
    <w:rPr>
      <w:sz w:val="2"/>
      <w:szCs w:val="24"/>
      <w:lang w:val="en-GB" w:eastAsia="en-US"/>
    </w:rPr>
  </w:style>
  <w:style w:type="paragraph" w:customStyle="1" w:styleId="FooterText">
    <w:name w:val="Footer Text"/>
    <w:basedOn w:val="Normal"/>
    <w:rsid w:val="004D6AAD"/>
    <w:pPr>
      <w:spacing w:before="0" w:after="0"/>
    </w:pPr>
  </w:style>
  <w:style w:type="paragraph" w:customStyle="1" w:styleId="FooterAddressText">
    <w:name w:val="Footer Address Text"/>
    <w:basedOn w:val="FooterText"/>
    <w:qFormat/>
    <w:rsid w:val="004D6AAD"/>
    <w:pPr>
      <w:jc w:val="center"/>
    </w:pPr>
    <w:rPr>
      <w:spacing w:val="10"/>
      <w:sz w:val="16"/>
      <w:szCs w:val="16"/>
    </w:rPr>
  </w:style>
  <w:style w:type="character" w:styleId="Hyperlink">
    <w:name w:val="Hyperlink"/>
    <w:basedOn w:val="DefaultParagraphFont"/>
    <w:unhideWhenUsed/>
    <w:qFormat/>
    <w:rsid w:val="004D6AAD"/>
    <w:rPr>
      <w:color w:val="0000FF" w:themeColor="hyperlink"/>
      <w:u w:val="single"/>
    </w:rPr>
  </w:style>
  <w:style w:type="paragraph" w:customStyle="1" w:styleId="HeaderText">
    <w:name w:val="Header Text"/>
    <w:basedOn w:val="Normal"/>
    <w:rsid w:val="004D6AAD"/>
    <w:pPr>
      <w:spacing w:before="0" w:after="0"/>
    </w:pPr>
  </w:style>
  <w:style w:type="character" w:customStyle="1" w:styleId="prdnormal">
    <w:name w:val="prdnormal"/>
    <w:rsid w:val="00523C4D"/>
  </w:style>
  <w:style w:type="character" w:customStyle="1" w:styleId="FootnoteTextChar">
    <w:name w:val="Footnote Text Char"/>
    <w:aliases w:val="Reference Char,Footnote Text Char1 Char Char,Footnote Text Char Char Char Char,Footnote Text Char2 Char Char Char Char,Footnote Text Char1 Char Char Char Char Char,Footnote Text Char Char Char Char Char Char Char,Plonk Char"/>
    <w:basedOn w:val="DefaultParagraphFont"/>
    <w:uiPriority w:val="99"/>
    <w:rsid w:val="00523C4D"/>
    <w:rPr>
      <w:sz w:val="24"/>
      <w:lang w:val="en-GB" w:eastAsia="en-US"/>
    </w:rPr>
  </w:style>
  <w:style w:type="character" w:styleId="CommentReference">
    <w:name w:val="annotation reference"/>
    <w:basedOn w:val="DefaultParagraphFont"/>
    <w:uiPriority w:val="99"/>
    <w:semiHidden/>
    <w:unhideWhenUsed/>
    <w:rsid w:val="000A6025"/>
    <w:rPr>
      <w:sz w:val="16"/>
      <w:szCs w:val="16"/>
    </w:rPr>
  </w:style>
  <w:style w:type="paragraph" w:styleId="CommentText">
    <w:name w:val="annotation text"/>
    <w:basedOn w:val="Normal"/>
    <w:link w:val="CommentTextChar"/>
    <w:uiPriority w:val="99"/>
    <w:semiHidden/>
    <w:unhideWhenUsed/>
    <w:rsid w:val="000A6025"/>
    <w:rPr>
      <w:sz w:val="20"/>
      <w:szCs w:val="20"/>
    </w:rPr>
  </w:style>
  <w:style w:type="character" w:customStyle="1" w:styleId="CommentTextChar">
    <w:name w:val="Comment Text Char"/>
    <w:basedOn w:val="DefaultParagraphFont"/>
    <w:link w:val="CommentText"/>
    <w:uiPriority w:val="99"/>
    <w:semiHidden/>
    <w:rsid w:val="000A6025"/>
    <w:rPr>
      <w:lang w:val="en-GB" w:eastAsia="en-US"/>
    </w:rPr>
  </w:style>
  <w:style w:type="paragraph" w:styleId="CommentSubject">
    <w:name w:val="annotation subject"/>
    <w:basedOn w:val="CommentText"/>
    <w:next w:val="CommentText"/>
    <w:link w:val="CommentSubjectChar"/>
    <w:uiPriority w:val="99"/>
    <w:semiHidden/>
    <w:unhideWhenUsed/>
    <w:rsid w:val="000A6025"/>
    <w:rPr>
      <w:b/>
      <w:bCs/>
    </w:rPr>
  </w:style>
  <w:style w:type="character" w:customStyle="1" w:styleId="CommentSubjectChar">
    <w:name w:val="Comment Subject Char"/>
    <w:basedOn w:val="CommentTextChar"/>
    <w:link w:val="CommentSubject"/>
    <w:uiPriority w:val="99"/>
    <w:semiHidden/>
    <w:rsid w:val="000A6025"/>
    <w:rPr>
      <w:b/>
      <w:bCs/>
      <w:lang w:val="en-GB" w:eastAsia="en-US"/>
    </w:rPr>
  </w:style>
  <w:style w:type="paragraph" w:styleId="BalloonText">
    <w:name w:val="Balloon Text"/>
    <w:basedOn w:val="Normal"/>
    <w:link w:val="BalloonTextChar"/>
    <w:uiPriority w:val="99"/>
    <w:semiHidden/>
    <w:unhideWhenUsed/>
    <w:rsid w:val="00426B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F5"/>
    <w:rPr>
      <w:rFonts w:ascii="Tahoma" w:hAnsi="Tahoma" w:cs="Tahoma"/>
      <w:sz w:val="16"/>
      <w:szCs w:val="16"/>
      <w:lang w:val="en-GB" w:eastAsia="en-US"/>
    </w:rPr>
  </w:style>
  <w:style w:type="paragraph" w:customStyle="1" w:styleId="entemet">
    <w:name w:val="entemet"/>
    <w:basedOn w:val="Normal"/>
    <w:rsid w:val="00790BA6"/>
    <w:pPr>
      <w:spacing w:before="100" w:beforeAutospacing="1" w:after="100" w:afterAutospacing="1"/>
    </w:pPr>
    <w:rPr>
      <w:lang w:eastAsia="en-GB"/>
    </w:rPr>
  </w:style>
  <w:style w:type="paragraph" w:customStyle="1" w:styleId="CharChar1CharCharCharCharCharCharCharCharCharCharCharCharChar">
    <w:name w:val="Char Char1 Char Char Char Char Char Char Char Char Char Char Char Char Char"/>
    <w:basedOn w:val="Normal"/>
    <w:rsid w:val="00790BA6"/>
    <w:pPr>
      <w:spacing w:before="0" w:after="160" w:line="240" w:lineRule="exact"/>
    </w:pPr>
    <w:rPr>
      <w:rFonts w:ascii="Verdana" w:hAnsi="Verdana"/>
      <w:sz w:val="20"/>
      <w:szCs w:val="20"/>
      <w:lang w:val="en-US"/>
    </w:rPr>
  </w:style>
  <w:style w:type="paragraph" w:styleId="ListParagraph">
    <w:name w:val="List Paragraph"/>
    <w:basedOn w:val="Normal"/>
    <w:uiPriority w:val="34"/>
    <w:qFormat/>
    <w:rsid w:val="006B0A17"/>
    <w:pPr>
      <w:spacing w:before="0" w:after="0" w:line="360" w:lineRule="auto"/>
      <w:ind w:left="720"/>
      <w:contextualSpacing/>
    </w:pPr>
    <w:rPr>
      <w:rFonts w:eastAsiaTheme="minorHAnsi" w:cstheme="minorBidi"/>
      <w:szCs w:val="22"/>
      <w:lang w:val="en-US"/>
    </w:rPr>
  </w:style>
  <w:style w:type="paragraph" w:customStyle="1" w:styleId="CarcterCarcterCharCarcterCarcterCharCarcterCarcterCharCharCarcterCarcter">
    <w:name w:val="Carácter Carácter Char Carácter Carácter Char Carácter Carácter Char Char Carácter Carácter"/>
    <w:basedOn w:val="Normal"/>
    <w:rsid w:val="00991B0C"/>
    <w:pPr>
      <w:spacing w:before="0" w:after="0"/>
    </w:pPr>
    <w:rPr>
      <w:lang w:val="pl-PL" w:eastAsia="pl-PL"/>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634856">
      <w:bodyDiv w:val="1"/>
      <w:marLeft w:val="0"/>
      <w:marRight w:val="0"/>
      <w:marTop w:val="0"/>
      <w:marBottom w:val="0"/>
      <w:divBdr>
        <w:top w:val="none" w:sz="0" w:space="0" w:color="auto"/>
        <w:left w:val="none" w:sz="0" w:space="0" w:color="auto"/>
        <w:bottom w:val="none" w:sz="0" w:space="0" w:color="auto"/>
        <w:right w:val="none" w:sz="0" w:space="0" w:color="auto"/>
      </w:divBdr>
    </w:div>
    <w:div w:id="18331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register.consilium.europa.eu/pdf/en/14/st09/st09510.en14.pdf" TargetMode="External"/><Relationship Id="rId39" Type="http://schemas.openxmlformats.org/officeDocument/2006/relationships/hyperlink" Target="http://data.consilium.europa.eu/doc/document/ST-9774-2015-INIT/en/pdf" TargetMode="External"/><Relationship Id="rId3" Type="http://schemas.openxmlformats.org/officeDocument/2006/relationships/styles" Target="styles.xml"/><Relationship Id="rId21" Type="http://schemas.openxmlformats.org/officeDocument/2006/relationships/hyperlink" Target="http://register.consilium.europa.eu/pdf/en/14/st16/st16115.en14.pdf" TargetMode="External"/><Relationship Id="rId34" Type="http://schemas.openxmlformats.org/officeDocument/2006/relationships/hyperlink" Target="http://data.consilium.europa.eu/doc/document/ST-8558-2015-INIT/en/pd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register.consilium.europa.eu/pdf/en/14/st17/st17083.en14.pdf" TargetMode="External"/><Relationship Id="rId33" Type="http://schemas.openxmlformats.org/officeDocument/2006/relationships/hyperlink" Target="http://www.consilium.europa.eu/en/press/press-releases/2015/06/19-crimea-eu-extends-restrictions-illegal-annexation/" TargetMode="External"/><Relationship Id="rId38" Type="http://schemas.openxmlformats.org/officeDocument/2006/relationships/hyperlink" Target="http://data.consilium.europa.eu/doc/document/ST-8879-2015-INIT/en/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nsilium.europa.eu/en/press/press-releases/2015/06/09-investing-in-european-projects-council-confirms-agreement-with-ep-on-new-fund/" TargetMode="External"/><Relationship Id="rId29" Type="http://schemas.openxmlformats.org/officeDocument/2006/relationships/hyperlink" Target="http://data.consilium.europa.eu/doc/document/ST-6675-2015-ADD-1/en/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register.consilium.europa.eu/pdf/en/14/st10/st10088.en14.pdf" TargetMode="External"/><Relationship Id="rId32" Type="http://schemas.openxmlformats.org/officeDocument/2006/relationships/hyperlink" Target="http://europa.eu/rapid/press-release_IP-15-5188_en.htm" TargetMode="External"/><Relationship Id="rId37" Type="http://schemas.openxmlformats.org/officeDocument/2006/relationships/hyperlink" Target="http://www.unece.org/info/ece-homepage.html" TargetMode="External"/><Relationship Id="rId40" Type="http://schemas.openxmlformats.org/officeDocument/2006/relationships/hyperlink" Target="http://data.consilium.europa.eu/doc/document/ST-8814-2015-INIT/en/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register.consilium.europa.eu/pdf/en/14/st11/st11814.en14.pdf" TargetMode="External"/><Relationship Id="rId28" Type="http://schemas.openxmlformats.org/officeDocument/2006/relationships/hyperlink" Target="http://www.consilium.europa.eu/en/press/press-releases/2015/06/19-country-specific-recommendations/" TargetMode="External"/><Relationship Id="rId36" Type="http://schemas.openxmlformats.org/officeDocument/2006/relationships/hyperlink" Target="http://data.consilium.europa.eu/doc/document/ST-9590-2015-REV-1/en/pdf" TargetMode="External"/><Relationship Id="rId10" Type="http://schemas.openxmlformats.org/officeDocument/2006/relationships/header" Target="header1.xml"/><Relationship Id="rId19" Type="http://schemas.openxmlformats.org/officeDocument/2006/relationships/hyperlink" Target="http://www.consilium.europa.eu/en/press/press-releases/2015/06/19-restructuring-risky-banks-council-agrees-negotiating-stances/" TargetMode="External"/><Relationship Id="rId31" Type="http://schemas.openxmlformats.org/officeDocument/2006/relationships/hyperlink" Target="http://www.consilium.europa.eu/en/press/press-releases/2015/06/19-uk-excessive-deficit-procedure-council-issues-new-recommendatio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9674-2015-INIT/en/pdf" TargetMode="External"/><Relationship Id="rId27" Type="http://schemas.openxmlformats.org/officeDocument/2006/relationships/hyperlink" Target="http://www.consilium.europa.eu/en/press/press-releases/2015/06/19-conclusions-capital-markets-union/" TargetMode="External"/><Relationship Id="rId30" Type="http://schemas.openxmlformats.org/officeDocument/2006/relationships/hyperlink" Target="http://www.consilium.europa.eu/en/press/press-releases/2015/06/19-malta-poland-deficits-back-below-three-percent-gdp/" TargetMode="External"/><Relationship Id="rId35" Type="http://schemas.openxmlformats.org/officeDocument/2006/relationships/hyperlink" Target="http://data.consilium.europa.eu/doc/document/ST-8514-2015-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2FB7-CD0A-4D42-A520-3E85D274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3</TotalTime>
  <Pages>22</Pages>
  <Words>3759</Words>
  <Characters>20357</Characters>
  <Application>Microsoft Office Word</Application>
  <DocSecurity>0</DocSecurity>
  <Lines>385</Lines>
  <Paragraphs>213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NEIRA Julia</cp:lastModifiedBy>
  <cp:revision>5</cp:revision>
  <cp:lastPrinted>2015-07-07T10:10:00Z</cp:lastPrinted>
  <dcterms:created xsi:type="dcterms:W3CDTF">2015-07-07T09:38:00Z</dcterms:created>
  <dcterms:modified xsi:type="dcterms:W3CDTF">2015-07-07T10:12:00Z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