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59" w:rsidRPr="007E4790" w:rsidRDefault="00BB78FB" w:rsidP="007E479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68802c-1e33-4c54-899f-4923cd1e8cfb" style="width:568.5pt;height:318pt">
            <v:imagedata r:id="rId8" o:title=""/>
          </v:shape>
        </w:pict>
      </w:r>
      <w:bookmarkEnd w:id="0"/>
    </w:p>
    <w:p w:rsidR="00290BE6" w:rsidRPr="008B0A7E" w:rsidRDefault="00290BE6" w:rsidP="00290BE6">
      <w:pPr>
        <w:pStyle w:val="HeadingCentered"/>
        <w:pageBreakBefore/>
        <w:spacing w:before="1320" w:after="600"/>
      </w:pPr>
      <w:r w:rsidRPr="008B0A7E">
        <w:lastRenderedPageBreak/>
        <w:t>POINTS EN DÉLIBÉRATION PUBLIQUE</w:t>
      </w:r>
      <w:r w:rsidRPr="008B0A7E">
        <w:rPr>
          <w:rStyle w:val="FootnoteReference"/>
        </w:rPr>
        <w:footnoteReference w:id="1"/>
      </w:r>
    </w:p>
    <w:p w:rsidR="00290BE6" w:rsidRPr="008B0A7E" w:rsidRDefault="00290BE6" w:rsidP="00290BE6">
      <w:pPr>
        <w:pStyle w:val="NormalRight"/>
        <w:spacing w:before="840" w:after="240"/>
        <w:rPr>
          <w:b/>
        </w:rPr>
      </w:pPr>
      <w:r w:rsidRPr="008B0A7E">
        <w:rPr>
          <w:b/>
        </w:rPr>
        <w:t>Page</w:t>
      </w:r>
    </w:p>
    <w:p w:rsidR="00290BE6" w:rsidRPr="008B0A7E" w:rsidRDefault="00290BE6" w:rsidP="00290BE6">
      <w:pPr>
        <w:spacing w:before="240"/>
        <w:rPr>
          <w:bCs/>
        </w:rPr>
      </w:pPr>
      <w:r w:rsidRPr="00BB78FB">
        <w:rPr>
          <w:u w:val="single"/>
        </w:rPr>
        <w:t>POINTS "B"</w:t>
      </w:r>
      <w:r w:rsidRPr="008B0A7E">
        <w:t xml:space="preserve"> (doc. 6520/15 OJ CONS 11 SOC 95 EMPL 45 SAN 51 CONSOM 37)</w:t>
      </w:r>
    </w:p>
    <w:p w:rsidR="00290BE6" w:rsidRPr="008B0A7E" w:rsidRDefault="00290BE6" w:rsidP="00290BE6">
      <w:pPr>
        <w:spacing w:before="240"/>
        <w:rPr>
          <w:b/>
          <w:bCs/>
        </w:rPr>
      </w:pPr>
      <w:r w:rsidRPr="008B0A7E">
        <w:rPr>
          <w:b/>
        </w:rPr>
        <w:t>ACTIVITÉS NON LÉGISLATIVES - DÉBATS PUBLICS</w:t>
      </w:r>
    </w:p>
    <w:p w:rsidR="00290BE6" w:rsidRPr="008B0A7E" w:rsidRDefault="00290BE6" w:rsidP="00290BE6">
      <w:pPr>
        <w:pStyle w:val="PointManual"/>
        <w:tabs>
          <w:tab w:val="right" w:leader="dot" w:pos="9639"/>
        </w:tabs>
      </w:pPr>
      <w:r w:rsidRPr="008B0A7E">
        <w:t>3.</w:t>
      </w:r>
      <w:r w:rsidRPr="008B0A7E">
        <w:tab/>
        <w:t>Semestre européen 2015: Contribution aux travaux du Conseil européen (19 et 20 mars 2015)</w:t>
      </w:r>
      <w:r w:rsidRPr="008B0A7E">
        <w:tab/>
        <w:t>3</w:t>
      </w:r>
    </w:p>
    <w:p w:rsidR="00290BE6" w:rsidRPr="008B0A7E" w:rsidRDefault="00290BE6" w:rsidP="00290BE6">
      <w:pPr>
        <w:pStyle w:val="PointManual"/>
        <w:tabs>
          <w:tab w:val="right" w:leader="dot" w:pos="9639"/>
        </w:tabs>
      </w:pPr>
      <w:r w:rsidRPr="008B0A7E">
        <w:t>4.</w:t>
      </w:r>
      <w:r w:rsidRPr="008B0A7E">
        <w:tab/>
        <w:t>Régimes de financement et affectation des ressources efficace et efficiente:</w:t>
      </w:r>
      <w:r w:rsidRPr="008B0A7E">
        <w:br/>
        <w:t>Rapport élaboré conjointement par le CPS et les services de la Commission</w:t>
      </w:r>
      <w:r w:rsidRPr="008B0A7E">
        <w:tab/>
        <w:t>4</w:t>
      </w:r>
    </w:p>
    <w:p w:rsidR="00290BE6" w:rsidRPr="008B0A7E" w:rsidRDefault="00290BE6" w:rsidP="00290BE6">
      <w:pPr>
        <w:pStyle w:val="PointManual"/>
        <w:tabs>
          <w:tab w:val="right" w:leader="dot" w:pos="9639"/>
        </w:tabs>
      </w:pPr>
      <w:r w:rsidRPr="008B0A7E">
        <w:t>5.</w:t>
      </w:r>
      <w:r w:rsidRPr="008B0A7E">
        <w:tab/>
        <w:t>Projet de conclusions du Conseil : Vers des marchés du travail plus inclusifs</w:t>
      </w:r>
      <w:r w:rsidRPr="008B0A7E">
        <w:tab/>
        <w:t>4</w:t>
      </w:r>
    </w:p>
    <w:p w:rsidR="00290BE6" w:rsidRPr="008B0A7E" w:rsidRDefault="00290BE6" w:rsidP="00290BE6">
      <w:pPr>
        <w:pStyle w:val="PointManual"/>
        <w:tabs>
          <w:tab w:val="right" w:leader="dot" w:pos="9639"/>
        </w:tabs>
      </w:pPr>
      <w:r w:rsidRPr="008B0A7E">
        <w:t>6.</w:t>
      </w:r>
      <w:r w:rsidRPr="008B0A7E">
        <w:tab/>
        <w:t>Projet de conclusions du Conseil sur le Cadre stratégique de l'Union européenne en matière de santé et de sécurité au travail (2014-2020): s'adapter aux nouveaux défis</w:t>
      </w:r>
      <w:r w:rsidRPr="008B0A7E">
        <w:tab/>
        <w:t>4</w:t>
      </w:r>
    </w:p>
    <w:p w:rsidR="00290BE6" w:rsidRPr="008B0A7E" w:rsidRDefault="00290BE6" w:rsidP="00290BE6">
      <w:pPr>
        <w:pStyle w:val="NormalCentered"/>
        <w:spacing w:before="600"/>
      </w:pPr>
      <w:r w:rsidRPr="008B0A7E">
        <w:t>*</w:t>
      </w:r>
    </w:p>
    <w:p w:rsidR="00290BE6" w:rsidRPr="008B0A7E" w:rsidRDefault="00290BE6" w:rsidP="00290BE6">
      <w:pPr>
        <w:pStyle w:val="NormalCentered"/>
        <w:spacing w:before="120"/>
      </w:pPr>
      <w:r w:rsidRPr="008B0A7E">
        <w:t>*</w:t>
      </w:r>
      <w:r w:rsidRPr="008B0A7E">
        <w:tab/>
        <w:t>*</w:t>
      </w:r>
    </w:p>
    <w:p w:rsidR="00290BE6" w:rsidRPr="008B0A7E" w:rsidRDefault="00290BE6" w:rsidP="00290BE6">
      <w:pPr>
        <w:rPr>
          <w:b/>
          <w:bCs/>
          <w:u w:val="single"/>
        </w:rPr>
      </w:pPr>
      <w:r w:rsidRPr="008B0A7E">
        <w:br w:type="page"/>
      </w:r>
      <w:r w:rsidRPr="008B0A7E">
        <w:rPr>
          <w:b/>
          <w:u w:val="single"/>
        </w:rPr>
        <w:lastRenderedPageBreak/>
        <w:t>ACTIVITÉS NON LÉGISLATIVES - DÉBATS PUBLICS</w:t>
      </w:r>
    </w:p>
    <w:p w:rsidR="00290BE6" w:rsidRPr="008B0A7E" w:rsidRDefault="00290BE6" w:rsidP="00290BE6">
      <w:pPr>
        <w:rPr>
          <w:b/>
          <w:bCs/>
          <w:i/>
          <w:iCs/>
        </w:rPr>
      </w:pPr>
      <w:r w:rsidRPr="008B0A7E">
        <w:rPr>
          <w:b/>
          <w:i/>
        </w:rPr>
        <w:t>(conformément à l'article 8, paragraphe 2, du règlement intérieur du Conseil [proposé par la Présidence])</w:t>
      </w:r>
    </w:p>
    <w:p w:rsidR="00290BE6" w:rsidRPr="008B0A7E" w:rsidRDefault="00290BE6" w:rsidP="00BB78FB">
      <w:pPr>
        <w:pStyle w:val="PointManual"/>
        <w:spacing w:before="240"/>
        <w:rPr>
          <w:b/>
          <w:bCs/>
        </w:rPr>
      </w:pPr>
      <w:r w:rsidRPr="008B0A7E">
        <w:rPr>
          <w:b/>
        </w:rPr>
        <w:t>3.</w:t>
      </w:r>
      <w:r w:rsidRPr="008B0A7E">
        <w:tab/>
      </w:r>
      <w:r w:rsidRPr="008B0A7E">
        <w:rPr>
          <w:b/>
        </w:rPr>
        <w:t>Semestre européen 2015: Contribution aux travaux du Conseil européen (19 et</w:t>
      </w:r>
      <w:r w:rsidR="00BB78FB">
        <w:rPr>
          <w:b/>
        </w:rPr>
        <w:t xml:space="preserve"> </w:t>
      </w:r>
      <w:r w:rsidRPr="008B0A7E">
        <w:rPr>
          <w:b/>
        </w:rPr>
        <w:t>20</w:t>
      </w:r>
      <w:r w:rsidR="00BB78FB">
        <w:rPr>
          <w:b/>
        </w:rPr>
        <w:t> </w:t>
      </w:r>
      <w:r w:rsidRPr="008B0A7E">
        <w:rPr>
          <w:b/>
        </w:rPr>
        <w:t>mars</w:t>
      </w:r>
      <w:r w:rsidR="00BB78FB">
        <w:rPr>
          <w:b/>
        </w:rPr>
        <w:t> </w:t>
      </w:r>
      <w:r w:rsidRPr="008B0A7E">
        <w:rPr>
          <w:b/>
        </w:rPr>
        <w:t>2015)</w:t>
      </w:r>
    </w:p>
    <w:p w:rsidR="00290BE6" w:rsidRPr="008B0A7E" w:rsidRDefault="00290BE6" w:rsidP="00290BE6">
      <w:pPr>
        <w:pStyle w:val="Dash1"/>
      </w:pPr>
      <w:r w:rsidRPr="008B0A7E">
        <w:t>Débat d'orientation</w:t>
      </w:r>
    </w:p>
    <w:p w:rsidR="00290BE6" w:rsidRPr="008B0A7E" w:rsidRDefault="00290BE6" w:rsidP="00290BE6">
      <w:pPr>
        <w:pStyle w:val="Text3"/>
      </w:pPr>
      <w:r w:rsidRPr="008B0A7E">
        <w:t>doc. 6138/15 SOC 65 EMPL 26 ECOFIN 92 EDUC 23</w:t>
      </w:r>
    </w:p>
    <w:p w:rsidR="00290BE6" w:rsidRPr="008B0A7E" w:rsidRDefault="00290BE6" w:rsidP="00290BE6">
      <w:pPr>
        <w:pStyle w:val="Text1"/>
        <w:spacing w:before="200" w:line="360" w:lineRule="auto"/>
        <w:rPr>
          <w:rFonts w:eastAsia="Calibri" w:cs="Arial"/>
          <w:szCs w:val="22"/>
        </w:rPr>
      </w:pPr>
      <w:r w:rsidRPr="008B0A7E">
        <w:t xml:space="preserve">Le </w:t>
      </w:r>
      <w:r w:rsidRPr="008B0A7E">
        <w:rPr>
          <w:u w:val="single"/>
        </w:rPr>
        <w:t>Conseil</w:t>
      </w:r>
      <w:r w:rsidRPr="008B0A7E">
        <w:t xml:space="preserve"> a tenu un débat d'orientation sur les actions prioritaires dans les domaines de l'emploi et des politiques sociales. Les </w:t>
      </w:r>
      <w:r w:rsidRPr="008B0A7E">
        <w:rPr>
          <w:u w:val="single"/>
        </w:rPr>
        <w:t>ministres</w:t>
      </w:r>
      <w:r w:rsidRPr="008B0A7E">
        <w:t xml:space="preserve"> ont largement salué l'approche adoptée pour l'examen annuel de la croissance, reposant sur trois piliers, et conçue pour mieux cibler les problèmes actuels et y remédier. Ils ont jugé positives les modifications apportées au Semestre européen, notamment pour ce qui est de la programmation des rapports par pays, qui laisse davantage de temps pour consulter plus largement les parties concernées.</w:t>
      </w:r>
    </w:p>
    <w:p w:rsidR="00290BE6" w:rsidRPr="008B0A7E" w:rsidRDefault="00290BE6" w:rsidP="00290BE6">
      <w:pPr>
        <w:pStyle w:val="Text1"/>
        <w:spacing w:before="200" w:line="360" w:lineRule="auto"/>
        <w:rPr>
          <w:rFonts w:eastAsia="Calibri" w:cs="Arial"/>
          <w:szCs w:val="22"/>
        </w:rPr>
      </w:pPr>
      <w:r w:rsidRPr="008B0A7E">
        <w:t>Une importance particulière a été accordée à la création d'emplois de qualité et à l'ouverture des marchés du travail aux groupes vulnérables (femmes, jeunes, travailleurs âgés et chômeurs de longue durée).</w:t>
      </w:r>
    </w:p>
    <w:p w:rsidR="006843CB" w:rsidRPr="008B0A7E" w:rsidRDefault="00290BE6" w:rsidP="00E91F8F">
      <w:pPr>
        <w:pStyle w:val="Text1"/>
        <w:spacing w:before="200" w:line="360" w:lineRule="auto"/>
        <w:rPr>
          <w:rFonts w:eastAsia="Calibri" w:cs="Arial"/>
          <w:szCs w:val="22"/>
        </w:rPr>
      </w:pPr>
      <w:r w:rsidRPr="008B0A7E">
        <w:t>Ils ont tout particulièrement insisté sur la nécessité d'investir dans le capital humain et les compétences dans le cadre de l'économie numérique ainsi que d'améliorer l'efficacité et l'efficience des systèmes de protection sociale. Ils ont une fois encore souligné le rôle et l'importance de la participation des partenaires sociaux.</w:t>
      </w:r>
    </w:p>
    <w:p w:rsidR="00290BE6" w:rsidRPr="008B0A7E" w:rsidRDefault="00290BE6" w:rsidP="00290BE6">
      <w:pPr>
        <w:pStyle w:val="Text1"/>
        <w:spacing w:before="200" w:line="360" w:lineRule="auto"/>
      </w:pPr>
      <w:r w:rsidRPr="008B0A7E">
        <w:t>Ils ont salué l'apprentissage mutuel et la diffusion des bonnes pratiques comme étant profitable à tous.</w:t>
      </w:r>
    </w:p>
    <w:p w:rsidR="00290BE6" w:rsidRPr="008B0A7E" w:rsidRDefault="00290BE6" w:rsidP="00290BE6">
      <w:pPr>
        <w:pStyle w:val="Pointabc1"/>
        <w:spacing w:before="240"/>
        <w:rPr>
          <w:b/>
          <w:bCs/>
        </w:rPr>
      </w:pPr>
      <w:r w:rsidRPr="008B0A7E">
        <w:rPr>
          <w:b/>
        </w:rPr>
        <w:t>Actions prioritaires dans les domaines de l'emploi et des politiques sociales: orientations politiques en 2015</w:t>
      </w:r>
    </w:p>
    <w:p w:rsidR="00290BE6" w:rsidRPr="008B0A7E" w:rsidRDefault="00290BE6" w:rsidP="00290BE6">
      <w:pPr>
        <w:pStyle w:val="Pointivx2"/>
        <w:rPr>
          <w:iCs/>
        </w:rPr>
      </w:pPr>
      <w:r w:rsidRPr="008B0A7E">
        <w:t>Projet de conclusions du Conseil sur l'examen annuel de la croissance 2015 et le rapport conjoint sur l'emploi: orientations politiques pour les politiques sociales et de l'emploi</w:t>
      </w:r>
    </w:p>
    <w:p w:rsidR="00290BE6" w:rsidRPr="008B0A7E" w:rsidRDefault="00290BE6" w:rsidP="00290BE6">
      <w:pPr>
        <w:pStyle w:val="Text3"/>
      </w:pPr>
      <w:r w:rsidRPr="008B0A7E">
        <w:t>doc. 6147/15 SOC 72 EMPL 33 ECOFIN 99 EDUC 30</w:t>
      </w:r>
    </w:p>
    <w:p w:rsidR="00290BE6" w:rsidRPr="008B0A7E" w:rsidRDefault="00290BE6" w:rsidP="00290BE6">
      <w:pPr>
        <w:pStyle w:val="Text4"/>
      </w:pPr>
      <w:r w:rsidRPr="008B0A7E">
        <w:t>+ REV 1 (lv)</w:t>
      </w:r>
    </w:p>
    <w:p w:rsidR="00290BE6" w:rsidRPr="008B0A7E" w:rsidRDefault="00290BE6" w:rsidP="00290BE6">
      <w:pPr>
        <w:pStyle w:val="Pointivx2"/>
      </w:pPr>
      <w:r w:rsidRPr="008B0A7E">
        <w:t>Projet de rapport conjoint sur l'emploi</w:t>
      </w:r>
    </w:p>
    <w:p w:rsidR="00290BE6" w:rsidRPr="008B0A7E" w:rsidRDefault="00290BE6" w:rsidP="00290BE6">
      <w:pPr>
        <w:pStyle w:val="Text3"/>
      </w:pPr>
      <w:r w:rsidRPr="008B0A7E">
        <w:t>doc. 6142/15 SOC 68 EMPL 29 ECOFIN 95 EDUC 26 JEUN 11</w:t>
      </w:r>
    </w:p>
    <w:p w:rsidR="00290BE6" w:rsidRPr="008B0A7E" w:rsidRDefault="00290BE6" w:rsidP="00290BE6">
      <w:pPr>
        <w:pStyle w:val="Dash2"/>
      </w:pPr>
      <w:r w:rsidRPr="008B0A7E">
        <w:t>Adoption</w:t>
      </w:r>
    </w:p>
    <w:p w:rsidR="00290BE6" w:rsidRPr="008B0A7E" w:rsidRDefault="00290BE6" w:rsidP="00290BE6">
      <w:pPr>
        <w:pStyle w:val="Text2"/>
        <w:spacing w:before="200" w:line="360" w:lineRule="auto"/>
      </w:pPr>
      <w:r w:rsidRPr="008B0A7E">
        <w:t xml:space="preserve">Le </w:t>
      </w:r>
      <w:r w:rsidRPr="008B0A7E">
        <w:rPr>
          <w:u w:val="single"/>
        </w:rPr>
        <w:t>Conseil</w:t>
      </w:r>
      <w:r w:rsidRPr="008B0A7E">
        <w:t xml:space="preserve"> a adopté les conclusions sur l'examen annuel de la croissance 2015 et le rapport conjoint sur l'emploi: orientations politiques pour les politiques sociales et de l'emploi. La version définitive figure dans le document 7007/15.</w:t>
      </w:r>
    </w:p>
    <w:p w:rsidR="00290BE6" w:rsidRPr="008B0A7E" w:rsidRDefault="00290BE6" w:rsidP="00290BE6">
      <w:pPr>
        <w:pStyle w:val="Text2"/>
        <w:spacing w:before="200" w:line="360" w:lineRule="auto"/>
      </w:pPr>
      <w:r w:rsidRPr="008B0A7E">
        <w:t>Le Conseil a adopté le rapport conjoint sur l'emploi. La version définitive figure dans le document 7006/15.</w:t>
      </w:r>
    </w:p>
    <w:p w:rsidR="00290BE6" w:rsidRPr="008B0A7E" w:rsidRDefault="00290BE6" w:rsidP="00290BE6">
      <w:pPr>
        <w:pStyle w:val="Pointabc1"/>
        <w:pageBreakBefore/>
        <w:spacing w:before="240"/>
        <w:rPr>
          <w:b/>
          <w:bCs/>
        </w:rPr>
      </w:pPr>
      <w:r w:rsidRPr="008B0A7E">
        <w:rPr>
          <w:b/>
        </w:rPr>
        <w:lastRenderedPageBreak/>
        <w:t>Europe sociale: Viser une croissance inclusive - Rapport annuel 2014 du CPS sur la situation sociale dans l'UE</w:t>
      </w:r>
    </w:p>
    <w:p w:rsidR="00290BE6" w:rsidRPr="008B0A7E" w:rsidRDefault="00290BE6" w:rsidP="00290BE6">
      <w:pPr>
        <w:pStyle w:val="Dash2"/>
      </w:pPr>
      <w:r w:rsidRPr="008B0A7E">
        <w:t>Approbation des messages clés</w:t>
      </w:r>
    </w:p>
    <w:p w:rsidR="00290BE6" w:rsidRPr="008B0A7E" w:rsidRDefault="00290BE6" w:rsidP="00290BE6">
      <w:pPr>
        <w:pStyle w:val="Text3"/>
      </w:pPr>
      <w:r w:rsidRPr="008B0A7E">
        <w:t>doc. 6194/15 SOC 78</w:t>
      </w:r>
    </w:p>
    <w:p w:rsidR="00290BE6" w:rsidRPr="008B0A7E" w:rsidRDefault="00290BE6" w:rsidP="00290BE6">
      <w:pPr>
        <w:pStyle w:val="Text4"/>
      </w:pPr>
      <w:r w:rsidRPr="008B0A7E">
        <w:t>+ ADD 1</w:t>
      </w:r>
    </w:p>
    <w:p w:rsidR="00290BE6" w:rsidRPr="008B0A7E" w:rsidRDefault="00290BE6" w:rsidP="00290BE6">
      <w:pPr>
        <w:pStyle w:val="Text2"/>
        <w:spacing w:before="200" w:line="360" w:lineRule="auto"/>
      </w:pPr>
      <w:r w:rsidRPr="008B0A7E">
        <w:t xml:space="preserve">Le </w:t>
      </w:r>
      <w:r w:rsidRPr="008B0A7E">
        <w:rPr>
          <w:u w:val="single"/>
        </w:rPr>
        <w:t>Conseil</w:t>
      </w:r>
      <w:r w:rsidRPr="008B0A7E">
        <w:t xml:space="preserve"> a approuvé les messages clés figurant dans le document 6194/15.</w:t>
      </w:r>
    </w:p>
    <w:p w:rsidR="00290BE6" w:rsidRPr="008B0A7E" w:rsidRDefault="00290BE6" w:rsidP="00290BE6">
      <w:pPr>
        <w:pStyle w:val="PointManual"/>
        <w:spacing w:before="600"/>
        <w:rPr>
          <w:b/>
          <w:bCs/>
        </w:rPr>
      </w:pPr>
      <w:r w:rsidRPr="008B0A7E">
        <w:rPr>
          <w:b/>
        </w:rPr>
        <w:t>4.</w:t>
      </w:r>
      <w:r w:rsidRPr="008B0A7E">
        <w:tab/>
      </w:r>
      <w:r w:rsidRPr="008B0A7E">
        <w:rPr>
          <w:b/>
        </w:rPr>
        <w:t>Régimes de financement et affectation des ressources efficace et efficiente: Rapport élaboré conjointement par le CPS et les services de la Commission</w:t>
      </w:r>
    </w:p>
    <w:p w:rsidR="006843CB" w:rsidRPr="008B0A7E" w:rsidRDefault="00290BE6" w:rsidP="00290BE6">
      <w:pPr>
        <w:pStyle w:val="Dash1"/>
      </w:pPr>
      <w:r w:rsidRPr="008B0A7E">
        <w:t>Approbation des messages clés</w:t>
      </w:r>
    </w:p>
    <w:p w:rsidR="006843CB" w:rsidRPr="008B0A7E" w:rsidRDefault="00290BE6" w:rsidP="00290BE6">
      <w:pPr>
        <w:pStyle w:val="Text3"/>
        <w:rPr>
          <w:lang w:val="it-IT"/>
        </w:rPr>
      </w:pPr>
      <w:r w:rsidRPr="008B0A7E">
        <w:rPr>
          <w:lang w:val="it-IT"/>
        </w:rPr>
        <w:t>doc. 6140/15 SOC 66 EMPL 27 ECOFIN93 SAN 44</w:t>
      </w:r>
    </w:p>
    <w:p w:rsidR="00290BE6" w:rsidRPr="008B0A7E" w:rsidRDefault="00290BE6" w:rsidP="00290BE6">
      <w:pPr>
        <w:pStyle w:val="Text4"/>
      </w:pPr>
      <w:r w:rsidRPr="008B0A7E">
        <w:t>+ COR 1</w:t>
      </w:r>
    </w:p>
    <w:p w:rsidR="00290BE6" w:rsidRPr="008B0A7E" w:rsidRDefault="00290BE6" w:rsidP="00290BE6">
      <w:pPr>
        <w:pStyle w:val="Text1"/>
        <w:spacing w:before="200" w:line="360" w:lineRule="auto"/>
      </w:pPr>
      <w:r w:rsidRPr="008B0A7E">
        <w:t xml:space="preserve">Le </w:t>
      </w:r>
      <w:r w:rsidRPr="008B0A7E">
        <w:rPr>
          <w:u w:val="single"/>
        </w:rPr>
        <w:t>Conseil</w:t>
      </w:r>
      <w:r w:rsidRPr="008B0A7E">
        <w:t xml:space="preserve"> a approuvé les messages clés figurant dans le document 6140/15 + COR 1.</w:t>
      </w:r>
    </w:p>
    <w:p w:rsidR="00290BE6" w:rsidRPr="008B0A7E" w:rsidRDefault="00290BE6" w:rsidP="00290BE6">
      <w:pPr>
        <w:pStyle w:val="PointManual"/>
        <w:spacing w:before="600"/>
        <w:rPr>
          <w:b/>
          <w:bCs/>
          <w:i/>
          <w:iCs/>
        </w:rPr>
      </w:pPr>
      <w:r w:rsidRPr="008B0A7E">
        <w:rPr>
          <w:b/>
        </w:rPr>
        <w:t>5.</w:t>
      </w:r>
      <w:r w:rsidRPr="008B0A7E">
        <w:tab/>
      </w:r>
      <w:r w:rsidRPr="008B0A7E">
        <w:rPr>
          <w:b/>
        </w:rPr>
        <w:t>Projet de conclusions du Conseil : Vers des marchés du travail plus inclusifs</w:t>
      </w:r>
    </w:p>
    <w:p w:rsidR="006843CB" w:rsidRPr="008B0A7E" w:rsidRDefault="00290BE6" w:rsidP="00290BE6">
      <w:pPr>
        <w:pStyle w:val="Dash1"/>
      </w:pPr>
      <w:r w:rsidRPr="008B0A7E">
        <w:t>Adoption</w:t>
      </w:r>
    </w:p>
    <w:p w:rsidR="00290BE6" w:rsidRPr="008B0A7E" w:rsidRDefault="00290BE6" w:rsidP="00290BE6">
      <w:pPr>
        <w:pStyle w:val="Text3"/>
      </w:pPr>
      <w:r w:rsidRPr="008B0A7E">
        <w:t>doc. 6182/15 SOC 75 EMPL 36 ECOFIN 102 EDUC 32</w:t>
      </w:r>
    </w:p>
    <w:p w:rsidR="00290BE6" w:rsidRPr="008B0A7E" w:rsidRDefault="00290BE6" w:rsidP="00290BE6">
      <w:pPr>
        <w:pStyle w:val="Text1"/>
        <w:spacing w:before="200" w:line="360" w:lineRule="auto"/>
      </w:pPr>
      <w:r w:rsidRPr="008B0A7E">
        <w:t xml:space="preserve">Le </w:t>
      </w:r>
      <w:r w:rsidRPr="008B0A7E">
        <w:rPr>
          <w:u w:val="single"/>
        </w:rPr>
        <w:t>Conseil</w:t>
      </w:r>
      <w:r w:rsidRPr="008B0A7E">
        <w:t xml:space="preserve"> a adopté les conclusions sur les marchés du travail inclusifs. La version définitive figure dans le document 7017/15.</w:t>
      </w:r>
    </w:p>
    <w:p w:rsidR="00290BE6" w:rsidRPr="008B0A7E" w:rsidRDefault="00290BE6" w:rsidP="00290BE6">
      <w:pPr>
        <w:pStyle w:val="PointManual"/>
        <w:spacing w:before="600"/>
        <w:rPr>
          <w:b/>
          <w:bCs/>
        </w:rPr>
      </w:pPr>
      <w:r w:rsidRPr="008B0A7E">
        <w:rPr>
          <w:b/>
        </w:rPr>
        <w:t>6.</w:t>
      </w:r>
      <w:r w:rsidRPr="008B0A7E">
        <w:tab/>
      </w:r>
      <w:r w:rsidRPr="008B0A7E">
        <w:rPr>
          <w:b/>
        </w:rPr>
        <w:t>Projet de conclusions du Conseil sur le Cadre stratégique de l'Union européenne en matière de santé et de sécurité au travail (2014-2020): s'adapter aux nouveaux défis</w:t>
      </w:r>
    </w:p>
    <w:p w:rsidR="006843CB" w:rsidRPr="008B0A7E" w:rsidRDefault="00290BE6" w:rsidP="00290BE6">
      <w:pPr>
        <w:pStyle w:val="Dash1"/>
      </w:pPr>
      <w:r w:rsidRPr="008B0A7E">
        <w:t>Adoption</w:t>
      </w:r>
    </w:p>
    <w:p w:rsidR="00290BE6" w:rsidRPr="008B0A7E" w:rsidRDefault="00290BE6" w:rsidP="00290BE6">
      <w:pPr>
        <w:pStyle w:val="Text3"/>
      </w:pPr>
      <w:r w:rsidRPr="008B0A7E">
        <w:t>doc. 6535/15 SOC 98 EMPL 46</w:t>
      </w:r>
    </w:p>
    <w:p w:rsidR="00290BE6" w:rsidRPr="008B0A7E" w:rsidRDefault="00290BE6" w:rsidP="00290BE6">
      <w:pPr>
        <w:pStyle w:val="Text4"/>
      </w:pPr>
      <w:r w:rsidRPr="008B0A7E">
        <w:t>+ REV 1 (gr)</w:t>
      </w:r>
    </w:p>
    <w:p w:rsidR="00290BE6" w:rsidRPr="008B0A7E" w:rsidRDefault="00290BE6" w:rsidP="00290BE6">
      <w:pPr>
        <w:pStyle w:val="Text1"/>
        <w:spacing w:before="200" w:line="360" w:lineRule="auto"/>
      </w:pPr>
      <w:r w:rsidRPr="008B0A7E">
        <w:t xml:space="preserve">Le </w:t>
      </w:r>
      <w:r w:rsidRPr="008B0A7E">
        <w:rPr>
          <w:u w:val="single"/>
        </w:rPr>
        <w:t>Conseil</w:t>
      </w:r>
      <w:r w:rsidRPr="008B0A7E">
        <w:t xml:space="preserve"> a adopté les conclusions susmentionnées. La version définitive figure dans le document 7013/15.</w:t>
      </w:r>
    </w:p>
    <w:p w:rsidR="00FC4670" w:rsidRPr="00B64C49" w:rsidRDefault="00FC4670" w:rsidP="001C1F59">
      <w:pPr>
        <w:pStyle w:val="FinalLine"/>
      </w:pPr>
    </w:p>
    <w:sectPr w:rsidR="00FC4670" w:rsidRPr="00B64C49" w:rsidSect="008B0A7E">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59" w:rsidRDefault="001C1F59" w:rsidP="001C1F59">
      <w:r>
        <w:separator/>
      </w:r>
    </w:p>
  </w:endnote>
  <w:endnote w:type="continuationSeparator" w:id="0">
    <w:p w:rsidR="001C1F59" w:rsidRDefault="001C1F59" w:rsidP="001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B0A7E" w:rsidRPr="00D94637" w:rsidTr="008B0A7E">
      <w:trPr>
        <w:jc w:val="center"/>
      </w:trPr>
      <w:tc>
        <w:tcPr>
          <w:tcW w:w="5000" w:type="pct"/>
          <w:gridSpan w:val="7"/>
          <w:shd w:val="clear" w:color="auto" w:fill="auto"/>
          <w:tcMar>
            <w:top w:w="57" w:type="dxa"/>
          </w:tcMar>
        </w:tcPr>
        <w:p w:rsidR="008B0A7E" w:rsidRPr="00D94637" w:rsidRDefault="008B0A7E" w:rsidP="00D94637">
          <w:pPr>
            <w:pStyle w:val="FooterText"/>
            <w:pBdr>
              <w:top w:val="single" w:sz="4" w:space="1" w:color="auto"/>
            </w:pBdr>
            <w:spacing w:before="200"/>
            <w:rPr>
              <w:sz w:val="2"/>
              <w:szCs w:val="2"/>
            </w:rPr>
          </w:pPr>
          <w:bookmarkStart w:id="2" w:name="FOOTER_STANDARD"/>
        </w:p>
      </w:tc>
    </w:tr>
    <w:tr w:rsidR="008B0A7E" w:rsidRPr="00B310DC" w:rsidTr="008B0A7E">
      <w:trPr>
        <w:jc w:val="center"/>
      </w:trPr>
      <w:tc>
        <w:tcPr>
          <w:tcW w:w="2500" w:type="pct"/>
          <w:gridSpan w:val="2"/>
          <w:shd w:val="clear" w:color="auto" w:fill="auto"/>
          <w:tcMar>
            <w:top w:w="0" w:type="dxa"/>
          </w:tcMar>
        </w:tcPr>
        <w:p w:rsidR="008B0A7E" w:rsidRPr="00AD7BF2" w:rsidRDefault="008B0A7E" w:rsidP="004F54B2">
          <w:pPr>
            <w:pStyle w:val="FooterText"/>
          </w:pPr>
          <w:r>
            <w:t>7002/15</w:t>
          </w:r>
          <w:r w:rsidRPr="002511D8">
            <w:t xml:space="preserve"> </w:t>
          </w:r>
          <w:r>
            <w:t>ADD 1</w:t>
          </w:r>
        </w:p>
      </w:tc>
      <w:tc>
        <w:tcPr>
          <w:tcW w:w="625" w:type="pct"/>
          <w:shd w:val="clear" w:color="auto" w:fill="auto"/>
          <w:tcMar>
            <w:top w:w="0" w:type="dxa"/>
          </w:tcMar>
        </w:tcPr>
        <w:p w:rsidR="008B0A7E" w:rsidRPr="00AD7BF2" w:rsidRDefault="008B0A7E" w:rsidP="00D94637">
          <w:pPr>
            <w:pStyle w:val="FooterText"/>
            <w:jc w:val="center"/>
          </w:pPr>
        </w:p>
      </w:tc>
      <w:tc>
        <w:tcPr>
          <w:tcW w:w="1287" w:type="pct"/>
          <w:gridSpan w:val="3"/>
          <w:shd w:val="clear" w:color="auto" w:fill="auto"/>
          <w:tcMar>
            <w:top w:w="0" w:type="dxa"/>
          </w:tcMar>
        </w:tcPr>
        <w:p w:rsidR="008B0A7E" w:rsidRPr="002511D8" w:rsidRDefault="008B0A7E" w:rsidP="00D94637">
          <w:pPr>
            <w:pStyle w:val="FooterText"/>
            <w:jc w:val="center"/>
          </w:pPr>
        </w:p>
      </w:tc>
      <w:tc>
        <w:tcPr>
          <w:tcW w:w="588" w:type="pct"/>
          <w:shd w:val="clear" w:color="auto" w:fill="auto"/>
          <w:tcMar>
            <w:top w:w="0" w:type="dxa"/>
          </w:tcMar>
        </w:tcPr>
        <w:p w:rsidR="008B0A7E" w:rsidRPr="00B310DC" w:rsidRDefault="008B0A7E" w:rsidP="00D94637">
          <w:pPr>
            <w:pStyle w:val="FooterText"/>
            <w:jc w:val="right"/>
          </w:pPr>
          <w:r>
            <w:fldChar w:fldCharType="begin"/>
          </w:r>
          <w:r>
            <w:instrText xml:space="preserve"> PAGE  \* MERGEFORMAT </w:instrText>
          </w:r>
          <w:r>
            <w:fldChar w:fldCharType="separate"/>
          </w:r>
          <w:r w:rsidR="00BB78FB">
            <w:rPr>
              <w:noProof/>
            </w:rPr>
            <w:t>4</w:t>
          </w:r>
          <w:r>
            <w:fldChar w:fldCharType="end"/>
          </w:r>
        </w:p>
      </w:tc>
    </w:tr>
    <w:tr w:rsidR="008B0A7E" w:rsidRPr="00D94637" w:rsidTr="008B0A7E">
      <w:trPr>
        <w:jc w:val="center"/>
      </w:trPr>
      <w:tc>
        <w:tcPr>
          <w:tcW w:w="1774" w:type="pct"/>
          <w:shd w:val="clear" w:color="auto" w:fill="auto"/>
        </w:tcPr>
        <w:p w:rsidR="008B0A7E" w:rsidRPr="00AD7BF2" w:rsidRDefault="008B0A7E" w:rsidP="00D94637">
          <w:pPr>
            <w:pStyle w:val="FooterText"/>
            <w:spacing w:before="40"/>
          </w:pPr>
        </w:p>
      </w:tc>
      <w:tc>
        <w:tcPr>
          <w:tcW w:w="1455" w:type="pct"/>
          <w:gridSpan w:val="3"/>
          <w:shd w:val="clear" w:color="auto" w:fill="auto"/>
        </w:tcPr>
        <w:p w:rsidR="008B0A7E" w:rsidRPr="00AD7BF2" w:rsidRDefault="008B0A7E" w:rsidP="00D204D6">
          <w:pPr>
            <w:pStyle w:val="FooterText"/>
            <w:spacing w:before="40"/>
            <w:jc w:val="center"/>
          </w:pPr>
          <w:r>
            <w:t>DPG</w:t>
          </w:r>
        </w:p>
      </w:tc>
      <w:tc>
        <w:tcPr>
          <w:tcW w:w="1147" w:type="pct"/>
          <w:shd w:val="clear" w:color="auto" w:fill="auto"/>
        </w:tcPr>
        <w:p w:rsidR="008B0A7E" w:rsidRPr="00D94637" w:rsidRDefault="008B0A7E" w:rsidP="00D94637">
          <w:pPr>
            <w:pStyle w:val="FooterText"/>
            <w:jc w:val="right"/>
            <w:rPr>
              <w:b/>
              <w:position w:val="-4"/>
              <w:sz w:val="36"/>
            </w:rPr>
          </w:pPr>
        </w:p>
      </w:tc>
      <w:tc>
        <w:tcPr>
          <w:tcW w:w="625" w:type="pct"/>
          <w:gridSpan w:val="2"/>
          <w:shd w:val="clear" w:color="auto" w:fill="auto"/>
        </w:tcPr>
        <w:p w:rsidR="008B0A7E" w:rsidRPr="00D94637" w:rsidRDefault="008B0A7E" w:rsidP="00D94637">
          <w:pPr>
            <w:pStyle w:val="FooterText"/>
            <w:jc w:val="right"/>
            <w:rPr>
              <w:sz w:val="16"/>
            </w:rPr>
          </w:pPr>
          <w:r>
            <w:rPr>
              <w:b/>
              <w:position w:val="-4"/>
              <w:sz w:val="36"/>
            </w:rPr>
            <w:t>FR</w:t>
          </w:r>
        </w:p>
      </w:tc>
    </w:tr>
    <w:bookmarkEnd w:id="2"/>
  </w:tbl>
  <w:p w:rsidR="001C1F59" w:rsidRPr="008B0A7E" w:rsidRDefault="001C1F59" w:rsidP="008B0A7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B0A7E" w:rsidRPr="00D94637" w:rsidTr="008B0A7E">
      <w:trPr>
        <w:jc w:val="center"/>
      </w:trPr>
      <w:tc>
        <w:tcPr>
          <w:tcW w:w="5000" w:type="pct"/>
          <w:gridSpan w:val="7"/>
          <w:shd w:val="clear" w:color="auto" w:fill="auto"/>
          <w:tcMar>
            <w:top w:w="57" w:type="dxa"/>
          </w:tcMar>
        </w:tcPr>
        <w:p w:rsidR="008B0A7E" w:rsidRPr="00D94637" w:rsidRDefault="008B0A7E" w:rsidP="00D94637">
          <w:pPr>
            <w:pStyle w:val="FooterText"/>
            <w:pBdr>
              <w:top w:val="single" w:sz="4" w:space="1" w:color="auto"/>
            </w:pBdr>
            <w:spacing w:before="200"/>
            <w:rPr>
              <w:sz w:val="2"/>
              <w:szCs w:val="2"/>
            </w:rPr>
          </w:pPr>
        </w:p>
      </w:tc>
    </w:tr>
    <w:tr w:rsidR="008B0A7E" w:rsidRPr="00B310DC" w:rsidTr="008B0A7E">
      <w:trPr>
        <w:jc w:val="center"/>
      </w:trPr>
      <w:tc>
        <w:tcPr>
          <w:tcW w:w="2500" w:type="pct"/>
          <w:gridSpan w:val="2"/>
          <w:shd w:val="clear" w:color="auto" w:fill="auto"/>
          <w:tcMar>
            <w:top w:w="0" w:type="dxa"/>
          </w:tcMar>
        </w:tcPr>
        <w:p w:rsidR="008B0A7E" w:rsidRPr="00AD7BF2" w:rsidRDefault="008B0A7E" w:rsidP="004F54B2">
          <w:pPr>
            <w:pStyle w:val="FooterText"/>
          </w:pPr>
          <w:r>
            <w:t>7002/15</w:t>
          </w:r>
          <w:r w:rsidRPr="002511D8">
            <w:t xml:space="preserve"> </w:t>
          </w:r>
          <w:r>
            <w:t>ADD 1</w:t>
          </w:r>
        </w:p>
      </w:tc>
      <w:tc>
        <w:tcPr>
          <w:tcW w:w="625" w:type="pct"/>
          <w:shd w:val="clear" w:color="auto" w:fill="auto"/>
          <w:tcMar>
            <w:top w:w="0" w:type="dxa"/>
          </w:tcMar>
        </w:tcPr>
        <w:p w:rsidR="008B0A7E" w:rsidRPr="00AD7BF2" w:rsidRDefault="008B0A7E" w:rsidP="00D94637">
          <w:pPr>
            <w:pStyle w:val="FooterText"/>
            <w:jc w:val="center"/>
          </w:pPr>
        </w:p>
      </w:tc>
      <w:tc>
        <w:tcPr>
          <w:tcW w:w="1287" w:type="pct"/>
          <w:gridSpan w:val="3"/>
          <w:shd w:val="clear" w:color="auto" w:fill="auto"/>
          <w:tcMar>
            <w:top w:w="0" w:type="dxa"/>
          </w:tcMar>
        </w:tcPr>
        <w:p w:rsidR="008B0A7E" w:rsidRPr="002511D8" w:rsidRDefault="008B0A7E" w:rsidP="00D94637">
          <w:pPr>
            <w:pStyle w:val="FooterText"/>
            <w:jc w:val="center"/>
          </w:pPr>
        </w:p>
      </w:tc>
      <w:tc>
        <w:tcPr>
          <w:tcW w:w="588" w:type="pct"/>
          <w:shd w:val="clear" w:color="auto" w:fill="auto"/>
          <w:tcMar>
            <w:top w:w="0" w:type="dxa"/>
          </w:tcMar>
        </w:tcPr>
        <w:p w:rsidR="008B0A7E" w:rsidRPr="00B310DC" w:rsidRDefault="008B0A7E" w:rsidP="00D94637">
          <w:pPr>
            <w:pStyle w:val="FooterText"/>
            <w:jc w:val="right"/>
          </w:pPr>
          <w:r>
            <w:fldChar w:fldCharType="begin"/>
          </w:r>
          <w:r>
            <w:instrText xml:space="preserve"> PAGE  \* MERGEFORMAT </w:instrText>
          </w:r>
          <w:r>
            <w:fldChar w:fldCharType="separate"/>
          </w:r>
          <w:r w:rsidR="00BB78FB">
            <w:rPr>
              <w:noProof/>
            </w:rPr>
            <w:t>1</w:t>
          </w:r>
          <w:r>
            <w:fldChar w:fldCharType="end"/>
          </w:r>
        </w:p>
      </w:tc>
    </w:tr>
    <w:tr w:rsidR="008B0A7E" w:rsidRPr="00D94637" w:rsidTr="008B0A7E">
      <w:trPr>
        <w:jc w:val="center"/>
      </w:trPr>
      <w:tc>
        <w:tcPr>
          <w:tcW w:w="1774" w:type="pct"/>
          <w:shd w:val="clear" w:color="auto" w:fill="auto"/>
        </w:tcPr>
        <w:p w:rsidR="008B0A7E" w:rsidRPr="00AD7BF2" w:rsidRDefault="008B0A7E" w:rsidP="00D94637">
          <w:pPr>
            <w:pStyle w:val="FooterText"/>
            <w:spacing w:before="40"/>
          </w:pPr>
        </w:p>
      </w:tc>
      <w:tc>
        <w:tcPr>
          <w:tcW w:w="1455" w:type="pct"/>
          <w:gridSpan w:val="3"/>
          <w:shd w:val="clear" w:color="auto" w:fill="auto"/>
        </w:tcPr>
        <w:p w:rsidR="008B0A7E" w:rsidRPr="00AD7BF2" w:rsidRDefault="008B0A7E" w:rsidP="00D204D6">
          <w:pPr>
            <w:pStyle w:val="FooterText"/>
            <w:spacing w:before="40"/>
            <w:jc w:val="center"/>
          </w:pPr>
          <w:r>
            <w:t>DPG</w:t>
          </w:r>
        </w:p>
      </w:tc>
      <w:tc>
        <w:tcPr>
          <w:tcW w:w="1147" w:type="pct"/>
          <w:shd w:val="clear" w:color="auto" w:fill="auto"/>
        </w:tcPr>
        <w:p w:rsidR="008B0A7E" w:rsidRPr="00D94637" w:rsidRDefault="008B0A7E" w:rsidP="00D94637">
          <w:pPr>
            <w:pStyle w:val="FooterText"/>
            <w:jc w:val="right"/>
            <w:rPr>
              <w:b/>
              <w:position w:val="-4"/>
              <w:sz w:val="36"/>
            </w:rPr>
          </w:pPr>
        </w:p>
      </w:tc>
      <w:tc>
        <w:tcPr>
          <w:tcW w:w="625" w:type="pct"/>
          <w:gridSpan w:val="2"/>
          <w:shd w:val="clear" w:color="auto" w:fill="auto"/>
        </w:tcPr>
        <w:p w:rsidR="008B0A7E" w:rsidRPr="00D94637" w:rsidRDefault="008B0A7E" w:rsidP="00D94637">
          <w:pPr>
            <w:pStyle w:val="FooterText"/>
            <w:jc w:val="right"/>
            <w:rPr>
              <w:sz w:val="16"/>
            </w:rPr>
          </w:pPr>
          <w:r>
            <w:rPr>
              <w:b/>
              <w:position w:val="-4"/>
              <w:sz w:val="36"/>
            </w:rPr>
            <w:t>FR</w:t>
          </w:r>
        </w:p>
      </w:tc>
    </w:tr>
  </w:tbl>
  <w:p w:rsidR="001C1F59" w:rsidRPr="008B0A7E" w:rsidRDefault="001C1F59" w:rsidP="008B0A7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59" w:rsidRDefault="001C1F59" w:rsidP="001C1F59">
      <w:r>
        <w:separator/>
      </w:r>
    </w:p>
  </w:footnote>
  <w:footnote w:type="continuationSeparator" w:id="0">
    <w:p w:rsidR="001C1F59" w:rsidRDefault="001C1F59" w:rsidP="001C1F59">
      <w:r>
        <w:continuationSeparator/>
      </w:r>
    </w:p>
  </w:footnote>
  <w:footnote w:id="1">
    <w:p w:rsidR="00290BE6" w:rsidRPr="00183F54" w:rsidRDefault="00290BE6" w:rsidP="00BB78FB">
      <w:pPr>
        <w:pStyle w:val="FootnoteText"/>
        <w:rPr>
          <w:lang w:val="fr-BE"/>
        </w:rPr>
      </w:pPr>
      <w:r>
        <w:rPr>
          <w:rStyle w:val="FootnoteReference"/>
        </w:rPr>
        <w:footnoteRef/>
      </w:r>
      <w:r>
        <w:tab/>
        <w:t>Délibérations sur les actes législatifs de l'Union (article 16, paragraphe 8, du TUE), autres</w:t>
      </w:r>
      <w:r w:rsidR="00BB78FB">
        <w:t> </w:t>
      </w:r>
      <w:r>
        <w:t>délibérations ouvertes au public et débats publics (article 8 du règlement intérieur du</w:t>
      </w:r>
      <w:r w:rsidR="00BB78FB">
        <w:t>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4768802c-1e33-4c54-899f-4923cd1e8cf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27&lt;/text&gt;_x000d__x000a_  &lt;/metadata&gt;_x000d__x000a_  &lt;metadata key=&quot;md_Prefix&quot; translate=&quot;false&quot;&gt;_x000d__x000a_    &lt;text&gt;&lt;/text&gt;_x000d__x000a_  &lt;/metadata&gt;_x000d__x000a_  &lt;metadata key=&quot;md_DocumentNumber&quot; translate=&quot;false&quot;&gt;_x000d__x000a_    &lt;text&gt;700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1&lt;/text&gt;_x000d__x000a_      &lt;text&gt;SOC 162&lt;/text&gt;_x000d__x000a_      &lt;text&gt;EMPL 82&lt;/text&gt;_x000d__x000a_      &lt;text&gt;SAN 63&lt;/text&gt;_x000d__x000a_      &lt;text&gt;CONSOM 4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4e session du Conseil de l'Union européenne (EMPLOI, POLITIQUE SOCIALE, SANTÉ ET CONSOMMATEURS), tenue à Bruxelles, le  9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4&amp;lt;/Run&amp;gt;&amp;lt;Run BaselineAlignment=&quot;Superscript&quot; FontFamily=&quot;Times New Roman&quot; FontWeight=&quot;Bold&quot;&amp;gt;e&amp;lt;/Run&amp;gt; &amp;lt;Run FontFamily=&quot;Times New Roman&quot; xml:space=&quot;preserve&quot;&amp;gt;session du Conseil de l'Union européenne &amp;lt;/Run&amp;gt;&amp;lt;Run FontFamily=&quot;Times New Roman&quot; FontWeight=&quot;Bold&quot;&amp;gt;(&amp;lt;/Run&amp;gt;&amp;lt;Run FontFamily=&quot;Times New Roman&quot; FontWeight=&quot;Bold&quot;&amp;gt;&amp;lt;Run.TextDecorations&amp;gt;&amp;lt;TextDecoration Location=&quot;Underline&quot; /&amp;gt;&amp;lt;/Run.TextDecorations&amp;gt;EMPLOI, POLITIQUE SOCIALE&amp;lt;/Run&amp;gt;&amp;lt;Run FontFamily=&quot;Times New Roman&quot; FontWeight=&quot;Bold&quot;&amp;gt;, SANTÉ ET CONSOMMATEURS)&amp;lt;/Run&amp;gt;&amp;lt;Run FontFamily=&quot;Times New Roman&quot;&amp;gt;, tenue à Bruxelles, le &amp;lt;/Run&amp;gt;&amp;lt;LineBreak /&amp;gt;&amp;lt;Run FontFamily=&quot;Times New Roman&quot;&amp;gt;9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C1F59"/>
    <w:rsid w:val="00010C1D"/>
    <w:rsid w:val="0009656C"/>
    <w:rsid w:val="00165755"/>
    <w:rsid w:val="00182F2F"/>
    <w:rsid w:val="001834D4"/>
    <w:rsid w:val="00183F54"/>
    <w:rsid w:val="001C1F59"/>
    <w:rsid w:val="00252B7C"/>
    <w:rsid w:val="00290BE6"/>
    <w:rsid w:val="002A2AE8"/>
    <w:rsid w:val="003C6E8B"/>
    <w:rsid w:val="003F19D2"/>
    <w:rsid w:val="00447521"/>
    <w:rsid w:val="005157F5"/>
    <w:rsid w:val="00546DE1"/>
    <w:rsid w:val="0063379B"/>
    <w:rsid w:val="006843CB"/>
    <w:rsid w:val="006A38C5"/>
    <w:rsid w:val="006C12EE"/>
    <w:rsid w:val="006C1AD4"/>
    <w:rsid w:val="006E33E2"/>
    <w:rsid w:val="006F4741"/>
    <w:rsid w:val="007016CD"/>
    <w:rsid w:val="0075756A"/>
    <w:rsid w:val="007E4790"/>
    <w:rsid w:val="00825503"/>
    <w:rsid w:val="00865FDE"/>
    <w:rsid w:val="008826F8"/>
    <w:rsid w:val="008B0A7E"/>
    <w:rsid w:val="008E23D4"/>
    <w:rsid w:val="00A469D7"/>
    <w:rsid w:val="00A964EB"/>
    <w:rsid w:val="00B05D78"/>
    <w:rsid w:val="00B1521D"/>
    <w:rsid w:val="00B64C49"/>
    <w:rsid w:val="00BB78FB"/>
    <w:rsid w:val="00BE1373"/>
    <w:rsid w:val="00D451E4"/>
    <w:rsid w:val="00E91F8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1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link w:val="Text2Char"/>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link w:val="Dash2Char"/>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C1F59"/>
    <w:pPr>
      <w:spacing w:after="440"/>
      <w:ind w:left="-1134" w:right="-1134"/>
    </w:pPr>
    <w:rPr>
      <w:sz w:val="2"/>
    </w:rPr>
  </w:style>
  <w:style w:type="character" w:customStyle="1" w:styleId="TechnicalBlockChar">
    <w:name w:val="Technical Block Char"/>
    <w:basedOn w:val="DefaultParagraphFont"/>
    <w:link w:val="TechnicalBlock"/>
    <w:rsid w:val="001C1F59"/>
    <w:rPr>
      <w:sz w:val="24"/>
      <w:szCs w:val="24"/>
      <w:lang w:val="fr-FR" w:eastAsia="fr-FR"/>
    </w:rPr>
  </w:style>
  <w:style w:type="character" w:customStyle="1" w:styleId="HeaderCouncilLargeChar">
    <w:name w:val="Header Council Large Char"/>
    <w:basedOn w:val="TechnicalBlockChar"/>
    <w:link w:val="HeaderCouncilLarge"/>
    <w:rsid w:val="001C1F59"/>
    <w:rPr>
      <w:sz w:val="2"/>
      <w:szCs w:val="24"/>
      <w:lang w:val="fr-FR" w:eastAsia="fr-FR"/>
    </w:rPr>
  </w:style>
  <w:style w:type="paragraph" w:customStyle="1" w:styleId="FooterText">
    <w:name w:val="Footer Text"/>
    <w:basedOn w:val="Normal"/>
    <w:rsid w:val="001C1F59"/>
  </w:style>
  <w:style w:type="character" w:customStyle="1" w:styleId="FootnoteTextChar">
    <w:name w:val="Footnote Text Char"/>
    <w:basedOn w:val="DefaultParagraphFont"/>
    <w:link w:val="FootnoteText"/>
    <w:rsid w:val="00290BE6"/>
    <w:rPr>
      <w:sz w:val="24"/>
      <w:lang w:val="fr-FR" w:eastAsia="fr-FR"/>
    </w:rPr>
  </w:style>
  <w:style w:type="character" w:customStyle="1" w:styleId="PointManualChar">
    <w:name w:val="Point Manual Char"/>
    <w:link w:val="PointManual"/>
    <w:locked/>
    <w:rsid w:val="00290BE6"/>
    <w:rPr>
      <w:sz w:val="24"/>
      <w:szCs w:val="24"/>
      <w:lang w:val="fr-FR" w:eastAsia="fr-FR"/>
    </w:rPr>
  </w:style>
  <w:style w:type="character" w:customStyle="1" w:styleId="Text1Char">
    <w:name w:val="Text 1 Char"/>
    <w:link w:val="Text1"/>
    <w:rsid w:val="00290BE6"/>
    <w:rPr>
      <w:sz w:val="24"/>
      <w:szCs w:val="24"/>
      <w:lang w:val="fr-FR" w:eastAsia="fr-FR"/>
    </w:rPr>
  </w:style>
  <w:style w:type="character" w:customStyle="1" w:styleId="Text3Char">
    <w:name w:val="Text 3 Char"/>
    <w:link w:val="Text3"/>
    <w:locked/>
    <w:rsid w:val="00290BE6"/>
    <w:rPr>
      <w:sz w:val="24"/>
      <w:szCs w:val="24"/>
      <w:lang w:val="fr-FR" w:eastAsia="fr-FR"/>
    </w:rPr>
  </w:style>
  <w:style w:type="character" w:customStyle="1" w:styleId="Dash2Char">
    <w:name w:val="Dash 2 Char"/>
    <w:link w:val="Dash2"/>
    <w:rsid w:val="00290BE6"/>
    <w:rPr>
      <w:sz w:val="24"/>
      <w:szCs w:val="24"/>
      <w:lang w:val="fr-FR" w:eastAsia="fr-FR"/>
    </w:rPr>
  </w:style>
  <w:style w:type="character" w:customStyle="1" w:styleId="Text2Char">
    <w:name w:val="Text 2 Char"/>
    <w:link w:val="Text2"/>
    <w:rsid w:val="00290BE6"/>
    <w:rPr>
      <w:sz w:val="24"/>
      <w:szCs w:val="24"/>
      <w:lang w:val="fr-FR" w:eastAsia="fr-FR"/>
    </w:rPr>
  </w:style>
  <w:style w:type="paragraph" w:styleId="BalloonText">
    <w:name w:val="Balloon Text"/>
    <w:basedOn w:val="Normal"/>
    <w:link w:val="BalloonTextChar"/>
    <w:uiPriority w:val="99"/>
    <w:semiHidden/>
    <w:unhideWhenUsed/>
    <w:rsid w:val="00E91F8F"/>
    <w:rPr>
      <w:rFonts w:ascii="Tahoma" w:hAnsi="Tahoma" w:cs="Tahoma"/>
      <w:sz w:val="16"/>
      <w:szCs w:val="16"/>
    </w:rPr>
  </w:style>
  <w:style w:type="character" w:customStyle="1" w:styleId="BalloonTextChar">
    <w:name w:val="Balloon Text Char"/>
    <w:basedOn w:val="DefaultParagraphFont"/>
    <w:link w:val="BalloonText"/>
    <w:uiPriority w:val="99"/>
    <w:semiHidden/>
    <w:rsid w:val="00E91F8F"/>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3F19D2"/>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3F19D2"/>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3F19D2"/>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3F19D2"/>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1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link w:val="Text2Char"/>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link w:val="Dash2Char"/>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C1F59"/>
    <w:pPr>
      <w:spacing w:after="440"/>
      <w:ind w:left="-1134" w:right="-1134"/>
    </w:pPr>
    <w:rPr>
      <w:sz w:val="2"/>
    </w:rPr>
  </w:style>
  <w:style w:type="character" w:customStyle="1" w:styleId="TechnicalBlockChar">
    <w:name w:val="Technical Block Char"/>
    <w:basedOn w:val="DefaultParagraphFont"/>
    <w:link w:val="TechnicalBlock"/>
    <w:rsid w:val="001C1F59"/>
    <w:rPr>
      <w:sz w:val="24"/>
      <w:szCs w:val="24"/>
      <w:lang w:val="fr-FR" w:eastAsia="fr-FR"/>
    </w:rPr>
  </w:style>
  <w:style w:type="character" w:customStyle="1" w:styleId="HeaderCouncilLargeChar">
    <w:name w:val="Header Council Large Char"/>
    <w:basedOn w:val="TechnicalBlockChar"/>
    <w:link w:val="HeaderCouncilLarge"/>
    <w:rsid w:val="001C1F59"/>
    <w:rPr>
      <w:sz w:val="2"/>
      <w:szCs w:val="24"/>
      <w:lang w:val="fr-FR" w:eastAsia="fr-FR"/>
    </w:rPr>
  </w:style>
  <w:style w:type="paragraph" w:customStyle="1" w:styleId="FooterText">
    <w:name w:val="Footer Text"/>
    <w:basedOn w:val="Normal"/>
    <w:rsid w:val="001C1F59"/>
  </w:style>
  <w:style w:type="character" w:customStyle="1" w:styleId="FootnoteTextChar">
    <w:name w:val="Footnote Text Char"/>
    <w:basedOn w:val="DefaultParagraphFont"/>
    <w:link w:val="FootnoteText"/>
    <w:rsid w:val="00290BE6"/>
    <w:rPr>
      <w:sz w:val="24"/>
      <w:lang w:val="fr-FR" w:eastAsia="fr-FR"/>
    </w:rPr>
  </w:style>
  <w:style w:type="character" w:customStyle="1" w:styleId="PointManualChar">
    <w:name w:val="Point Manual Char"/>
    <w:link w:val="PointManual"/>
    <w:locked/>
    <w:rsid w:val="00290BE6"/>
    <w:rPr>
      <w:sz w:val="24"/>
      <w:szCs w:val="24"/>
      <w:lang w:val="fr-FR" w:eastAsia="fr-FR"/>
    </w:rPr>
  </w:style>
  <w:style w:type="character" w:customStyle="1" w:styleId="Text1Char">
    <w:name w:val="Text 1 Char"/>
    <w:link w:val="Text1"/>
    <w:rsid w:val="00290BE6"/>
    <w:rPr>
      <w:sz w:val="24"/>
      <w:szCs w:val="24"/>
      <w:lang w:val="fr-FR" w:eastAsia="fr-FR"/>
    </w:rPr>
  </w:style>
  <w:style w:type="character" w:customStyle="1" w:styleId="Text3Char">
    <w:name w:val="Text 3 Char"/>
    <w:link w:val="Text3"/>
    <w:locked/>
    <w:rsid w:val="00290BE6"/>
    <w:rPr>
      <w:sz w:val="24"/>
      <w:szCs w:val="24"/>
      <w:lang w:val="fr-FR" w:eastAsia="fr-FR"/>
    </w:rPr>
  </w:style>
  <w:style w:type="character" w:customStyle="1" w:styleId="Dash2Char">
    <w:name w:val="Dash 2 Char"/>
    <w:link w:val="Dash2"/>
    <w:rsid w:val="00290BE6"/>
    <w:rPr>
      <w:sz w:val="24"/>
      <w:szCs w:val="24"/>
      <w:lang w:val="fr-FR" w:eastAsia="fr-FR"/>
    </w:rPr>
  </w:style>
  <w:style w:type="character" w:customStyle="1" w:styleId="Text2Char">
    <w:name w:val="Text 2 Char"/>
    <w:link w:val="Text2"/>
    <w:rsid w:val="00290BE6"/>
    <w:rPr>
      <w:sz w:val="24"/>
      <w:szCs w:val="24"/>
      <w:lang w:val="fr-FR" w:eastAsia="fr-FR"/>
    </w:rPr>
  </w:style>
  <w:style w:type="paragraph" w:styleId="BalloonText">
    <w:name w:val="Balloon Text"/>
    <w:basedOn w:val="Normal"/>
    <w:link w:val="BalloonTextChar"/>
    <w:uiPriority w:val="99"/>
    <w:semiHidden/>
    <w:unhideWhenUsed/>
    <w:rsid w:val="00E91F8F"/>
    <w:rPr>
      <w:rFonts w:ascii="Tahoma" w:hAnsi="Tahoma" w:cs="Tahoma"/>
      <w:sz w:val="16"/>
      <w:szCs w:val="16"/>
    </w:rPr>
  </w:style>
  <w:style w:type="character" w:customStyle="1" w:styleId="BalloonTextChar">
    <w:name w:val="Balloon Text Char"/>
    <w:basedOn w:val="DefaultParagraphFont"/>
    <w:link w:val="BalloonText"/>
    <w:uiPriority w:val="99"/>
    <w:semiHidden/>
    <w:rsid w:val="00E91F8F"/>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3F19D2"/>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3F19D2"/>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3F19D2"/>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3F19D2"/>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663</Words>
  <Characters>3473</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CALITRI Corinne</cp:lastModifiedBy>
  <cp:revision>2</cp:revision>
  <cp:lastPrinted>2015-03-27T10:59:00Z</cp:lastPrinted>
  <dcterms:created xsi:type="dcterms:W3CDTF">2015-04-08T09:50:00Z</dcterms:created>
  <dcterms:modified xsi:type="dcterms:W3CDTF">2015-04-08T09:50:00Z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