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AF" w:rsidRPr="00DD1D5E" w:rsidRDefault="00DD1D5E" w:rsidP="00DD1D5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44450b9-e76d-42b0-a952-d951ded4aaf3" style="width:568.55pt;height:319.25pt">
            <v:imagedata r:id="rId9" o:title=""/>
          </v:shape>
        </w:pict>
      </w:r>
      <w:bookmarkEnd w:id="0"/>
    </w:p>
    <w:p w:rsidR="001158ED" w:rsidRPr="00A856B5" w:rsidRDefault="001158ED" w:rsidP="00946D5C">
      <w:pPr>
        <w:pStyle w:val="HeadingCentered"/>
        <w:spacing w:before="600"/>
      </w:pPr>
      <w:r w:rsidRPr="00A856B5">
        <w:br w:type="page"/>
      </w:r>
      <w:r w:rsidRPr="00A856B5">
        <w:lastRenderedPageBreak/>
        <w:t>ТОЧКИ ЗА ОТКРИТО ОБСЪЖДАНЕ</w:t>
      </w:r>
      <w:r w:rsidRPr="00A856B5">
        <w:rPr>
          <w:rStyle w:val="FootnoteReference"/>
        </w:rPr>
        <w:footnoteReference w:id="1"/>
      </w:r>
    </w:p>
    <w:p w:rsidR="001158ED" w:rsidRPr="00A856B5" w:rsidRDefault="001158ED" w:rsidP="00602B31">
      <w:pPr>
        <w:pStyle w:val="NormalRight"/>
        <w:spacing w:before="240"/>
        <w:rPr>
          <w:b/>
        </w:rPr>
      </w:pPr>
      <w:r w:rsidRPr="00A856B5">
        <w:rPr>
          <w:b/>
        </w:rPr>
        <w:t>Страница</w:t>
      </w:r>
    </w:p>
    <w:p w:rsidR="001158ED" w:rsidRPr="00A856B5" w:rsidRDefault="001158ED" w:rsidP="00602B31">
      <w:pPr>
        <w:pStyle w:val="HeadingLeft"/>
        <w:spacing w:before="120"/>
        <w:rPr>
          <w:u w:val="none"/>
        </w:rPr>
      </w:pPr>
      <w:r w:rsidRPr="00A856B5">
        <w:rPr>
          <w:u w:val="none"/>
        </w:rPr>
        <w:t>ОБСЪЖДАНИЯ НА ЗАКОНОДАТЕЛНИ АКТОВЕ</w:t>
      </w:r>
    </w:p>
    <w:p w:rsidR="001158ED" w:rsidRPr="00A856B5" w:rsidRDefault="001158ED" w:rsidP="00946D5C">
      <w:pPr>
        <w:spacing w:before="240"/>
        <w:rPr>
          <w:bCs/>
        </w:rPr>
      </w:pPr>
      <w:r w:rsidRPr="00A856B5">
        <w:rPr>
          <w:u w:val="single"/>
        </w:rPr>
        <w:t>ТОЧКИ А</w:t>
      </w:r>
      <w:r w:rsidRPr="00A856B5">
        <w:t xml:space="preserve"> (док. 6333/15 PTS A 12)</w:t>
      </w:r>
    </w:p>
    <w:p w:rsidR="001158ED" w:rsidRPr="00A856B5" w:rsidRDefault="001158ED" w:rsidP="00876174">
      <w:pPr>
        <w:pStyle w:val="PointManual"/>
        <w:tabs>
          <w:tab w:val="right" w:leader="dot" w:pos="9639"/>
        </w:tabs>
      </w:pPr>
      <w:r w:rsidRPr="00A856B5">
        <w:t>1.</w:t>
      </w:r>
      <w:r w:rsidRPr="00A856B5">
        <w:tab/>
        <w:t>Регламент на Европейския парламент и на Съвета относно предпазните мерки, предвидени в Споразумението между Европейската икономическа общност и</w:t>
      </w:r>
      <w:r w:rsidRPr="00A856B5">
        <w:br/>
        <w:t>Република Исландия (кодифициран текст) [първо четене] (ЗА)</w:t>
      </w:r>
      <w:r w:rsidRPr="00A856B5">
        <w:tab/>
      </w:r>
      <w:r w:rsidRPr="00A856B5">
        <w:tab/>
        <w:t>3</w:t>
      </w:r>
    </w:p>
    <w:p w:rsidR="001158ED" w:rsidRPr="00A856B5" w:rsidRDefault="001158ED" w:rsidP="00876174">
      <w:pPr>
        <w:pStyle w:val="PointManual"/>
        <w:tabs>
          <w:tab w:val="right" w:leader="dot" w:pos="9639"/>
        </w:tabs>
      </w:pPr>
      <w:r w:rsidRPr="00A856B5">
        <w:t>2.</w:t>
      </w:r>
      <w:r w:rsidRPr="00A856B5">
        <w:tab/>
        <w:t>Регламент на Европейския парламент и на Съвета относно</w:t>
      </w:r>
      <w:r w:rsidRPr="00A856B5">
        <w:br/>
        <w:t xml:space="preserve">мерките, които Съюзът може да вземе след доклад, приет от Органа за уреждане на спорове на СТО, относно </w:t>
      </w:r>
      <w:proofErr w:type="spellStart"/>
      <w:r w:rsidRPr="00A856B5">
        <w:t>антидъмпингови</w:t>
      </w:r>
      <w:proofErr w:type="spellEnd"/>
      <w:r w:rsidRPr="00A856B5">
        <w:t xml:space="preserve"> и </w:t>
      </w:r>
      <w:proofErr w:type="spellStart"/>
      <w:r w:rsidRPr="00A856B5">
        <w:t>антисубсидийни</w:t>
      </w:r>
      <w:proofErr w:type="spellEnd"/>
      <w:r w:rsidRPr="00A856B5">
        <w:t xml:space="preserve"> въпроси (кодифициран текст) [първо четене] (ЗА)</w:t>
      </w:r>
      <w:r w:rsidRPr="00A856B5">
        <w:tab/>
      </w:r>
      <w:r w:rsidRPr="00A856B5">
        <w:tab/>
        <w:t>3</w:t>
      </w:r>
    </w:p>
    <w:p w:rsidR="001158ED" w:rsidRPr="00A856B5" w:rsidRDefault="001158ED" w:rsidP="00876174">
      <w:pPr>
        <w:pStyle w:val="PointManual"/>
        <w:tabs>
          <w:tab w:val="right" w:leader="dot" w:pos="9639"/>
        </w:tabs>
      </w:pPr>
      <w:r w:rsidRPr="00A856B5">
        <w:t>3.</w:t>
      </w:r>
      <w:r w:rsidRPr="00A856B5">
        <w:tab/>
        <w:t>Регламент на Европейския парламент и на Съвета относно мерките, които Съюзът</w:t>
      </w:r>
      <w:r w:rsidRPr="00A856B5">
        <w:br/>
        <w:t xml:space="preserve">може да предприеме във връзка с комбинирания ефект на </w:t>
      </w:r>
      <w:proofErr w:type="spellStart"/>
      <w:r w:rsidRPr="00A856B5">
        <w:t>антидъмпингови</w:t>
      </w:r>
      <w:proofErr w:type="spellEnd"/>
      <w:r w:rsidRPr="00A856B5">
        <w:t xml:space="preserve"> или </w:t>
      </w:r>
      <w:proofErr w:type="spellStart"/>
      <w:r w:rsidRPr="00A856B5">
        <w:t>антисубсидийни</w:t>
      </w:r>
      <w:proofErr w:type="spellEnd"/>
      <w:r w:rsidRPr="00A856B5">
        <w:t xml:space="preserve"> мерки със защитни мерки (кодифициран текст) [първо четене] (ЗА)</w:t>
      </w:r>
      <w:r w:rsidRPr="00A856B5">
        <w:tab/>
      </w:r>
      <w:r w:rsidRPr="00A856B5">
        <w:tab/>
        <w:t>3</w:t>
      </w:r>
    </w:p>
    <w:p w:rsidR="001158ED" w:rsidRPr="00A856B5" w:rsidRDefault="001158ED" w:rsidP="00A53C26">
      <w:pPr>
        <w:pStyle w:val="PointManual"/>
        <w:tabs>
          <w:tab w:val="right" w:leader="dot" w:pos="9639"/>
        </w:tabs>
      </w:pPr>
      <w:r w:rsidRPr="00A856B5">
        <w:t>4.</w:t>
      </w:r>
      <w:r w:rsidRPr="00A856B5">
        <w:tab/>
        <w:t>Регламент на Европейския парламент и на Съвета относно общите правила за внос (кодифициран текст) [първо четене] (ЗА)</w:t>
      </w:r>
      <w:r w:rsidRPr="00A856B5">
        <w:tab/>
      </w:r>
      <w:r w:rsidRPr="00A856B5">
        <w:tab/>
        <w:t>3</w:t>
      </w:r>
    </w:p>
    <w:p w:rsidR="001158ED" w:rsidRPr="00A856B5" w:rsidRDefault="001158ED" w:rsidP="00876174">
      <w:pPr>
        <w:pStyle w:val="PointManual"/>
        <w:tabs>
          <w:tab w:val="right" w:leader="dot" w:pos="9639"/>
        </w:tabs>
      </w:pPr>
      <w:r w:rsidRPr="00A856B5">
        <w:t>5.</w:t>
      </w:r>
      <w:r w:rsidRPr="00A856B5">
        <w:tab/>
        <w:t>Регламент на Европейския парламент и на Съвета относно общите правила за износ (кодифициран текст) [първо четене] (ЗА)</w:t>
      </w:r>
      <w:r w:rsidRPr="00A856B5">
        <w:tab/>
      </w:r>
      <w:r w:rsidRPr="00A856B5">
        <w:tab/>
        <w:t>4</w:t>
      </w:r>
    </w:p>
    <w:p w:rsidR="001158ED" w:rsidRPr="00A856B5" w:rsidRDefault="001158ED" w:rsidP="00876174">
      <w:pPr>
        <w:pStyle w:val="PointManual"/>
        <w:tabs>
          <w:tab w:val="right" w:leader="dot" w:pos="9639"/>
        </w:tabs>
      </w:pPr>
      <w:r w:rsidRPr="00A856B5">
        <w:t>6.</w:t>
      </w:r>
      <w:r w:rsidRPr="00A856B5">
        <w:tab/>
        <w:t>Директива на Европейския парламент и на Съвета за улесняване на трансграничния обмен на информация относно пътнотранспортни нарушения, свързани с безопасността по пътищата [първо четене] (ЗА + И)</w:t>
      </w:r>
      <w:r w:rsidRPr="00A856B5">
        <w:tab/>
      </w:r>
      <w:r w:rsidRPr="00A856B5">
        <w:tab/>
        <w:t>4</w:t>
      </w:r>
    </w:p>
    <w:p w:rsidR="001158ED" w:rsidRPr="00A856B5" w:rsidRDefault="001158ED" w:rsidP="00682B49">
      <w:pPr>
        <w:pStyle w:val="PointManual"/>
        <w:tabs>
          <w:tab w:val="right" w:leader="dot" w:pos="9639"/>
        </w:tabs>
      </w:pPr>
      <w:r w:rsidRPr="00A856B5">
        <w:t>7.</w:t>
      </w:r>
      <w:r w:rsidRPr="00A856B5">
        <w:tab/>
        <w:t>Предложение за директива на Европейския парламент и на Съвета за изменение на Директива 94/62/ЕО относно опаковките и отпадъците от опаковки с цел намаляване на потреблението на леки пластмасови пликове за покупки [първо четене] (ЗА + И)</w:t>
      </w:r>
      <w:r w:rsidRPr="00A856B5">
        <w:tab/>
      </w:r>
      <w:r w:rsidRPr="00A856B5">
        <w:tab/>
        <w:t>5</w:t>
      </w:r>
    </w:p>
    <w:p w:rsidR="001158ED" w:rsidRPr="00A856B5" w:rsidRDefault="001158ED" w:rsidP="00682B49">
      <w:pPr>
        <w:pStyle w:val="PointManual"/>
        <w:tabs>
          <w:tab w:val="right" w:leader="dot" w:pos="9639"/>
        </w:tabs>
      </w:pPr>
      <w:r w:rsidRPr="00A856B5">
        <w:t>8.</w:t>
      </w:r>
      <w:r w:rsidRPr="00A856B5">
        <w:tab/>
        <w:t xml:space="preserve">Предложение за регламент на Европейския парламент и на Съвета относно изискванията за одобрение на типа по отношение на въвеждането на бордовата система </w:t>
      </w:r>
      <w:proofErr w:type="spellStart"/>
      <w:r w:rsidRPr="00A856B5">
        <w:t>eCall</w:t>
      </w:r>
      <w:proofErr w:type="spellEnd"/>
      <w:r w:rsidRPr="00A856B5">
        <w:t xml:space="preserve"> и за изменение на Директива 2007/46/ЕО [първо четене] (ЗА)</w:t>
      </w:r>
      <w:r w:rsidRPr="00A856B5">
        <w:tab/>
      </w:r>
      <w:r w:rsidRPr="00A856B5">
        <w:tab/>
        <w:t>6</w:t>
      </w:r>
    </w:p>
    <w:p w:rsidR="001158ED" w:rsidRPr="00A856B5" w:rsidRDefault="001158ED" w:rsidP="00E316BF">
      <w:pPr>
        <w:pStyle w:val="PointManual"/>
        <w:tabs>
          <w:tab w:val="right" w:leader="dot" w:pos="9639"/>
        </w:tabs>
      </w:pPr>
      <w:r w:rsidRPr="00A856B5">
        <w:t>9.</w:t>
      </w:r>
      <w:r w:rsidRPr="00A856B5">
        <w:tab/>
        <w:t>Предложение за директива на Европейския парламент и на Съвета за изменение на Директива 2001/18/EО относно възможността държавите членки да ограничават или забраняват отглеждането на генетично модифицирани организми (ГМО) на своя територия [второ четене] (ЗА + И)</w:t>
      </w:r>
      <w:r w:rsidRPr="00A856B5">
        <w:tab/>
      </w:r>
      <w:r w:rsidRPr="00A856B5">
        <w:tab/>
        <w:t>7</w:t>
      </w:r>
    </w:p>
    <w:p w:rsidR="001158ED" w:rsidRPr="00A856B5" w:rsidRDefault="001158ED" w:rsidP="00946D5C">
      <w:pPr>
        <w:pStyle w:val="NormalCentered"/>
        <w:spacing w:before="240"/>
      </w:pPr>
      <w:r w:rsidRPr="00A856B5">
        <w:t>*</w:t>
      </w:r>
    </w:p>
    <w:p w:rsidR="001158ED" w:rsidRPr="00A856B5" w:rsidRDefault="001158ED" w:rsidP="001158ED">
      <w:pPr>
        <w:pStyle w:val="NormalCentered"/>
        <w:spacing w:before="120"/>
      </w:pPr>
      <w:r w:rsidRPr="00A856B5">
        <w:t>*</w:t>
      </w:r>
      <w:r w:rsidRPr="00A856B5">
        <w:tab/>
        <w:t>*</w:t>
      </w:r>
    </w:p>
    <w:p w:rsidR="001158ED" w:rsidRPr="00A856B5" w:rsidRDefault="001158ED" w:rsidP="003C56CF">
      <w:pPr>
        <w:pageBreakBefore/>
        <w:rPr>
          <w:b/>
          <w:u w:val="single"/>
        </w:rPr>
      </w:pPr>
      <w:r w:rsidRPr="00A856B5">
        <w:rPr>
          <w:b/>
          <w:u w:val="single"/>
        </w:rPr>
        <w:lastRenderedPageBreak/>
        <w:t>ОБСЪЖДАНИЯ НА ЗАКОНОДАТЕЛНИ АКТОВЕ</w:t>
      </w:r>
    </w:p>
    <w:p w:rsidR="001158ED" w:rsidRPr="00A856B5" w:rsidRDefault="001158ED" w:rsidP="001158ED">
      <w:pPr>
        <w:rPr>
          <w:b/>
          <w:i/>
          <w:iCs/>
        </w:rPr>
      </w:pPr>
      <w:r w:rsidRPr="00A856B5">
        <w:rPr>
          <w:b/>
          <w:i/>
        </w:rPr>
        <w:t>(открито обсъждане съгласно член 16, параграф 8 от Договора за Европейския съюз)</w:t>
      </w:r>
    </w:p>
    <w:p w:rsidR="001158ED" w:rsidRPr="00A856B5" w:rsidRDefault="001158ED" w:rsidP="009A0AFE">
      <w:pPr>
        <w:pStyle w:val="PointManual"/>
        <w:rPr>
          <w:b/>
          <w:bCs/>
        </w:rPr>
      </w:pPr>
      <w:r w:rsidRPr="00A856B5">
        <w:rPr>
          <w:b/>
        </w:rPr>
        <w:t>1.</w:t>
      </w:r>
      <w:r w:rsidRPr="00A856B5">
        <w:tab/>
      </w:r>
      <w:r w:rsidRPr="00A856B5">
        <w:rPr>
          <w:b/>
        </w:rPr>
        <w:t>Регламент на Европейския парламент и на Съвета относно предпазните мерки, предвидени в Споразумението между Европейската икономическа общност и Република Исландия (кодифициран текст) [първо четене] (ЗА)</w:t>
      </w:r>
    </w:p>
    <w:p w:rsidR="001158ED" w:rsidRPr="00A856B5" w:rsidRDefault="001158ED" w:rsidP="001158ED">
      <w:pPr>
        <w:pStyle w:val="Text3"/>
      </w:pPr>
      <w:r w:rsidRPr="00A856B5">
        <w:t>PE-CONS 98/14 CODIF 72 ECO 185 INST 629 MI 1002 CODEC 2512</w:t>
      </w:r>
    </w:p>
    <w:p w:rsidR="001158ED" w:rsidRPr="00A856B5" w:rsidRDefault="001158ED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съюз. (правно основание: член 207, параграф 2 от ДФЕС).</w:t>
      </w:r>
    </w:p>
    <w:p w:rsidR="001158ED" w:rsidRPr="00A856B5" w:rsidRDefault="001158ED" w:rsidP="009A0AFE">
      <w:pPr>
        <w:pStyle w:val="PointManual"/>
        <w:spacing w:before="600"/>
        <w:rPr>
          <w:b/>
          <w:bCs/>
        </w:rPr>
      </w:pPr>
      <w:r w:rsidRPr="00A856B5">
        <w:rPr>
          <w:b/>
        </w:rPr>
        <w:t>2.</w:t>
      </w:r>
      <w:r w:rsidRPr="00A856B5">
        <w:tab/>
      </w:r>
      <w:r w:rsidRPr="00A856B5">
        <w:rPr>
          <w:b/>
        </w:rPr>
        <w:t xml:space="preserve">Регламент на Европейския парламент и на Съвета относно мерките, които Съюзът може да вземе след доклад, приет от Органа за уреждане на спорове на СТО, относно </w:t>
      </w:r>
      <w:proofErr w:type="spellStart"/>
      <w:r w:rsidRPr="00A856B5">
        <w:rPr>
          <w:b/>
        </w:rPr>
        <w:t>антидъмпингови</w:t>
      </w:r>
      <w:proofErr w:type="spellEnd"/>
      <w:r w:rsidRPr="00A856B5">
        <w:rPr>
          <w:b/>
        </w:rPr>
        <w:t xml:space="preserve"> и </w:t>
      </w:r>
      <w:proofErr w:type="spellStart"/>
      <w:r w:rsidRPr="00A856B5">
        <w:rPr>
          <w:b/>
        </w:rPr>
        <w:t>антисубсидийни</w:t>
      </w:r>
      <w:proofErr w:type="spellEnd"/>
      <w:r w:rsidRPr="00A856B5">
        <w:rPr>
          <w:b/>
        </w:rPr>
        <w:t xml:space="preserve"> въпроси (кодифициран текст) [първо четене] (ЗА)</w:t>
      </w:r>
    </w:p>
    <w:p w:rsidR="001158ED" w:rsidRPr="00A856B5" w:rsidRDefault="001158ED" w:rsidP="001158ED">
      <w:pPr>
        <w:pStyle w:val="Text3"/>
      </w:pPr>
      <w:r w:rsidRPr="00A856B5">
        <w:t>PE-CONS 99/14 CODIF 73 ECO 186 INST 630 MI 1003 CODEC 2513</w:t>
      </w:r>
    </w:p>
    <w:p w:rsidR="001158ED" w:rsidRPr="00A856B5" w:rsidRDefault="001158ED" w:rsidP="001158ED">
      <w:pPr>
        <w:pStyle w:val="Text4"/>
      </w:pPr>
      <w:r w:rsidRPr="00A856B5">
        <w:t>+ REV 1 (</w:t>
      </w:r>
      <w:proofErr w:type="spellStart"/>
      <w:r w:rsidRPr="00A856B5">
        <w:t>et</w:t>
      </w:r>
      <w:proofErr w:type="spellEnd"/>
      <w:r w:rsidRPr="00A856B5">
        <w:t>)</w:t>
      </w:r>
    </w:p>
    <w:p w:rsidR="001158ED" w:rsidRPr="00A856B5" w:rsidRDefault="001158ED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съюз. (правно основание: член 207, параграф 2 от ДФЕС).</w:t>
      </w:r>
    </w:p>
    <w:p w:rsidR="001158ED" w:rsidRPr="00A856B5" w:rsidRDefault="001158ED" w:rsidP="009A0AFE">
      <w:pPr>
        <w:pStyle w:val="PointManual"/>
        <w:spacing w:before="600"/>
        <w:rPr>
          <w:b/>
          <w:bCs/>
        </w:rPr>
      </w:pPr>
      <w:r w:rsidRPr="00A856B5">
        <w:rPr>
          <w:b/>
        </w:rPr>
        <w:t>3.</w:t>
      </w:r>
      <w:r w:rsidRPr="00A856B5">
        <w:tab/>
      </w:r>
      <w:r w:rsidRPr="00A856B5">
        <w:rPr>
          <w:b/>
        </w:rPr>
        <w:t xml:space="preserve">Регламент на Европейския парламент и на Съвета относно мерките, които Съюзът може да предприеме във връзка с комбинирания ефект на </w:t>
      </w:r>
      <w:proofErr w:type="spellStart"/>
      <w:r w:rsidRPr="00A856B5">
        <w:rPr>
          <w:b/>
        </w:rPr>
        <w:t>антидъмпингови</w:t>
      </w:r>
      <w:proofErr w:type="spellEnd"/>
      <w:r w:rsidRPr="00A856B5">
        <w:rPr>
          <w:b/>
        </w:rPr>
        <w:t xml:space="preserve"> или </w:t>
      </w:r>
      <w:proofErr w:type="spellStart"/>
      <w:r w:rsidRPr="00A856B5">
        <w:rPr>
          <w:b/>
        </w:rPr>
        <w:t>антисубсидийни</w:t>
      </w:r>
      <w:proofErr w:type="spellEnd"/>
      <w:r w:rsidRPr="00A856B5">
        <w:rPr>
          <w:b/>
        </w:rPr>
        <w:t xml:space="preserve"> мерки със защитни мерки (кодифициран текст) [първо четене] (ЗА)</w:t>
      </w:r>
    </w:p>
    <w:p w:rsidR="001158ED" w:rsidRPr="00A856B5" w:rsidRDefault="001158ED" w:rsidP="001158ED">
      <w:pPr>
        <w:pStyle w:val="Text3"/>
      </w:pPr>
      <w:r w:rsidRPr="00A856B5">
        <w:t>PE-CONS 100/14 CODIF 74 ECO 187 INST 631 MI 1004 CODEC 2514</w:t>
      </w:r>
    </w:p>
    <w:p w:rsidR="001158ED" w:rsidRPr="00A856B5" w:rsidRDefault="001158ED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съюз. (правно основание: член 207, параграф 2 от ДФЕС).</w:t>
      </w:r>
    </w:p>
    <w:p w:rsidR="001158ED" w:rsidRPr="00A856B5" w:rsidRDefault="001158ED" w:rsidP="003C56CF">
      <w:pPr>
        <w:pStyle w:val="PointManual"/>
        <w:spacing w:before="600"/>
        <w:rPr>
          <w:b/>
          <w:bCs/>
        </w:rPr>
      </w:pPr>
      <w:r w:rsidRPr="00A856B5">
        <w:rPr>
          <w:b/>
        </w:rPr>
        <w:t>4.</w:t>
      </w:r>
      <w:r w:rsidRPr="00A856B5">
        <w:tab/>
      </w:r>
      <w:r w:rsidRPr="00A856B5">
        <w:rPr>
          <w:b/>
        </w:rPr>
        <w:t>Регламент на Европейския парламент и на Съвета относно общите правила за внос (кодифициран текст) [първо четене] (ЗА)</w:t>
      </w:r>
    </w:p>
    <w:p w:rsidR="001158ED" w:rsidRPr="00A856B5" w:rsidRDefault="001158ED" w:rsidP="001158ED">
      <w:pPr>
        <w:pStyle w:val="Text3"/>
      </w:pPr>
      <w:r w:rsidRPr="00A856B5">
        <w:t>PE-CONS 101/14 CODIF 75 ECO 188 INST 632 MI 1005 CODEC 2516</w:t>
      </w:r>
    </w:p>
    <w:p w:rsidR="001158ED" w:rsidRPr="00A856B5" w:rsidRDefault="001158ED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съюз. (правно основание: член 207, параграф 2 от ДФЕС).</w:t>
      </w:r>
    </w:p>
    <w:p w:rsidR="001158ED" w:rsidRPr="00A856B5" w:rsidRDefault="001158ED" w:rsidP="003C56CF">
      <w:pPr>
        <w:pStyle w:val="PointManual"/>
        <w:pageBreakBefore/>
        <w:spacing w:before="0"/>
        <w:rPr>
          <w:b/>
          <w:bCs/>
        </w:rPr>
      </w:pPr>
      <w:r w:rsidRPr="00A856B5">
        <w:rPr>
          <w:b/>
        </w:rPr>
        <w:t>5.</w:t>
      </w:r>
      <w:r w:rsidRPr="00A856B5">
        <w:tab/>
      </w:r>
      <w:r w:rsidRPr="00A856B5">
        <w:rPr>
          <w:b/>
        </w:rPr>
        <w:t>Регламент на Европейския парламент и на Съвета относно общите правила за износ (кодифициран текст) [първо четене] (ЗА)</w:t>
      </w:r>
    </w:p>
    <w:p w:rsidR="001158ED" w:rsidRPr="00A856B5" w:rsidRDefault="001158ED" w:rsidP="001158ED">
      <w:pPr>
        <w:pStyle w:val="Text3"/>
      </w:pPr>
      <w:r w:rsidRPr="00A856B5">
        <w:t>PE-CONS 102/14 CODIF 76 ECO 189 INST 633 MI 1006 CODEC 2517</w:t>
      </w:r>
    </w:p>
    <w:p w:rsidR="001158ED" w:rsidRPr="00A856B5" w:rsidRDefault="001158ED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съюз. (правно основание: член 207, параграф 2 от ДФЕС).</w:t>
      </w:r>
    </w:p>
    <w:p w:rsidR="001158ED" w:rsidRPr="00A856B5" w:rsidRDefault="001158ED" w:rsidP="009A0AFE">
      <w:pPr>
        <w:pStyle w:val="PointManual"/>
        <w:spacing w:before="600"/>
        <w:rPr>
          <w:b/>
          <w:bCs/>
        </w:rPr>
      </w:pPr>
      <w:r w:rsidRPr="00A856B5">
        <w:rPr>
          <w:b/>
        </w:rPr>
        <w:t>6.</w:t>
      </w:r>
      <w:r w:rsidRPr="00A856B5">
        <w:tab/>
      </w:r>
      <w:r w:rsidRPr="00A856B5">
        <w:rPr>
          <w:b/>
        </w:rPr>
        <w:t>Директива на Европейския парламент и на Съвета за улесняване на трансграничния обмен на информация относно пътнотранспортни нарушения, свързани с безопасността по пътищата [първо четене] (ЗА + И)</w:t>
      </w:r>
    </w:p>
    <w:p w:rsidR="001158ED" w:rsidRPr="00A856B5" w:rsidRDefault="001158ED" w:rsidP="001158ED">
      <w:pPr>
        <w:pStyle w:val="Text3"/>
      </w:pPr>
      <w:r w:rsidRPr="00A856B5">
        <w:t>PE-CONS 103/14 TRANS 606 DAPIX 191 ENFOPOL 440 CODEC 2551</w:t>
      </w:r>
    </w:p>
    <w:p w:rsidR="001158ED" w:rsidRPr="00A856B5" w:rsidRDefault="001158ED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позицията на Европейския парламент на първо четене и предложеният акт беше приет в съответствие с член 294, параграф 4 от Договора за функционирането на Европейския съюз, като </w:t>
      </w:r>
      <w:r w:rsidRPr="00A856B5">
        <w:rPr>
          <w:u w:val="single"/>
        </w:rPr>
        <w:t>делегацията на Обединеното кралство</w:t>
      </w:r>
      <w:r w:rsidRPr="00A856B5">
        <w:t xml:space="preserve"> се въздържа. (правно основание: член 91, параграф 1 от ДФЕС).</w:t>
      </w:r>
    </w:p>
    <w:p w:rsidR="001158ED" w:rsidRPr="00A856B5" w:rsidRDefault="001158ED" w:rsidP="001158ED">
      <w:pPr>
        <w:pStyle w:val="Text1"/>
        <w:spacing w:before="240"/>
        <w:rPr>
          <w:b/>
          <w:bCs/>
          <w:u w:val="single"/>
        </w:rPr>
      </w:pPr>
      <w:r w:rsidRPr="00A856B5">
        <w:rPr>
          <w:b/>
          <w:u w:val="single"/>
        </w:rPr>
        <w:t>Изявление на Германия</w:t>
      </w:r>
    </w:p>
    <w:p w:rsidR="001158ED" w:rsidRPr="00A856B5" w:rsidRDefault="001158ED" w:rsidP="001158ED">
      <w:pPr>
        <w:pStyle w:val="Text1"/>
        <w:spacing w:before="200" w:after="120"/>
        <w:rPr>
          <w:szCs w:val="20"/>
        </w:rPr>
      </w:pPr>
      <w:r w:rsidRPr="00A856B5">
        <w:t>„Във връзка с член 4, параграф 3, трета алинея:</w:t>
      </w:r>
    </w:p>
    <w:p w:rsidR="001158ED" w:rsidRPr="00A856B5" w:rsidRDefault="001158ED" w:rsidP="001158ED">
      <w:pPr>
        <w:pStyle w:val="Text1"/>
        <w:spacing w:before="200" w:after="120"/>
        <w:rPr>
          <w:szCs w:val="20"/>
        </w:rPr>
      </w:pPr>
      <w:r w:rsidRPr="00A856B5">
        <w:t>Алинеята:</w:t>
      </w:r>
    </w:p>
    <w:p w:rsidR="001158ED" w:rsidRPr="00A856B5" w:rsidRDefault="001158ED" w:rsidP="003C56CF">
      <w:pPr>
        <w:pStyle w:val="Text1"/>
        <w:spacing w:line="288" w:lineRule="auto"/>
        <w:rPr>
          <w:rFonts w:asciiTheme="majorBidi" w:hAnsiTheme="majorBidi" w:cstheme="majorBidi"/>
          <w:szCs w:val="20"/>
        </w:rPr>
      </w:pPr>
      <w:r w:rsidRPr="00A856B5">
        <w:t xml:space="preserve">„Съгласно настоящата директива държавата членка по </w:t>
      </w:r>
      <w:proofErr w:type="spellStart"/>
      <w:r w:rsidRPr="00A856B5">
        <w:t>местонарушението</w:t>
      </w:r>
      <w:proofErr w:type="spellEnd"/>
      <w:r w:rsidRPr="00A856B5">
        <w:t xml:space="preserve"> използва получените данни с цел установяване на лицето, което носи лична отговорност за изброените в член 2 пътнотранспортни нарушения, свързани с безопасността по пътищата.“</w:t>
      </w:r>
    </w:p>
    <w:p w:rsidR="001158ED" w:rsidRPr="00A856B5" w:rsidRDefault="001158ED" w:rsidP="00304A3F">
      <w:pPr>
        <w:pStyle w:val="Text1"/>
        <w:spacing w:before="200" w:line="288" w:lineRule="auto"/>
        <w:rPr>
          <w:rFonts w:asciiTheme="majorBidi" w:hAnsiTheme="majorBidi" w:cstheme="majorBidi"/>
          <w:szCs w:val="20"/>
        </w:rPr>
      </w:pPr>
      <w:r w:rsidRPr="00A856B5">
        <w:t>се тълкува така, че лицето, което носи лична отговорност по смисъла на тази разпоредба, може да бъде единствено водачът на превозното средство, тъй като именно той е извършителят на нарушението.</w:t>
      </w:r>
      <w:r w:rsidRPr="00A856B5">
        <w:rPr>
          <w:rFonts w:asciiTheme="majorBidi" w:hAnsiTheme="majorBidi" w:cstheme="majorBidi"/>
        </w:rPr>
        <w:t xml:space="preserve"> Според делегацията на Германия получените данни за собствениците или държателите на превозните средства могат да се използват единствено за целите на идентифицирането на водача.“</w:t>
      </w:r>
    </w:p>
    <w:p w:rsidR="001158ED" w:rsidRPr="00A856B5" w:rsidRDefault="001158ED" w:rsidP="00682B49">
      <w:pPr>
        <w:pStyle w:val="Text1"/>
        <w:spacing w:before="240"/>
        <w:rPr>
          <w:rFonts w:asciiTheme="majorBidi" w:hAnsiTheme="majorBidi" w:cstheme="majorBidi"/>
          <w:b/>
          <w:u w:val="single"/>
        </w:rPr>
      </w:pPr>
      <w:r w:rsidRPr="00A856B5">
        <w:rPr>
          <w:b/>
          <w:u w:val="single"/>
        </w:rPr>
        <w:t>Изявление на Обединеното кралство и Ирландия</w:t>
      </w:r>
    </w:p>
    <w:p w:rsidR="001158ED" w:rsidRPr="00A856B5" w:rsidRDefault="001158ED" w:rsidP="003C56CF">
      <w:pPr>
        <w:pStyle w:val="Text1"/>
        <w:spacing w:before="200" w:line="288" w:lineRule="auto"/>
        <w:rPr>
          <w:rFonts w:asciiTheme="majorBidi" w:hAnsiTheme="majorBidi" w:cstheme="majorBidi"/>
        </w:rPr>
      </w:pPr>
      <w:r w:rsidRPr="00A856B5">
        <w:t>„Обединеното кралство и Ирландия напълно подкрепят целите на преразгледаното предложение за директива по отношение на безопасността по пътищата и оценяват допълнителния срок от две години за транспониране, предоставен на Обединеното кралство, Ирландия и Дания.</w:t>
      </w:r>
    </w:p>
    <w:p w:rsidR="00304A3F" w:rsidRPr="00A856B5" w:rsidRDefault="001158ED" w:rsidP="00DD1D5E">
      <w:pPr>
        <w:pStyle w:val="Text1"/>
        <w:pageBreakBefore/>
        <w:spacing w:line="240" w:lineRule="exact"/>
        <w:rPr>
          <w:rFonts w:asciiTheme="majorBidi" w:hAnsiTheme="majorBidi" w:cstheme="majorBidi"/>
        </w:rPr>
      </w:pPr>
      <w:r w:rsidRPr="00A856B5">
        <w:t>Въпреки това Обединеното кралство и Ирландия изразяват разочарование, че не им е било отпуснато достатъчно време, за да разгледат подобаващо въздействието на предложението, в т.ч. потенциалните разходи за съдилищата, които по силата на новата мярка ще трябва да поемат съдебното преследване.</w:t>
      </w:r>
      <w:r w:rsidRPr="00A856B5">
        <w:rPr>
          <w:rFonts w:asciiTheme="majorBidi" w:hAnsiTheme="majorBidi" w:cstheme="majorBidi"/>
        </w:rPr>
        <w:t xml:space="preserve"> Въпреки че Обединеното кралство и Ирландия оценяват факта, че в други държави членки съществуващата Директива 2011/82/ЕС за улесняване на трансграничния обмен на информация относно пътнотранспортни нарушения, свързани с безопасността по пътищата, вече е влязла в сила, Обединеното кралство, Ирландия и Дания не са участвали в тази мярка в съответствие с Протокол № 21 и Протокол № 22, приложени към Договорите. Следователно, въпреки нейното анулиране от Съда в решението му по дело C-43/12, предложената директива поставя нови изисквания за Обединеното кралство, Ирландия и Дания.</w:t>
      </w:r>
    </w:p>
    <w:p w:rsidR="001158ED" w:rsidRPr="00A856B5" w:rsidRDefault="001158ED" w:rsidP="00DD1D5E">
      <w:pPr>
        <w:pStyle w:val="Text1"/>
        <w:spacing w:before="200" w:line="240" w:lineRule="exact"/>
        <w:rPr>
          <w:rFonts w:asciiTheme="majorBidi" w:hAnsiTheme="majorBidi" w:cstheme="majorBidi"/>
        </w:rPr>
      </w:pPr>
      <w:r w:rsidRPr="00A856B5">
        <w:t>Обединеното кралство и Ирландия вземат под внимание решението на Съда, съгласно което Директива 2011/82/ЕС би следвало да има правно основание от областта на транспорта (член 91, параграф 1, буква в) от ДФЕС) вместо правно основание от областта на полицейското сътрудничество (член 87, параграф 2 от ДФЕС), предвид на нейната цел и съдържание.</w:t>
      </w:r>
      <w:r w:rsidRPr="00A856B5">
        <w:rPr>
          <w:rFonts w:asciiTheme="majorBidi" w:hAnsiTheme="majorBidi" w:cstheme="majorBidi"/>
        </w:rPr>
        <w:t xml:space="preserve"> Виждането на Обединеното кралство и Ирландия продължава да бъде, че въпроси, които се отнасят до правоприлагането по отношение на престъпления, следва да се считат за основани на член 87 от ДФЕС. Във връзка с това, ние вземаме предвид възможността за бъдещо преразглеждане на тази мярка, като отчитаме аспекти като хармонизацията на правилата за движение по пътищата и правоприлагането, и бихме искали да поясним, че когато съдържанието на дадена предложена мярка се отнася до упражняване на компетентност от Съюза в съответствие с част ІІІ, дял V от ДФЕС, ще се прилага Протокол № 21 относно позицията на Обединеното кралство и Ирландия по отношение на пространството на свобода, сигурност и правосъдие.“</w:t>
      </w:r>
    </w:p>
    <w:p w:rsidR="001158ED" w:rsidRPr="00A856B5" w:rsidRDefault="001158ED" w:rsidP="00DD1D5E">
      <w:pPr>
        <w:pStyle w:val="PointManual"/>
        <w:spacing w:before="600" w:line="240" w:lineRule="exact"/>
        <w:rPr>
          <w:b/>
          <w:bCs/>
        </w:rPr>
      </w:pPr>
      <w:r w:rsidRPr="00A856B5">
        <w:rPr>
          <w:b/>
        </w:rPr>
        <w:t>7.</w:t>
      </w:r>
      <w:r w:rsidRPr="00A856B5">
        <w:tab/>
      </w:r>
      <w:r w:rsidRPr="00A856B5">
        <w:rPr>
          <w:b/>
        </w:rPr>
        <w:t>Предложение за директива на Европейския парламент и на Съвета за изменение на Директива 94/62/ЕО относно опаковките и отпадъците от опаковки с цел намаляване на потреблението на леки пластмасови пликове за покупки [първо четене] (ЗА + И)</w:t>
      </w:r>
    </w:p>
    <w:p w:rsidR="001158ED" w:rsidRPr="00A856B5" w:rsidRDefault="001158ED" w:rsidP="00DD1D5E">
      <w:pPr>
        <w:pStyle w:val="Dash1"/>
        <w:spacing w:line="240" w:lineRule="exact"/>
      </w:pPr>
      <w:r w:rsidRPr="00A856B5">
        <w:t>Приемане</w:t>
      </w:r>
    </w:p>
    <w:p w:rsidR="001158ED" w:rsidRPr="00A856B5" w:rsidRDefault="001158ED" w:rsidP="00DD1D5E">
      <w:pPr>
        <w:pStyle w:val="PointManual2"/>
        <w:spacing w:line="240" w:lineRule="exact"/>
        <w:rPr>
          <w:b/>
        </w:rPr>
      </w:pPr>
      <w:r w:rsidRPr="00A856B5">
        <w:t>а) на позицията на Съвета на първо четене</w:t>
      </w:r>
    </w:p>
    <w:p w:rsidR="001158ED" w:rsidRPr="00A856B5" w:rsidRDefault="001158ED" w:rsidP="00DD1D5E">
      <w:pPr>
        <w:pStyle w:val="PointManual2"/>
        <w:spacing w:line="240" w:lineRule="exact"/>
      </w:pPr>
      <w:r w:rsidRPr="00A856B5">
        <w:t>б) на изложението на мотивите на Съвета</w:t>
      </w:r>
    </w:p>
    <w:p w:rsidR="001158ED" w:rsidRPr="00A856B5" w:rsidRDefault="001158ED" w:rsidP="00DD1D5E">
      <w:pPr>
        <w:pStyle w:val="Text3"/>
        <w:spacing w:line="240" w:lineRule="exact"/>
      </w:pPr>
      <w:r w:rsidRPr="00A856B5">
        <w:t>6375/1/15 REV 1 CODEC 219 ENV 67 MI 100 IND 22 CONSOM 34</w:t>
      </w:r>
    </w:p>
    <w:p w:rsidR="001158ED" w:rsidRPr="00A856B5" w:rsidRDefault="001158ED" w:rsidP="00DD1D5E">
      <w:pPr>
        <w:pStyle w:val="Text4"/>
        <w:spacing w:line="240" w:lineRule="exact"/>
      </w:pPr>
      <w:r w:rsidRPr="00A856B5">
        <w:t>+ REV 1 ADD 1</w:t>
      </w:r>
    </w:p>
    <w:p w:rsidR="001158ED" w:rsidRPr="00A856B5" w:rsidRDefault="001158ED" w:rsidP="00DD1D5E">
      <w:pPr>
        <w:pStyle w:val="Text3"/>
        <w:spacing w:line="240" w:lineRule="exact"/>
      </w:pPr>
      <w:r w:rsidRPr="00A856B5">
        <w:t>5094/15 ENV 6 MI 11 IND 9 CONSOM 5 CODEC 16</w:t>
      </w:r>
    </w:p>
    <w:p w:rsidR="001158ED" w:rsidRPr="00A856B5" w:rsidRDefault="001158ED" w:rsidP="00DD1D5E">
      <w:pPr>
        <w:pStyle w:val="Text4"/>
        <w:spacing w:line="240" w:lineRule="exact"/>
      </w:pPr>
      <w:r w:rsidRPr="00A856B5">
        <w:t>+ COR 1 (</w:t>
      </w:r>
      <w:proofErr w:type="spellStart"/>
      <w:r w:rsidRPr="00A856B5">
        <w:t>cs</w:t>
      </w:r>
      <w:proofErr w:type="spellEnd"/>
      <w:r w:rsidRPr="00A856B5">
        <w:t>)</w:t>
      </w:r>
    </w:p>
    <w:p w:rsidR="001158ED" w:rsidRPr="00A856B5" w:rsidRDefault="001158ED" w:rsidP="00DD1D5E">
      <w:pPr>
        <w:pStyle w:val="Text4"/>
        <w:spacing w:line="240" w:lineRule="exact"/>
      </w:pPr>
      <w:r w:rsidRPr="00A856B5">
        <w:t>+ ADD 1</w:t>
      </w:r>
    </w:p>
    <w:p w:rsidR="001158ED" w:rsidRPr="00A856B5" w:rsidRDefault="001158ED" w:rsidP="00DD1D5E">
      <w:pPr>
        <w:pStyle w:val="Text4"/>
        <w:spacing w:line="240" w:lineRule="exact"/>
      </w:pPr>
      <w:r w:rsidRPr="00A856B5">
        <w:t>+ ADD 1 COR 1</w:t>
      </w:r>
    </w:p>
    <w:p w:rsidR="00304A3F" w:rsidRPr="00A856B5" w:rsidRDefault="001158ED" w:rsidP="00DD1D5E">
      <w:pPr>
        <w:pStyle w:val="Text3"/>
        <w:spacing w:line="240" w:lineRule="exact"/>
        <w:rPr>
          <w:b/>
        </w:rPr>
      </w:pPr>
      <w:r w:rsidRPr="00A856B5">
        <w:t>6605/15 CODEC 259 ENV 99 MI 120 IND 26 CONSOM 40</w:t>
      </w:r>
    </w:p>
    <w:p w:rsidR="001158ED" w:rsidRPr="00A856B5" w:rsidRDefault="001158ED" w:rsidP="00DD1D5E">
      <w:pPr>
        <w:pStyle w:val="Text4"/>
        <w:spacing w:line="240" w:lineRule="exact"/>
        <w:rPr>
          <w:bCs/>
        </w:rPr>
      </w:pPr>
      <w:r w:rsidRPr="00A856B5">
        <w:t>+ COR 1</w:t>
      </w:r>
    </w:p>
    <w:p w:rsidR="001158ED" w:rsidRPr="00A856B5" w:rsidRDefault="001158ED" w:rsidP="00DD1D5E">
      <w:pPr>
        <w:pStyle w:val="Text4"/>
        <w:spacing w:line="240" w:lineRule="exact"/>
        <w:rPr>
          <w:bCs/>
        </w:rPr>
      </w:pPr>
      <w:r w:rsidRPr="00A856B5">
        <w:t>+ COR 2</w:t>
      </w:r>
    </w:p>
    <w:p w:rsidR="001158ED" w:rsidRPr="00A856B5" w:rsidRDefault="001158ED" w:rsidP="00DD1D5E">
      <w:pPr>
        <w:pStyle w:val="Text3"/>
        <w:spacing w:line="240" w:lineRule="exact"/>
      </w:pPr>
      <w:r w:rsidRPr="00A856B5">
        <w:t>одобрено от Корепер (ІІ част) на 25.2.2015 г. и от Корепер (І част) на 27.2.2015 г.</w:t>
      </w:r>
    </w:p>
    <w:p w:rsidR="0080533C" w:rsidRPr="00A856B5" w:rsidRDefault="0080533C" w:rsidP="00DD1D5E">
      <w:pPr>
        <w:pStyle w:val="Text1"/>
        <w:spacing w:before="200" w:line="240" w:lineRule="exact"/>
        <w:rPr>
          <w:color w:val="000000"/>
        </w:rPr>
      </w:pPr>
      <w:r w:rsidRPr="00A856B5">
        <w:rPr>
          <w:u w:val="single"/>
        </w:rPr>
        <w:t>Съветът</w:t>
      </w:r>
      <w:r w:rsidRPr="00A856B5">
        <w:t xml:space="preserve"> одобри позицията си на първо четене в съответствие с член 294, параграф 5 от Договора за функционирането на Европейския съюз. (правно основание: член 114 от ДФЕС)</w:t>
      </w:r>
    </w:p>
    <w:p w:rsidR="0080533C" w:rsidRPr="00A856B5" w:rsidRDefault="0080533C" w:rsidP="00DD1D5E">
      <w:pPr>
        <w:pStyle w:val="Text1"/>
        <w:pageBreakBefore/>
        <w:spacing w:before="240" w:line="240" w:lineRule="exact"/>
        <w:rPr>
          <w:b/>
          <w:bCs/>
          <w:u w:val="single"/>
        </w:rPr>
      </w:pPr>
      <w:r w:rsidRPr="00A856B5">
        <w:rPr>
          <w:b/>
          <w:u w:val="single"/>
        </w:rPr>
        <w:t>Изявление на Комисията</w:t>
      </w:r>
    </w:p>
    <w:p w:rsidR="0080533C" w:rsidRPr="00A856B5" w:rsidRDefault="009A0AFE" w:rsidP="00DD1D5E">
      <w:pPr>
        <w:pStyle w:val="Text1"/>
        <w:spacing w:before="200" w:line="240" w:lineRule="exact"/>
        <w:rPr>
          <w:color w:val="000000"/>
        </w:rPr>
      </w:pPr>
      <w:r w:rsidRPr="00A856B5">
        <w:t xml:space="preserve">„Комисията припомня целите на предложението си от 4 ноември 2013 г. за ограничаване на отрицателното въздействие на потреблението на пластмасови пликове върху околната среда чрез намаляване на потреблението им и по този начин намаляване на нерегламентираното им изхвърляне. </w:t>
      </w:r>
      <w:r w:rsidRPr="00A856B5">
        <w:rPr>
          <w:color w:val="000000"/>
        </w:rPr>
        <w:t xml:space="preserve">Комисията приветства споразумението относно своето предложение, но същевременно отбелязва, че окончателният текст, съгласуван между </w:t>
      </w:r>
      <w:proofErr w:type="spellStart"/>
      <w:r w:rsidRPr="00A856B5">
        <w:rPr>
          <w:color w:val="000000"/>
        </w:rPr>
        <w:t>съзаконодателите</w:t>
      </w:r>
      <w:proofErr w:type="spellEnd"/>
      <w:r w:rsidRPr="00A856B5">
        <w:rPr>
          <w:color w:val="000000"/>
        </w:rPr>
        <w:t>, включва някои елементи, които са извън обхвата на внесеното от нея предложение и не съответстват на принципите за по-добро законотворчество. Това би могло да създаде проблеми за бъдещото прилагане на директивата — както за държавите членки, така и за Комисията, потребителите и стопанските субекти.</w:t>
      </w:r>
    </w:p>
    <w:p w:rsidR="0080533C" w:rsidRPr="00A856B5" w:rsidRDefault="0080533C" w:rsidP="00DD1D5E">
      <w:pPr>
        <w:pStyle w:val="Text1"/>
        <w:spacing w:before="200" w:line="240" w:lineRule="exact"/>
        <w:rPr>
          <w:color w:val="000000"/>
        </w:rPr>
      </w:pPr>
      <w:r w:rsidRPr="00A856B5">
        <w:t>Следните въпроси предизвикват загриженост:</w:t>
      </w:r>
    </w:p>
    <w:p w:rsidR="0080533C" w:rsidRPr="00A856B5" w:rsidRDefault="0080533C" w:rsidP="00DD1D5E">
      <w:pPr>
        <w:pStyle w:val="Bullet1"/>
        <w:spacing w:line="240" w:lineRule="exact"/>
      </w:pPr>
      <w:r w:rsidRPr="00A856B5">
        <w:t xml:space="preserve">приемането на етикет за </w:t>
      </w:r>
      <w:proofErr w:type="spellStart"/>
      <w:r w:rsidRPr="00A856B5">
        <w:t>биоразградими</w:t>
      </w:r>
      <w:proofErr w:type="spellEnd"/>
      <w:r w:rsidRPr="00A856B5">
        <w:t xml:space="preserve"> и </w:t>
      </w:r>
      <w:proofErr w:type="spellStart"/>
      <w:r w:rsidRPr="00A856B5">
        <w:t>компостируеми</w:t>
      </w:r>
      <w:proofErr w:type="spellEnd"/>
      <w:r w:rsidRPr="00A856B5">
        <w:t xml:space="preserve"> в домашни условия пликове, без да е направена оценка на въздействието;</w:t>
      </w:r>
    </w:p>
    <w:p w:rsidR="0080533C" w:rsidRPr="00A856B5" w:rsidRDefault="0080533C" w:rsidP="00DD1D5E">
      <w:pPr>
        <w:pStyle w:val="Bullet1"/>
        <w:spacing w:line="240" w:lineRule="exact"/>
        <w:rPr>
          <w:color w:val="000000"/>
        </w:rPr>
      </w:pPr>
      <w:r w:rsidRPr="00A856B5">
        <w:rPr>
          <w:color w:val="000000"/>
        </w:rPr>
        <w:t>допълнителна административна тежест за държавите членки и стопанските субекти, включително нови задължения за докладване и нови изисквания за етикетиране.</w:t>
      </w:r>
    </w:p>
    <w:p w:rsidR="0080533C" w:rsidRPr="00A856B5" w:rsidRDefault="0080533C" w:rsidP="00DD1D5E">
      <w:pPr>
        <w:pStyle w:val="Bullet1"/>
        <w:spacing w:line="240" w:lineRule="exact"/>
        <w:rPr>
          <w:color w:val="000000"/>
        </w:rPr>
      </w:pPr>
      <w:r w:rsidRPr="00A856B5">
        <w:rPr>
          <w:color w:val="000000"/>
        </w:rPr>
        <w:t xml:space="preserve">някои разпоредби, които биха могли да се разглеждат по-ефективно в контекста на последващите действия във връзка със Зелената книга на Комисията относно пластмасовите отпадъци, като например доклада за използването на </w:t>
      </w:r>
      <w:proofErr w:type="spellStart"/>
      <w:r w:rsidRPr="00A856B5">
        <w:rPr>
          <w:color w:val="000000"/>
        </w:rPr>
        <w:t>разградимите</w:t>
      </w:r>
      <w:proofErr w:type="spellEnd"/>
      <w:r w:rsidRPr="00A856B5">
        <w:rPr>
          <w:color w:val="000000"/>
        </w:rPr>
        <w:t xml:space="preserve"> при окисляване пластмасови пликове;</w:t>
      </w:r>
    </w:p>
    <w:p w:rsidR="0080533C" w:rsidRPr="00A856B5" w:rsidRDefault="0080533C" w:rsidP="00DD1D5E">
      <w:pPr>
        <w:pStyle w:val="Bullet1"/>
        <w:spacing w:line="240" w:lineRule="exact"/>
        <w:rPr>
          <w:color w:val="000000"/>
        </w:rPr>
      </w:pPr>
      <w:r w:rsidRPr="00A856B5">
        <w:rPr>
          <w:color w:val="000000"/>
        </w:rPr>
        <w:t>възможността за вариране на мерки във връзка с пластмасовите пликове в зависимост от тяхното въздействие върху околната среда или други свойства може да създаде проблеми по отношение на спазването на принципите на недискриминация и пропорционалност, а също и на принципите на единния пазар;</w:t>
      </w:r>
    </w:p>
    <w:p w:rsidR="0080533C" w:rsidRPr="00A856B5" w:rsidRDefault="0080533C" w:rsidP="00DD1D5E">
      <w:pPr>
        <w:pStyle w:val="Bullet1"/>
        <w:spacing w:line="240" w:lineRule="exact"/>
        <w:rPr>
          <w:color w:val="000000"/>
        </w:rPr>
      </w:pPr>
      <w:r w:rsidRPr="00A856B5">
        <w:rPr>
          <w:color w:val="000000"/>
        </w:rPr>
        <w:t>възможността за определяне на национални цели в областта на потреблението на нива, предварително заложени в директивата, при липса на съответни статистически данни за всички държави членки;</w:t>
      </w:r>
    </w:p>
    <w:p w:rsidR="001158ED" w:rsidRPr="00A856B5" w:rsidRDefault="0080533C" w:rsidP="00DD1D5E">
      <w:pPr>
        <w:pStyle w:val="Bullet1"/>
        <w:spacing w:line="240" w:lineRule="exact"/>
        <w:rPr>
          <w:color w:val="000000"/>
        </w:rPr>
      </w:pPr>
      <w:r w:rsidRPr="00A856B5">
        <w:rPr>
          <w:color w:val="000000"/>
        </w:rPr>
        <w:t xml:space="preserve">твърде кратки срокове за разработването на методика за отчитане на потреблението на леки пластмасови пликове за покупки и на етикети за биологично </w:t>
      </w:r>
      <w:proofErr w:type="spellStart"/>
      <w:r w:rsidRPr="00A856B5">
        <w:rPr>
          <w:color w:val="000000"/>
        </w:rPr>
        <w:t>разградими</w:t>
      </w:r>
      <w:proofErr w:type="spellEnd"/>
      <w:r w:rsidRPr="00A856B5">
        <w:rPr>
          <w:color w:val="000000"/>
        </w:rPr>
        <w:t xml:space="preserve"> пластмасови пликове за покупки, както и за приемането на съответните актове за изпълнение.“</w:t>
      </w:r>
    </w:p>
    <w:p w:rsidR="001158ED" w:rsidRPr="00A856B5" w:rsidRDefault="001158ED" w:rsidP="00DD1D5E">
      <w:pPr>
        <w:pStyle w:val="PointManual"/>
        <w:spacing w:before="600" w:line="240" w:lineRule="exact"/>
        <w:rPr>
          <w:b/>
          <w:bCs/>
        </w:rPr>
      </w:pPr>
      <w:r w:rsidRPr="00A856B5">
        <w:rPr>
          <w:b/>
        </w:rPr>
        <w:t>8.</w:t>
      </w:r>
      <w:r w:rsidRPr="00A856B5">
        <w:tab/>
      </w:r>
      <w:r w:rsidRPr="00A856B5">
        <w:rPr>
          <w:b/>
        </w:rPr>
        <w:t xml:space="preserve">Предложение за регламент на Европейския парламент и на Съвета относно изискванията за одобрение на типа по отношение на въвеждането на бордовата система </w:t>
      </w:r>
      <w:proofErr w:type="spellStart"/>
      <w:r w:rsidRPr="00A856B5">
        <w:rPr>
          <w:b/>
        </w:rPr>
        <w:t>eCall</w:t>
      </w:r>
      <w:proofErr w:type="spellEnd"/>
      <w:r w:rsidRPr="00A856B5">
        <w:rPr>
          <w:b/>
        </w:rPr>
        <w:t xml:space="preserve"> и за изменение на Директива 2007/46/ЕО [първо четене] (ЗА)</w:t>
      </w:r>
    </w:p>
    <w:p w:rsidR="001158ED" w:rsidRPr="00A856B5" w:rsidRDefault="001158ED" w:rsidP="00DD1D5E">
      <w:pPr>
        <w:pStyle w:val="Dash1"/>
        <w:spacing w:line="240" w:lineRule="exact"/>
      </w:pPr>
      <w:r w:rsidRPr="00A856B5">
        <w:t>Приемане</w:t>
      </w:r>
    </w:p>
    <w:p w:rsidR="001158ED" w:rsidRPr="00A856B5" w:rsidRDefault="001158ED" w:rsidP="00DD1D5E">
      <w:pPr>
        <w:pStyle w:val="PointManual2"/>
        <w:spacing w:line="240" w:lineRule="exact"/>
        <w:rPr>
          <w:b/>
        </w:rPr>
      </w:pPr>
      <w:r w:rsidRPr="00A856B5">
        <w:t>а) на позицията на Съвета на първо четене</w:t>
      </w:r>
    </w:p>
    <w:p w:rsidR="001158ED" w:rsidRPr="00A856B5" w:rsidRDefault="001158ED" w:rsidP="00DD1D5E">
      <w:pPr>
        <w:pStyle w:val="PointManual2"/>
        <w:spacing w:line="240" w:lineRule="exact"/>
      </w:pPr>
      <w:r w:rsidRPr="00A856B5">
        <w:t>б) на изложението на мотивите на Съвета</w:t>
      </w:r>
    </w:p>
    <w:p w:rsidR="001158ED" w:rsidRPr="00A856B5" w:rsidRDefault="001158ED" w:rsidP="00DD1D5E">
      <w:pPr>
        <w:pStyle w:val="Text3"/>
        <w:spacing w:line="240" w:lineRule="exact"/>
      </w:pPr>
      <w:r w:rsidRPr="00A856B5">
        <w:t>6376/1/15 REV 1 CODEC 220 ENT 28 MI 101</w:t>
      </w:r>
    </w:p>
    <w:p w:rsidR="001158ED" w:rsidRPr="00A856B5" w:rsidRDefault="001158ED" w:rsidP="00DD1D5E">
      <w:pPr>
        <w:pStyle w:val="Text3"/>
        <w:spacing w:line="240" w:lineRule="exact"/>
      </w:pPr>
      <w:r w:rsidRPr="00A856B5">
        <w:t>5130/15 ENT 8 MI 12 CODEC 23</w:t>
      </w:r>
    </w:p>
    <w:p w:rsidR="001158ED" w:rsidRPr="00A856B5" w:rsidRDefault="001158ED" w:rsidP="00DD1D5E">
      <w:pPr>
        <w:pStyle w:val="Text4"/>
        <w:spacing w:line="240" w:lineRule="exact"/>
      </w:pPr>
      <w:r w:rsidRPr="00A856B5">
        <w:t>+ ADD 1</w:t>
      </w:r>
    </w:p>
    <w:p w:rsidR="001158ED" w:rsidRPr="00A856B5" w:rsidRDefault="001158ED" w:rsidP="00DD1D5E">
      <w:pPr>
        <w:pStyle w:val="Text4"/>
        <w:spacing w:line="240" w:lineRule="exact"/>
      </w:pPr>
      <w:r w:rsidRPr="00A856B5">
        <w:t>+ REV 2 (</w:t>
      </w:r>
      <w:proofErr w:type="spellStart"/>
      <w:r w:rsidRPr="00A856B5">
        <w:t>es</w:t>
      </w:r>
      <w:proofErr w:type="spellEnd"/>
      <w:r w:rsidRPr="00A856B5">
        <w:t>)</w:t>
      </w:r>
    </w:p>
    <w:p w:rsidR="001158ED" w:rsidRPr="00A856B5" w:rsidRDefault="001158ED" w:rsidP="00DD1D5E">
      <w:pPr>
        <w:pStyle w:val="Text3"/>
        <w:spacing w:line="240" w:lineRule="exact"/>
      </w:pPr>
      <w:r w:rsidRPr="00A856B5">
        <w:t>одобрено от Корепер (ІІ част) на 25.02.2015 г.</w:t>
      </w:r>
    </w:p>
    <w:p w:rsidR="0080533C" w:rsidRPr="00A856B5" w:rsidRDefault="0080533C" w:rsidP="00DD1D5E">
      <w:pPr>
        <w:pStyle w:val="Text1"/>
        <w:spacing w:before="200" w:line="240" w:lineRule="exact"/>
        <w:rPr>
          <w:color w:val="000000"/>
        </w:rPr>
      </w:pPr>
      <w:r w:rsidRPr="00A856B5">
        <w:rPr>
          <w:u w:val="single"/>
        </w:rPr>
        <w:t>Съветът</w:t>
      </w:r>
      <w:r w:rsidRPr="00A856B5">
        <w:t xml:space="preserve"> одобри позицията си на първо четене в съответствие с член 294, параграф 5 от Договора за функционирането на Европейския съюз, като </w:t>
      </w:r>
      <w:r w:rsidRPr="00A856B5">
        <w:rPr>
          <w:u w:val="single"/>
        </w:rPr>
        <w:t>делегацията на Обединеното кралство</w:t>
      </w:r>
      <w:r w:rsidRPr="00A856B5">
        <w:t xml:space="preserve"> гласува против. (правно основание: член 114 от ДФЕС)</w:t>
      </w:r>
    </w:p>
    <w:p w:rsidR="001158ED" w:rsidRPr="00A856B5" w:rsidRDefault="001158ED" w:rsidP="00682B49">
      <w:pPr>
        <w:pStyle w:val="PointManual"/>
        <w:pageBreakBefore/>
        <w:spacing w:before="120"/>
        <w:rPr>
          <w:b/>
          <w:bCs/>
        </w:rPr>
      </w:pPr>
      <w:r w:rsidRPr="00A856B5">
        <w:rPr>
          <w:b/>
        </w:rPr>
        <w:t>9.</w:t>
      </w:r>
      <w:r w:rsidRPr="00A856B5">
        <w:tab/>
      </w:r>
      <w:r w:rsidRPr="00A856B5">
        <w:rPr>
          <w:b/>
        </w:rPr>
        <w:t>Предложение за директива на Европейския парламент и на Съвета за изменение на Директива 2001/18/EО относно възможността държавите членки да ограничават или забраняват отглеждането на генетично модифицирани организми (ГМО) на своя територия [второ четене] (ЗА + И)</w:t>
      </w:r>
    </w:p>
    <w:p w:rsidR="001158ED" w:rsidRPr="00A856B5" w:rsidRDefault="001158ED" w:rsidP="001158ED">
      <w:pPr>
        <w:pStyle w:val="Dash1"/>
      </w:pPr>
      <w:r w:rsidRPr="00A856B5">
        <w:t>Одобряване на измененията на Европейския парламент</w:t>
      </w:r>
    </w:p>
    <w:p w:rsidR="003E4D47" w:rsidRPr="00A856B5" w:rsidRDefault="001158ED" w:rsidP="003E4D47">
      <w:pPr>
        <w:pStyle w:val="Text3"/>
      </w:pPr>
      <w:r w:rsidRPr="00A856B5">
        <w:t>6449/1/15 REV 1 CODEC 232 AGRI 73 ENV 72 AGRILEG 34 DENLEG 32</w:t>
      </w:r>
    </w:p>
    <w:p w:rsidR="001158ED" w:rsidRPr="00A856B5" w:rsidRDefault="001158ED" w:rsidP="003E4D47">
      <w:pPr>
        <w:pStyle w:val="Text5"/>
      </w:pPr>
      <w:r w:rsidRPr="00A856B5">
        <w:t>MI 104</w:t>
      </w:r>
    </w:p>
    <w:p w:rsidR="001158ED" w:rsidRPr="00A856B5" w:rsidRDefault="001158ED" w:rsidP="001158ED">
      <w:pPr>
        <w:pStyle w:val="Text4"/>
      </w:pPr>
      <w:r w:rsidRPr="00A856B5">
        <w:t>+ ADD 1</w:t>
      </w:r>
    </w:p>
    <w:p w:rsidR="001158ED" w:rsidRPr="00A856B5" w:rsidRDefault="001158ED" w:rsidP="001158ED">
      <w:pPr>
        <w:pStyle w:val="Text3"/>
      </w:pPr>
      <w:r w:rsidRPr="00A856B5">
        <w:t>PE-CONS 1/15 AGRI 16 ENV 13 AGRILEG 7 DENLEG 12 MI 20 CODEC 46</w:t>
      </w:r>
    </w:p>
    <w:p w:rsidR="001158ED" w:rsidRPr="00A856B5" w:rsidRDefault="001158ED" w:rsidP="001158ED">
      <w:pPr>
        <w:pStyle w:val="Text4"/>
      </w:pPr>
      <w:r w:rsidRPr="00A856B5">
        <w:t>+ COR 1 (</w:t>
      </w:r>
      <w:proofErr w:type="spellStart"/>
      <w:r w:rsidRPr="00A856B5">
        <w:t>sv</w:t>
      </w:r>
      <w:proofErr w:type="spellEnd"/>
      <w:r w:rsidRPr="00A856B5">
        <w:t>)</w:t>
      </w:r>
    </w:p>
    <w:p w:rsidR="001158ED" w:rsidRPr="00A856B5" w:rsidRDefault="001158ED" w:rsidP="001158ED">
      <w:pPr>
        <w:pStyle w:val="Text3"/>
      </w:pPr>
      <w:r w:rsidRPr="00A856B5">
        <w:t>одобрено от Корепер (І част) на 27.2</w:t>
      </w:r>
      <w:bookmarkStart w:id="1" w:name="_GoBack"/>
      <w:bookmarkEnd w:id="1"/>
      <w:r w:rsidRPr="00A856B5">
        <w:t>.2015 г.</w:t>
      </w:r>
    </w:p>
    <w:p w:rsidR="0080533C" w:rsidRPr="00A856B5" w:rsidRDefault="0080533C" w:rsidP="0080533C">
      <w:pPr>
        <w:pStyle w:val="Text1"/>
        <w:spacing w:before="200" w:line="360" w:lineRule="auto"/>
      </w:pPr>
      <w:r w:rsidRPr="00A856B5">
        <w:rPr>
          <w:u w:val="single"/>
        </w:rPr>
        <w:t>Съветът</w:t>
      </w:r>
      <w:r w:rsidRPr="00A856B5">
        <w:t xml:space="preserve"> одобри изменението на Европейския парламент по отношение на позицията на Съвета на първо четене, като </w:t>
      </w:r>
      <w:r w:rsidRPr="00A856B5">
        <w:rPr>
          <w:u w:val="single"/>
        </w:rPr>
        <w:t>делегациите на Белгия и Португалия</w:t>
      </w:r>
      <w:r w:rsidRPr="00A856B5">
        <w:t xml:space="preserve"> се въздържаха. Директивата се счита за приета във вида на така изменената позиция на Съвета на първо четене в съответствие с член 294, параграф 8, буква а) от Договора за функционирането на Европейския съюз. (правно основание: член 114 от ДФЕС)</w:t>
      </w:r>
    </w:p>
    <w:p w:rsidR="0080533C" w:rsidRPr="00A856B5" w:rsidRDefault="0080533C" w:rsidP="0080533C">
      <w:pPr>
        <w:pStyle w:val="Text1"/>
        <w:spacing w:before="240"/>
        <w:rPr>
          <w:b/>
          <w:bCs/>
          <w:u w:val="single"/>
        </w:rPr>
      </w:pPr>
      <w:r w:rsidRPr="00A856B5">
        <w:rPr>
          <w:b/>
          <w:u w:val="single"/>
        </w:rPr>
        <w:t>Изявление на Комисията</w:t>
      </w:r>
    </w:p>
    <w:p w:rsidR="007814AF" w:rsidRPr="00A856B5" w:rsidRDefault="0080533C" w:rsidP="003C56CF">
      <w:pPr>
        <w:pStyle w:val="Text1"/>
        <w:spacing w:before="200" w:line="288" w:lineRule="auto"/>
        <w:rPr>
          <w:bCs/>
        </w:rPr>
      </w:pPr>
      <w:r w:rsidRPr="00A856B5">
        <w:t>„Когато пристъпва към разрешаване на отглеждането на ГМО, при пълно зачитане на задълженията си, Комисията ще взема предвид всички налични елементи, включително предвидената в директивата възможност държавите членки да ограничават или забраняват отглеждането на ГМО на своя територия.“</w:t>
      </w:r>
    </w:p>
    <w:p w:rsidR="00FC4670" w:rsidRPr="00C65197" w:rsidRDefault="00FC4670" w:rsidP="007814AF">
      <w:pPr>
        <w:pStyle w:val="FinalLine"/>
      </w:pPr>
    </w:p>
    <w:sectPr w:rsidR="00FC4670" w:rsidRPr="00C65197" w:rsidSect="00DD1D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AF" w:rsidRDefault="007814AF" w:rsidP="007814AF">
      <w:r>
        <w:separator/>
      </w:r>
    </w:p>
  </w:endnote>
  <w:endnote w:type="continuationSeparator" w:id="0">
    <w:p w:rsidR="007814AF" w:rsidRDefault="007814AF" w:rsidP="0078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7C" w:rsidRPr="00DD1D5E" w:rsidRDefault="00707F7C" w:rsidP="00DD1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D1D5E" w:rsidRPr="00D94637" w:rsidTr="00DD1D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D1D5E" w:rsidRPr="00D94637" w:rsidRDefault="00DD1D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D1D5E" w:rsidRPr="00B310DC" w:rsidTr="00DD1D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D1D5E" w:rsidRPr="00AD7BF2" w:rsidRDefault="00DD1D5E" w:rsidP="004F54B2">
          <w:pPr>
            <w:pStyle w:val="FooterText"/>
          </w:pPr>
          <w:r>
            <w:t>6735/15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D1D5E" w:rsidRPr="00AD7BF2" w:rsidRDefault="00DD1D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D1D5E" w:rsidRPr="002511D8" w:rsidRDefault="00DD1D5E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/EE/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D1D5E" w:rsidRPr="00B310DC" w:rsidRDefault="00DD1D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D06BA">
            <w:rPr>
              <w:noProof/>
            </w:rPr>
            <w:t>2</w:t>
          </w:r>
          <w:r>
            <w:fldChar w:fldCharType="end"/>
          </w:r>
        </w:p>
      </w:tc>
    </w:tr>
    <w:tr w:rsidR="00DD1D5E" w:rsidRPr="00D94637" w:rsidTr="00DD1D5E">
      <w:trPr>
        <w:jc w:val="center"/>
      </w:trPr>
      <w:tc>
        <w:tcPr>
          <w:tcW w:w="1774" w:type="pct"/>
          <w:shd w:val="clear" w:color="auto" w:fill="auto"/>
        </w:tcPr>
        <w:p w:rsidR="00DD1D5E" w:rsidRPr="00AD7BF2" w:rsidRDefault="00DD1D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D1D5E" w:rsidRPr="00AD7BF2" w:rsidRDefault="00DD1D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D1D5E" w:rsidRPr="00D94637" w:rsidRDefault="00DD1D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D1D5E" w:rsidRPr="00D94637" w:rsidRDefault="00DD1D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814AF" w:rsidRPr="00DD1D5E" w:rsidRDefault="007814AF" w:rsidP="00DD1D5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D1D5E" w:rsidRPr="00D94637" w:rsidTr="00DD1D5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D1D5E" w:rsidRPr="00D94637" w:rsidRDefault="00DD1D5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D1D5E" w:rsidRPr="00B310DC" w:rsidTr="00DD1D5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D1D5E" w:rsidRPr="00AD7BF2" w:rsidRDefault="00DD1D5E" w:rsidP="004F54B2">
          <w:pPr>
            <w:pStyle w:val="FooterText"/>
          </w:pPr>
          <w:r>
            <w:t>6735/15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D1D5E" w:rsidRPr="00AD7BF2" w:rsidRDefault="00DD1D5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D1D5E" w:rsidRPr="002511D8" w:rsidRDefault="00DD1D5E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/EE/</w:t>
          </w:r>
          <w:proofErr w:type="spellStart"/>
          <w:r>
            <w:t>gd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D1D5E" w:rsidRPr="00B310DC" w:rsidRDefault="00DD1D5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D06BA">
            <w:rPr>
              <w:noProof/>
            </w:rPr>
            <w:t>1</w:t>
          </w:r>
          <w:r>
            <w:fldChar w:fldCharType="end"/>
          </w:r>
        </w:p>
      </w:tc>
    </w:tr>
    <w:tr w:rsidR="00DD1D5E" w:rsidRPr="00D94637" w:rsidTr="00DD1D5E">
      <w:trPr>
        <w:jc w:val="center"/>
      </w:trPr>
      <w:tc>
        <w:tcPr>
          <w:tcW w:w="1774" w:type="pct"/>
          <w:shd w:val="clear" w:color="auto" w:fill="auto"/>
        </w:tcPr>
        <w:p w:rsidR="00DD1D5E" w:rsidRPr="00AD7BF2" w:rsidRDefault="00DD1D5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D1D5E" w:rsidRPr="00AD7BF2" w:rsidRDefault="00DD1D5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DD1D5E" w:rsidRPr="00D94637" w:rsidRDefault="00DD1D5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D1D5E" w:rsidRPr="00D94637" w:rsidRDefault="00DD1D5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814AF" w:rsidRPr="00DD1D5E" w:rsidRDefault="007814AF" w:rsidP="00DD1D5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AF" w:rsidRDefault="007814AF" w:rsidP="007814AF">
      <w:r>
        <w:separator/>
      </w:r>
    </w:p>
  </w:footnote>
  <w:footnote w:type="continuationSeparator" w:id="0">
    <w:p w:rsidR="007814AF" w:rsidRDefault="007814AF" w:rsidP="007814AF">
      <w:r>
        <w:continuationSeparator/>
      </w:r>
    </w:p>
  </w:footnote>
  <w:footnote w:id="1">
    <w:p w:rsidR="001158ED" w:rsidRPr="00555D80" w:rsidRDefault="001158ED" w:rsidP="001158E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7C" w:rsidRPr="00DD1D5E" w:rsidRDefault="00707F7C" w:rsidP="00DD1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7C" w:rsidRPr="00DD1D5E" w:rsidRDefault="00707F7C" w:rsidP="00DD1D5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7C" w:rsidRPr="00DD1D5E" w:rsidRDefault="00707F7C" w:rsidP="00DD1D5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1">
    <w:nsid w:val="79BD1369"/>
    <w:multiLevelType w:val="hybridMultilevel"/>
    <w:tmpl w:val="C7CC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e44450b9-e76d-42b0-a952-d951ded4aaf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1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73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8&lt;/text&gt;_x000d__x000a_      &lt;text&gt;COMPET 102&lt;/text&gt;_x000d__x000a_      &lt;text&gt;RECH 68&lt;/text&gt;_x000d__x000a_      &lt;text&gt;ESPACE 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1-&amp;#1074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0;&amp;#1054;&amp;#1053;&amp;#1050;&amp;#1059;&amp;#1056;&amp;#1045;&amp;#1053;&amp;#1058;&amp;#1054;&amp;#1057;&amp;#1055;&amp;#1054;&amp;#1057;&amp;#1054;&amp;#1041;&amp;#1053;&amp;#1054;&amp;#1057;&amp;#1058;) (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#1080; &amp;#1082;&amp;#1086;&amp;#1089;&amp;#1084;&amp;#1080;&amp;#1095;&amp;#1077;&amp;#1089;&amp;#1082;&amp;#1086; &amp;#1087;&amp;#1088;&amp;#1086;&amp;#1089;&amp;#1090;&amp;#1088;&amp;#1072;&amp;#1085;&amp;#1089;&amp;#1090;&amp;#1074;&amp;#1086;)&amp;#1087;&amp;#1088;&amp;#1086;&amp;#1074;&amp;#1077;&amp;#1076;&amp;#1077;&amp;#1085;&amp;#1086; &amp;#1074; &amp;#1041;&amp;#1088;&amp;#1102;&amp;#1082;&amp;#1089;&amp;#1077;&amp;#1083; &amp;#1085;&amp;#1072; 2 &amp;#1080; 3 &amp;#1084;&amp;#1072;&amp;#1088;&amp;#109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71-&amp;#1074;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 xml:space=&quot;preserve&quot;&amp;gt;(&amp;#1050;&amp;#1054;&amp;#1053;&amp;#1050;&amp;#1059;&amp;#1056;&amp;#1045;&amp;#1053;&amp;#1058;&amp;#1054;&amp;#1057;&amp;#1055;&amp;#1054;&amp;#1057;&amp;#1054;&amp;#1041;&amp;#1053;&amp;#1054;&amp;#1057;&amp;#1058;) &amp;lt;/Run&amp;gt;&amp;lt;Run FontFamily=&quot;Times New Roman&quot; FontWeight=&quot;Bold&quot; xml:lang=&quot;en-gb&quot;&amp;gt;(&amp;lt;/Run&amp;gt;&amp;lt;Run FontFamily=&quot;Times New Roman&quot; FontWeight=&quot;Bold&quot; xml:space=&quot;preserve&quot;&amp;gt;&amp;#1074;&amp;#1098;&amp;#1090;&amp;#1088;&amp;#1077;&amp;#1096;&amp;#1077;&amp;#1085; &amp;#1087;&amp;#1072;&amp;#1079;&amp;#1072;&amp;#1088;, &amp;#1087;&amp;#1088;&amp;#1086;&amp;#1084;&amp;#1080;&amp;#1096;&amp;#1083;&amp;#1077;&amp;#1085;&amp;#1086;&amp;#1089;&amp;#1090;, &amp;#1085;&amp;#1072;&amp;#1091;&amp;#1095;&amp;#1085;&amp;#1080; &amp;#1080;&amp;#1079;&amp;#1089;&amp;#1083;&amp;#1077;&amp;#1076;&amp;#1074;&amp;#1072;&amp;#1085;&amp;#1080;&amp;#1103; &amp;lt;/Run&amp;gt;&amp;lt;Run FontFamily=&quot;Times New Roman&quot;&amp;gt;&amp;#1080; &amp;#1082;&amp;#1086;&amp;#1089;&amp;#1084;&amp;#1080;&amp;#1095;&amp;#1077;&amp;#1089;&amp;#1082;&amp;#1086; &amp;#1087;&amp;#1088;&amp;#1086;&amp;#1089;&amp;#1090;&amp;#1088;&amp;#1072;&amp;#1085;&amp;#1089;&amp;#1090;&amp;#1074;&amp;lt;/Run&amp;gt;&amp;lt;Run FontFamily=&quot;Times New Roman&quot; xml:lang=&quot;en-gb&quot;&amp;gt;&amp;#1086;&amp;lt;/Run&amp;gt;&amp;lt;Run FontFamily=&quot;Times New Roman&quot; FontWeight=&quot;Bold&quot; xml:lang=&quot;en-gb&quot;&amp;gt;)&amp;lt;/Run&amp;gt;&amp;lt;Run FontFamily=&quot;Times New Roman&quot; FontWeight=&quot;Bold&quot; xml:space=&quot;preserve&quot; /&amp;gt;&amp;lt;Run FontFamily=&quot;Times New Roman&quot;&amp;gt;&amp;#1087;&amp;#1088;&amp;#1086;&amp;#1074;&amp;#1077;&amp;#1076;&amp;#1077;&amp;#1085;&amp;#1086; &amp;#1074; &amp;#1041;&amp;#1088;&amp;#1102;&amp;#1082;&amp;#1089;&amp;#1077;&amp;#1083; &amp;#1085;&amp;#1072; 2 &amp;#1080; 3 &amp;#1084;&amp;#1072;&amp;#1088;&amp;#109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EE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814AF"/>
    <w:rsid w:val="00010C1D"/>
    <w:rsid w:val="00064799"/>
    <w:rsid w:val="0009656C"/>
    <w:rsid w:val="001158ED"/>
    <w:rsid w:val="00165755"/>
    <w:rsid w:val="00182F2F"/>
    <w:rsid w:val="002A2AE8"/>
    <w:rsid w:val="002D06BA"/>
    <w:rsid w:val="002D3936"/>
    <w:rsid w:val="00304A3F"/>
    <w:rsid w:val="003C56CF"/>
    <w:rsid w:val="003C6E8B"/>
    <w:rsid w:val="003D2F47"/>
    <w:rsid w:val="003E4D47"/>
    <w:rsid w:val="005157F5"/>
    <w:rsid w:val="00602B31"/>
    <w:rsid w:val="0063379B"/>
    <w:rsid w:val="00682B49"/>
    <w:rsid w:val="006A38C5"/>
    <w:rsid w:val="006C1AD4"/>
    <w:rsid w:val="006E33E2"/>
    <w:rsid w:val="006E756F"/>
    <w:rsid w:val="006F4741"/>
    <w:rsid w:val="00707F7C"/>
    <w:rsid w:val="0075756A"/>
    <w:rsid w:val="007814AF"/>
    <w:rsid w:val="0080533C"/>
    <w:rsid w:val="00805F5A"/>
    <w:rsid w:val="00825503"/>
    <w:rsid w:val="00876174"/>
    <w:rsid w:val="008826F8"/>
    <w:rsid w:val="008A33BB"/>
    <w:rsid w:val="00946D5C"/>
    <w:rsid w:val="00967153"/>
    <w:rsid w:val="009A0AFE"/>
    <w:rsid w:val="009D1D3D"/>
    <w:rsid w:val="00A469D7"/>
    <w:rsid w:val="00A53C26"/>
    <w:rsid w:val="00A856B5"/>
    <w:rsid w:val="00A87504"/>
    <w:rsid w:val="00AC6CB5"/>
    <w:rsid w:val="00AF3F47"/>
    <w:rsid w:val="00B053EC"/>
    <w:rsid w:val="00B83E74"/>
    <w:rsid w:val="00BE1373"/>
    <w:rsid w:val="00C65197"/>
    <w:rsid w:val="00C709F6"/>
    <w:rsid w:val="00D451E4"/>
    <w:rsid w:val="00DD1D5E"/>
    <w:rsid w:val="00E316B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814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814A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814A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814AF"/>
  </w:style>
  <w:style w:type="character" w:customStyle="1" w:styleId="FootnoteTextChar">
    <w:name w:val="Footnote Text Char"/>
    <w:basedOn w:val="DefaultParagraphFont"/>
    <w:link w:val="FootnoteText"/>
    <w:rsid w:val="001158ED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1158ED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1158ED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1158ED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80533C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B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B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316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0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9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9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814A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7814A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7814A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7814AF"/>
  </w:style>
  <w:style w:type="character" w:customStyle="1" w:styleId="FootnoteTextChar">
    <w:name w:val="Footnote Text Char"/>
    <w:basedOn w:val="DefaultParagraphFont"/>
    <w:link w:val="FootnoteText"/>
    <w:rsid w:val="001158ED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1158ED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1158ED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1158ED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80533C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B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B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316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0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9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9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7B52-379C-4D7B-8753-BE9BE4B6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7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DOURJANOVA Gergana</cp:lastModifiedBy>
  <cp:revision>2</cp:revision>
  <cp:lastPrinted>2015-03-16T16:11:00Z</cp:lastPrinted>
  <dcterms:created xsi:type="dcterms:W3CDTF">2015-03-23T10:01:00Z</dcterms:created>
  <dcterms:modified xsi:type="dcterms:W3CDTF">2015-03-23T10:01:00Z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