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9A" w:rsidRPr="00B56AF3" w:rsidRDefault="004F54CD" w:rsidP="00B56AF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0ada01b-10a5-45a9-bbdf-eb24dcfb8ebe" style="width:568.5pt;height:299.25pt">
            <v:imagedata r:id="rId9" o:title=""/>
          </v:shape>
        </w:pict>
      </w:r>
      <w:bookmarkEnd w:id="0"/>
    </w:p>
    <w:p w:rsidR="00565344" w:rsidRPr="00F528DF" w:rsidRDefault="00565344" w:rsidP="00565344">
      <w:pPr>
        <w:pStyle w:val="HeadingCentered"/>
        <w:pageBreakBefore/>
        <w:spacing w:before="720" w:after="240"/>
      </w:pPr>
      <w:r w:rsidRPr="00F528DF">
        <w:lastRenderedPageBreak/>
        <w:t>ТОЧКИ ЗА ОТКРИТО ОБСЪЖДАНЕ</w:t>
      </w:r>
      <w:r w:rsidRPr="00F528DF">
        <w:rPr>
          <w:rStyle w:val="FootnoteReference"/>
        </w:rPr>
        <w:footnoteReference w:id="1"/>
      </w:r>
    </w:p>
    <w:p w:rsidR="00565344" w:rsidRPr="00F528DF" w:rsidRDefault="00565344" w:rsidP="00565344">
      <w:pPr>
        <w:pStyle w:val="NormalRight"/>
        <w:spacing w:before="960" w:after="960"/>
        <w:rPr>
          <w:b/>
        </w:rPr>
      </w:pPr>
      <w:r w:rsidRPr="00F528DF">
        <w:rPr>
          <w:b/>
        </w:rPr>
        <w:t>Страница</w:t>
      </w:r>
    </w:p>
    <w:p w:rsidR="00C562DC" w:rsidRPr="00F528DF" w:rsidRDefault="00C562DC" w:rsidP="00C562DC">
      <w:pPr>
        <w:spacing w:before="360"/>
        <w:rPr>
          <w:b/>
        </w:rPr>
      </w:pPr>
      <w:r w:rsidRPr="00F528DF">
        <w:rPr>
          <w:b/>
        </w:rPr>
        <w:t>ОБСЪЖДАНИЯ НА ЗАКОНОДАТЕЛНИ АКТОВЕ</w:t>
      </w:r>
    </w:p>
    <w:p w:rsidR="00565344" w:rsidRPr="00F528DF" w:rsidRDefault="00565344" w:rsidP="00C562DC">
      <w:pPr>
        <w:spacing w:before="480" w:after="120"/>
        <w:rPr>
          <w:bCs/>
        </w:rPr>
      </w:pPr>
      <w:r w:rsidRPr="00F528DF">
        <w:rPr>
          <w:u w:val="single"/>
        </w:rPr>
        <w:t>ТОЧКИ „A“</w:t>
      </w:r>
      <w:r w:rsidRPr="00F528DF">
        <w:t xml:space="preserve"> (док. 16273/14 PTS A 94)</w:t>
      </w:r>
    </w:p>
    <w:p w:rsidR="00565344" w:rsidRPr="00F528DF" w:rsidRDefault="00565344" w:rsidP="00C562DC">
      <w:pPr>
        <w:pStyle w:val="PointManual"/>
        <w:tabs>
          <w:tab w:val="left" w:leader="dot" w:pos="9639"/>
        </w:tabs>
        <w:spacing w:before="120"/>
      </w:pPr>
      <w:r w:rsidRPr="00F528DF">
        <w:t>1.</w:t>
      </w:r>
      <w:r w:rsidRPr="00F528DF">
        <w:tab/>
        <w:t>Директива на Съвета за изменение на Директива 2011/16/ЕС по отношение на задължителния автоматичен</w:t>
      </w:r>
      <w:r w:rsidRPr="00F528DF">
        <w:br/>
        <w:t>обмен на информация в областта на данъчното облагане (ЗА + И)</w:t>
      </w:r>
      <w:r w:rsidRPr="00F528DF">
        <w:tab/>
        <w:t xml:space="preserve">3 </w:t>
      </w:r>
    </w:p>
    <w:p w:rsidR="00565344" w:rsidRPr="00F528DF" w:rsidRDefault="00565344" w:rsidP="00565344">
      <w:pPr>
        <w:pStyle w:val="PointManual"/>
        <w:tabs>
          <w:tab w:val="left" w:leader="dot" w:pos="9639"/>
        </w:tabs>
      </w:pPr>
      <w:r w:rsidRPr="00F528DF">
        <w:t>2.</w:t>
      </w:r>
      <w:r w:rsidRPr="00F528DF">
        <w:tab/>
        <w:t>Предложение за директива на Съвета за изменение на Директива 2011/96/ЕС относно общата</w:t>
      </w:r>
      <w:r w:rsidRPr="00F528DF">
        <w:br/>
        <w:t>система за данъчно облагане на дружества майки и дъщерни дружества от различни държави членки</w:t>
      </w:r>
      <w:r w:rsidRPr="00F528DF">
        <w:tab/>
        <w:t>4</w:t>
      </w:r>
    </w:p>
    <w:p w:rsidR="00565344" w:rsidRPr="00F528DF" w:rsidRDefault="00565344" w:rsidP="00565344">
      <w:pPr>
        <w:pStyle w:val="PointManual"/>
        <w:tabs>
          <w:tab w:val="left" w:leader="dot" w:pos="9639"/>
        </w:tabs>
      </w:pPr>
      <w:r w:rsidRPr="00F528DF">
        <w:t>3.</w:t>
      </w:r>
      <w:r w:rsidRPr="00F528DF">
        <w:tab/>
        <w:t>Предложение за директива на Европейския парламент и на Съвета относно платежните</w:t>
      </w:r>
      <w:r w:rsidRPr="00F528DF">
        <w:br/>
        <w:t>услуги във вътрешния пазар, за изменение на директиви 2002/65/ЕО, 2013/36/ЕС и 2009/110/ЕО и за отмяна на Директива 2007/64/ЕО (първо четене)</w:t>
      </w:r>
      <w:r w:rsidRPr="00F528DF">
        <w:tab/>
        <w:t>4</w:t>
      </w:r>
    </w:p>
    <w:p w:rsidR="00C562DC" w:rsidRPr="00F528DF" w:rsidRDefault="00C562DC" w:rsidP="00C562DC">
      <w:pPr>
        <w:spacing w:before="480" w:after="120"/>
        <w:rPr>
          <w:bCs/>
        </w:rPr>
      </w:pPr>
      <w:r w:rsidRPr="00F528DF">
        <w:rPr>
          <w:u w:val="single"/>
        </w:rPr>
        <w:t>ТОЧКИ „Б“</w:t>
      </w:r>
      <w:r w:rsidRPr="00F528DF">
        <w:t xml:space="preserve"> (док. 16271/14 OJ CONS 67 ECOFIN 1124)</w:t>
      </w:r>
    </w:p>
    <w:p w:rsidR="00C562DC" w:rsidRPr="00F528DF" w:rsidRDefault="00C562DC" w:rsidP="00C562DC">
      <w:pPr>
        <w:pStyle w:val="PointManual"/>
        <w:tabs>
          <w:tab w:val="left" w:leader="dot" w:pos="9639"/>
        </w:tabs>
        <w:spacing w:before="120"/>
      </w:pPr>
      <w:r w:rsidRPr="00F528DF">
        <w:t>3.</w:t>
      </w:r>
      <w:r w:rsidRPr="00F528DF">
        <w:tab/>
        <w:t>Данък върху финансовите сделки</w:t>
      </w:r>
      <w:r w:rsidRPr="00F528DF">
        <w:tab/>
        <w:t>5</w:t>
      </w:r>
    </w:p>
    <w:p w:rsidR="00C562DC" w:rsidRPr="00F528DF" w:rsidRDefault="00C562DC" w:rsidP="00C562DC">
      <w:pPr>
        <w:pStyle w:val="PointManual"/>
        <w:tabs>
          <w:tab w:val="right" w:leader="dot" w:pos="9639"/>
        </w:tabs>
      </w:pPr>
      <w:r w:rsidRPr="00F528DF">
        <w:t>4.</w:t>
      </w:r>
      <w:r w:rsidRPr="00F528DF">
        <w:tab/>
        <w:t>Други въпроси</w:t>
      </w:r>
      <w:r w:rsidRPr="00F528DF">
        <w:tab/>
      </w:r>
      <w:r w:rsidRPr="00F528DF">
        <w:tab/>
        <w:t>6</w:t>
      </w:r>
    </w:p>
    <w:p w:rsidR="00565344" w:rsidRPr="00F528DF" w:rsidRDefault="00565344" w:rsidP="00565344">
      <w:pPr>
        <w:pStyle w:val="NormalCentered"/>
        <w:spacing w:before="1080"/>
      </w:pPr>
      <w:r w:rsidRPr="00F528DF">
        <w:t>*</w:t>
      </w:r>
    </w:p>
    <w:p w:rsidR="00565344" w:rsidRPr="00F528DF" w:rsidRDefault="00565344" w:rsidP="00565344">
      <w:pPr>
        <w:pStyle w:val="NormalCentered"/>
        <w:spacing w:before="120"/>
      </w:pPr>
      <w:r w:rsidRPr="00F528DF">
        <w:t>*</w:t>
      </w:r>
      <w:r w:rsidRPr="00F528DF">
        <w:tab/>
        <w:t>*</w:t>
      </w:r>
    </w:p>
    <w:p w:rsidR="00565344" w:rsidRPr="00F528DF" w:rsidRDefault="00565344" w:rsidP="00565344">
      <w:pPr>
        <w:rPr>
          <w:b/>
          <w:bCs/>
          <w:u w:val="single"/>
        </w:rPr>
      </w:pPr>
      <w:r w:rsidRPr="00F528DF">
        <w:br w:type="page"/>
      </w:r>
      <w:r w:rsidRPr="00F528DF">
        <w:rPr>
          <w:b/>
          <w:u w:val="single"/>
        </w:rPr>
        <w:lastRenderedPageBreak/>
        <w:t>ОБСЪЖДАНИЯ НА ЗАКОНОДАТЕЛНИ АКТОВЕ</w:t>
      </w:r>
    </w:p>
    <w:p w:rsidR="00565344" w:rsidRPr="00F528DF" w:rsidRDefault="00565344" w:rsidP="00565344">
      <w:pPr>
        <w:rPr>
          <w:b/>
          <w:bCs/>
          <w:i/>
          <w:iCs/>
        </w:rPr>
      </w:pPr>
      <w:r w:rsidRPr="00F528DF">
        <w:rPr>
          <w:b/>
          <w:i/>
        </w:rPr>
        <w:t>(открито обсъждане съгласно член 16, параграф 8 от Договора за Европейския съюз)</w:t>
      </w:r>
    </w:p>
    <w:p w:rsidR="00C562DC" w:rsidRPr="00F528DF" w:rsidRDefault="00C562DC" w:rsidP="00565344">
      <w:pPr>
        <w:pStyle w:val="PointManual"/>
        <w:rPr>
          <w:bCs/>
        </w:rPr>
      </w:pPr>
      <w:r w:rsidRPr="00F528DF">
        <w:rPr>
          <w:u w:val="single"/>
        </w:rPr>
        <w:t>ТОЧКИ „А“</w:t>
      </w:r>
    </w:p>
    <w:p w:rsidR="00565344" w:rsidRPr="00F528DF" w:rsidRDefault="00565344" w:rsidP="00565344">
      <w:pPr>
        <w:pStyle w:val="PointManual"/>
        <w:rPr>
          <w:b/>
          <w:bCs/>
        </w:rPr>
      </w:pPr>
      <w:r w:rsidRPr="00F528DF">
        <w:rPr>
          <w:b/>
        </w:rPr>
        <w:t>1.</w:t>
      </w:r>
      <w:r w:rsidRPr="00F528DF">
        <w:tab/>
      </w:r>
      <w:r w:rsidRPr="00F528DF">
        <w:rPr>
          <w:b/>
        </w:rPr>
        <w:t>Директива на Съвета за изменение на Директива 2011/16/ЕС по отношение на задължителния автоматичен обмен на информация в областта на данъчното облагане (ЗА + И)</w:t>
      </w:r>
    </w:p>
    <w:p w:rsidR="00565344" w:rsidRPr="00F528DF" w:rsidRDefault="00565344" w:rsidP="00565344">
      <w:pPr>
        <w:pStyle w:val="Text3"/>
      </w:pPr>
      <w:r w:rsidRPr="00F528DF">
        <w:t>Док. 14425/14 FISC 162 ECOFIN 932</w:t>
      </w:r>
    </w:p>
    <w:p w:rsidR="00565344" w:rsidRPr="00F528DF" w:rsidRDefault="00565344" w:rsidP="00565344">
      <w:pPr>
        <w:pStyle w:val="Text4"/>
      </w:pPr>
      <w:r w:rsidRPr="00F528DF">
        <w:t>+ COR 1 (bg, cs, de, et, fi, hr, hu, lt, pl, pt, ro, sk, sl, sv)</w:t>
      </w:r>
    </w:p>
    <w:p w:rsidR="00565344" w:rsidRPr="00F528DF" w:rsidRDefault="00565344" w:rsidP="00565344">
      <w:pPr>
        <w:pStyle w:val="Text4"/>
      </w:pPr>
      <w:r w:rsidRPr="00F528DF">
        <w:t>+ COR 2</w:t>
      </w:r>
    </w:p>
    <w:p w:rsidR="00565344" w:rsidRPr="00F528DF" w:rsidRDefault="00565344" w:rsidP="00565344">
      <w:pPr>
        <w:pStyle w:val="Text4"/>
      </w:pPr>
      <w:r w:rsidRPr="00F528DF">
        <w:t>+ REV 1 (cs)</w:t>
      </w:r>
    </w:p>
    <w:p w:rsidR="00565344" w:rsidRPr="00F528DF" w:rsidRDefault="00565344" w:rsidP="00565344">
      <w:pPr>
        <w:pStyle w:val="Text1"/>
        <w:spacing w:before="240" w:line="360" w:lineRule="auto"/>
      </w:pPr>
      <w:r w:rsidRPr="00F528DF">
        <w:rPr>
          <w:u w:val="single"/>
        </w:rPr>
        <w:t>Съветът</w:t>
      </w:r>
      <w:r w:rsidRPr="00F528DF">
        <w:t xml:space="preserve"> прие единодушно посочената по-горе директива. (правно основание: член 115 от Договора за функционирането на Европейския съюз)</w:t>
      </w:r>
    </w:p>
    <w:p w:rsidR="00565344" w:rsidRPr="00F528DF" w:rsidRDefault="00565344" w:rsidP="00565344">
      <w:pPr>
        <w:pStyle w:val="Text1"/>
        <w:spacing w:before="240"/>
        <w:rPr>
          <w:b/>
          <w:bCs/>
          <w:u w:val="single"/>
        </w:rPr>
      </w:pPr>
      <w:r w:rsidRPr="00F528DF">
        <w:rPr>
          <w:b/>
          <w:u w:val="single"/>
        </w:rPr>
        <w:t>Изявление на Австрия</w:t>
      </w:r>
    </w:p>
    <w:p w:rsidR="00565344" w:rsidRPr="00F528DF" w:rsidRDefault="00565344" w:rsidP="00565344">
      <w:pPr>
        <w:pStyle w:val="Text1"/>
        <w:spacing w:before="200"/>
      </w:pPr>
      <w:r w:rsidRPr="00F528DF">
        <w:t>„Австрия се ангажира да положи всички възможни усилия, за да гарантира, че ако е технически осъществимо, автоматичният обмен на информация въз основа на преработената директива за административно сътрудничество ще започне да се прилага по-рано от 30 септември 2018 г.“</w:t>
      </w:r>
    </w:p>
    <w:p w:rsidR="00565344" w:rsidRPr="00F528DF" w:rsidRDefault="00565344" w:rsidP="00565344">
      <w:pPr>
        <w:pStyle w:val="Text1"/>
        <w:spacing w:before="360"/>
        <w:rPr>
          <w:b/>
          <w:bCs/>
          <w:u w:val="single"/>
        </w:rPr>
      </w:pPr>
      <w:r w:rsidRPr="00F528DF">
        <w:rPr>
          <w:b/>
          <w:u w:val="single"/>
        </w:rPr>
        <w:t>Изявление на Съвета</w:t>
      </w:r>
    </w:p>
    <w:p w:rsidR="00565344" w:rsidRPr="00F528DF" w:rsidRDefault="00565344" w:rsidP="00565344">
      <w:pPr>
        <w:pStyle w:val="Text1"/>
        <w:spacing w:before="200"/>
      </w:pPr>
      <w:r w:rsidRPr="00F528DF">
        <w:t>„Като взема предвид заключенията на Съвета от 22 май 2013 г. и с оглед на постигането на плавен преход към новия единен световен стандарт, Съветът приканва Комисията да представи предложение за отмяна на директивата относно данъчното облагане на доходите от спестявания (2003/48/ЕО от 3 юни 2003 г.), и измененията ѝ, както и да съгласува отмяната на тази директива с датата на прилагане на преработената директива за административно сътрудничество, като надлежно отчита предвидената в нея дерогация относно Австрия. Във връзка с това следва да се гарантира, че Директива 2003/48/ЕО от 3 юни 2003 г. продължава да се прилага за тази държава членка по време на периода на дерогация.“</w:t>
      </w:r>
    </w:p>
    <w:p w:rsidR="00565344" w:rsidRPr="00F528DF" w:rsidRDefault="00565344" w:rsidP="00565344">
      <w:pPr>
        <w:pStyle w:val="Text1"/>
        <w:spacing w:before="360"/>
        <w:rPr>
          <w:b/>
          <w:bCs/>
          <w:u w:val="single"/>
        </w:rPr>
      </w:pPr>
      <w:r w:rsidRPr="00F528DF">
        <w:rPr>
          <w:b/>
          <w:u w:val="single"/>
        </w:rPr>
        <w:t>Изявление на Съвета</w:t>
      </w:r>
    </w:p>
    <w:p w:rsidR="00565344" w:rsidRPr="00F528DF" w:rsidRDefault="00565344" w:rsidP="00565344">
      <w:pPr>
        <w:pStyle w:val="Text1"/>
        <w:spacing w:before="200"/>
      </w:pPr>
      <w:r w:rsidRPr="00F528DF">
        <w:t>„Съветът потвърждава колко е важно да се преработят съществуващите договорености на ЕС относно спестяванията с Андора, Лихтенщайн, Монако, Сан Марино и Швейцария, за да бъдат приведени в съответствие със световния стандарт за автоматичен обмен на информация.“</w:t>
      </w:r>
    </w:p>
    <w:p w:rsidR="00565344" w:rsidRPr="00F528DF" w:rsidRDefault="00565344" w:rsidP="00565344">
      <w:pPr>
        <w:pStyle w:val="PointManual"/>
        <w:pageBreakBefore/>
        <w:spacing w:before="240"/>
        <w:rPr>
          <w:b/>
          <w:bCs/>
        </w:rPr>
      </w:pPr>
      <w:r w:rsidRPr="00F528DF">
        <w:rPr>
          <w:b/>
        </w:rPr>
        <w:lastRenderedPageBreak/>
        <w:t>2.</w:t>
      </w:r>
      <w:r w:rsidRPr="00F528DF">
        <w:tab/>
      </w:r>
      <w:r w:rsidRPr="00F528DF">
        <w:rPr>
          <w:b/>
        </w:rPr>
        <w:t>Предложение за директива на Съвета за изменение на Директива 2011/96/ЕС относно общата система за данъчно облагане на дружества майки и дъщерни дружества от различни държави членки</w:t>
      </w:r>
    </w:p>
    <w:p w:rsidR="00565344" w:rsidRPr="00F528DF" w:rsidRDefault="00565344" w:rsidP="00565344">
      <w:pPr>
        <w:pStyle w:val="Dash1"/>
      </w:pPr>
      <w:r w:rsidRPr="00F528DF">
        <w:t>Политическо споразумение</w:t>
      </w:r>
    </w:p>
    <w:p w:rsidR="00565344" w:rsidRPr="00F528DF" w:rsidRDefault="00565344" w:rsidP="00565344">
      <w:pPr>
        <w:pStyle w:val="Text3"/>
      </w:pPr>
      <w:r w:rsidRPr="00F528DF">
        <w:t>Док. 16435/14 FISC 221 ECOFIN 1157</w:t>
      </w:r>
    </w:p>
    <w:p w:rsidR="00565344" w:rsidRPr="00F528DF" w:rsidRDefault="00565344" w:rsidP="00565344">
      <w:pPr>
        <w:pStyle w:val="Text3"/>
      </w:pPr>
      <w:r w:rsidRPr="00F528DF">
        <w:t>одобрено от Корепер (ІІ част) на 3.12.2014 г.</w:t>
      </w:r>
    </w:p>
    <w:p w:rsidR="00520008" w:rsidRPr="00F528DF" w:rsidRDefault="00520008" w:rsidP="00520008">
      <w:pPr>
        <w:pStyle w:val="Text1"/>
        <w:spacing w:before="200" w:line="360" w:lineRule="auto"/>
      </w:pPr>
      <w:r w:rsidRPr="00F528DF">
        <w:rPr>
          <w:u w:val="single"/>
        </w:rPr>
        <w:t>Съветът</w:t>
      </w:r>
      <w:r w:rsidRPr="00F528DF">
        <w:t xml:space="preserve"> постигна политическо споразумение по проекта за директива в приложение I към док. 16435/14 с оглед на приемането на директивата, след редакция от юрист-лингвистите, като точка „А“ от дневния ред на предстоящо заседание на Съвета и постигна съгласие да впише в протокола от заседанието си трите изявления, изложени в приложения II и III към този документ.</w:t>
      </w:r>
    </w:p>
    <w:p w:rsidR="00C562DC" w:rsidRPr="00F528DF" w:rsidRDefault="00C562DC" w:rsidP="00C562DC">
      <w:pPr>
        <w:pStyle w:val="Text1"/>
        <w:spacing w:before="200"/>
        <w:rPr>
          <w:b/>
          <w:bCs/>
        </w:rPr>
      </w:pPr>
      <w:r w:rsidRPr="00F528DF">
        <w:rPr>
          <w:b/>
        </w:rPr>
        <w:t>1.</w:t>
      </w:r>
      <w:r w:rsidRPr="00F528DF">
        <w:tab/>
      </w:r>
      <w:r w:rsidRPr="00F528DF">
        <w:rPr>
          <w:b/>
          <w:u w:val="single"/>
        </w:rPr>
        <w:t>Проект за изявление на Съвета</w:t>
      </w:r>
    </w:p>
    <w:p w:rsidR="00C562DC" w:rsidRPr="00F528DF" w:rsidRDefault="00C562DC" w:rsidP="00D47685">
      <w:pPr>
        <w:pStyle w:val="Text1"/>
        <w:spacing w:before="200"/>
      </w:pPr>
      <w:r w:rsidRPr="00F528DF">
        <w:t>„При прилагането на разпоредбата за борба със злоупотребите от Директива 2011/96/ЕС държавите членки ще полагат усилие да обменят информация помежду си, в рамките на действащите правни инструменти на ЕС, когато информацията може да е от полза на другата държава членка.“</w:t>
      </w:r>
    </w:p>
    <w:p w:rsidR="00C562DC" w:rsidRPr="00F528DF" w:rsidRDefault="00C562DC" w:rsidP="00C562DC">
      <w:pPr>
        <w:pStyle w:val="Text1"/>
        <w:spacing w:before="200"/>
        <w:rPr>
          <w:b/>
          <w:bCs/>
        </w:rPr>
      </w:pPr>
      <w:r w:rsidRPr="00F528DF">
        <w:rPr>
          <w:b/>
        </w:rPr>
        <w:t>2.</w:t>
      </w:r>
      <w:r w:rsidRPr="00F528DF">
        <w:tab/>
      </w:r>
      <w:r w:rsidRPr="00F528DF">
        <w:rPr>
          <w:b/>
          <w:u w:val="single"/>
        </w:rPr>
        <w:t>Проект за изявление на Съвета</w:t>
      </w:r>
    </w:p>
    <w:p w:rsidR="00C562DC" w:rsidRPr="00F528DF" w:rsidRDefault="00C562DC" w:rsidP="00D47685">
      <w:pPr>
        <w:pStyle w:val="Text1"/>
        <w:spacing w:before="200"/>
      </w:pPr>
      <w:r w:rsidRPr="00F528DF">
        <w:t>„Съветът ще вземе под внимание разпоредбата за борба със злоупотребите от Директива 2011/96/ЕС в бъдещата си работа по евентуална разпоредба за борба със злоупотребите, която да бъде включена в Директива 2003/49/ЕО.“</w:t>
      </w:r>
    </w:p>
    <w:p w:rsidR="00C562DC" w:rsidRPr="00F528DF" w:rsidRDefault="00C562DC" w:rsidP="00C562DC">
      <w:pPr>
        <w:pStyle w:val="Text1"/>
        <w:spacing w:before="240"/>
        <w:rPr>
          <w:b/>
          <w:bCs/>
          <w:u w:val="single"/>
        </w:rPr>
      </w:pPr>
      <w:r w:rsidRPr="00F528DF">
        <w:rPr>
          <w:b/>
          <w:u w:val="single"/>
        </w:rPr>
        <w:t>Изявление на Комисията</w:t>
      </w:r>
    </w:p>
    <w:p w:rsidR="00C562DC" w:rsidRPr="00F528DF" w:rsidRDefault="00C562DC" w:rsidP="00C562DC">
      <w:pPr>
        <w:pStyle w:val="Text1"/>
        <w:spacing w:before="200"/>
      </w:pPr>
      <w:r w:rsidRPr="00F528DF">
        <w:t>„Комисията потвърждава, че предложените изменения на член 1, параграф 2 от Директивата за данъчно облагане на дружества майки и дъщерни дружества нямат за цел да засегнат националните системи за освобождаване от данък на дялово участие, доколкото последните са съвместими с разпоредбите на Договорите.“</w:t>
      </w:r>
    </w:p>
    <w:p w:rsidR="00565344" w:rsidRPr="00F528DF" w:rsidRDefault="00565344" w:rsidP="00565344">
      <w:pPr>
        <w:pStyle w:val="PointManual"/>
        <w:spacing w:before="800"/>
        <w:rPr>
          <w:b/>
          <w:bCs/>
        </w:rPr>
      </w:pPr>
      <w:r w:rsidRPr="00F528DF">
        <w:rPr>
          <w:b/>
        </w:rPr>
        <w:t>3.</w:t>
      </w:r>
      <w:r w:rsidRPr="00F528DF">
        <w:tab/>
      </w:r>
      <w:r w:rsidRPr="00F528DF">
        <w:rPr>
          <w:b/>
        </w:rPr>
        <w:t>Предложение за директива на Европейския парламент и на Съвета относно платежните услуги във вътрешния пазар, за изменение на директиви 2002/65/ЕО, 2013/36/ЕС и 2009/110/ЕО и за отмяна на Директива 2007/64/ЕО (първо четене)</w:t>
      </w:r>
    </w:p>
    <w:p w:rsidR="00565344" w:rsidRPr="00F528DF" w:rsidRDefault="00565344" w:rsidP="00565344">
      <w:pPr>
        <w:pStyle w:val="Dash1"/>
      </w:pPr>
      <w:r w:rsidRPr="00F528DF">
        <w:t>Общ подход</w:t>
      </w:r>
    </w:p>
    <w:p w:rsidR="00565344" w:rsidRPr="00F528DF" w:rsidRDefault="00565344" w:rsidP="00565344">
      <w:pPr>
        <w:pStyle w:val="Text3"/>
      </w:pPr>
      <w:r w:rsidRPr="00F528DF">
        <w:t>16613/14 EF 348 ECOFIN 1178 CONSOM 270 CODEC 2662</w:t>
      </w:r>
    </w:p>
    <w:p w:rsidR="00565344" w:rsidRPr="00F528DF" w:rsidRDefault="00565344" w:rsidP="00565344">
      <w:pPr>
        <w:pStyle w:val="Text3"/>
      </w:pPr>
      <w:r w:rsidRPr="00F528DF">
        <w:t>одобрено от Корепер (ІІ част) на 5.12.2014 г.</w:t>
      </w:r>
    </w:p>
    <w:p w:rsidR="00A33A38" w:rsidRPr="00F528DF" w:rsidRDefault="00A33A38" w:rsidP="00A33A38">
      <w:pPr>
        <w:pStyle w:val="Text1"/>
        <w:spacing w:before="200" w:line="360" w:lineRule="auto"/>
      </w:pPr>
      <w:r w:rsidRPr="00F528DF">
        <w:rPr>
          <w:u w:val="single"/>
        </w:rPr>
        <w:t>Съветът</w:t>
      </w:r>
      <w:r w:rsidRPr="00F528DF">
        <w:t xml:space="preserve"> потвърди съгласието по общия подход, както е посочено в док. 16154/14.</w:t>
      </w:r>
    </w:p>
    <w:p w:rsidR="00B23B9A" w:rsidRPr="00F528DF" w:rsidRDefault="00A33A38" w:rsidP="00A33A38">
      <w:pPr>
        <w:pStyle w:val="Text1"/>
        <w:spacing w:before="200" w:line="360" w:lineRule="auto"/>
      </w:pPr>
      <w:r w:rsidRPr="00F528DF">
        <w:rPr>
          <w:u w:val="single"/>
        </w:rPr>
        <w:t>Делегацията на Люксембург</w:t>
      </w:r>
      <w:r w:rsidRPr="00F528DF">
        <w:t xml:space="preserve"> направи изявление, изложено по-долу и в приложението към док. 16612/14.</w:t>
      </w:r>
    </w:p>
    <w:p w:rsidR="00A33A38" w:rsidRPr="00F528DF" w:rsidRDefault="00A33A38" w:rsidP="0036128B">
      <w:pPr>
        <w:pStyle w:val="Text1"/>
        <w:pageBreakBefore/>
        <w:spacing w:before="120"/>
      </w:pPr>
      <w:r w:rsidRPr="00F528DF">
        <w:rPr>
          <w:b/>
          <w:u w:val="single"/>
        </w:rPr>
        <w:t>Изявление на Люксембург</w:t>
      </w:r>
    </w:p>
    <w:p w:rsidR="009A3B2E" w:rsidRPr="00F528DF" w:rsidRDefault="00A33A38" w:rsidP="00A33A38">
      <w:pPr>
        <w:pStyle w:val="Text1"/>
        <w:spacing w:before="200"/>
      </w:pPr>
      <w:r w:rsidRPr="00F528DF">
        <w:t>„Първата директива за платежните услуги (2007/64/ЕО) предостави правното основание за създаването на единен пазар за плащанията в целия ЕС и въведе единен лиценз за доставчиците на платежни услуги.</w:t>
      </w:r>
    </w:p>
    <w:p w:rsidR="00A33A38" w:rsidRPr="00F528DF" w:rsidRDefault="00A33A38" w:rsidP="00A33A38">
      <w:pPr>
        <w:pStyle w:val="Text1"/>
        <w:spacing w:before="200"/>
      </w:pPr>
      <w:r w:rsidRPr="00F528DF">
        <w:t>Компромисният текст на новата директива за платежните услуги, която отменя Директива 2007/64/ЕО, подкопава лицензния режим, установен с Директива 2007/64/ЕО, както и принципа на надзор от страна на държавата членка по произход, и по този начин отново въвежда възможност за фрагментиране на пазара. Подобна стъпка в областта на трансграничния надзор на платежните институции е в противоречие с целта на първоначалното предложение, а именно да се подпомогне развитието на европейски пазар за електронни плащания, и е в противовес на съществуващите постижения на законодателството  в областта на други финансови услуги. Люксембург счита, че е необходимо да се възприеме съгласуван подход за трансграничния надзор и съответния баланс между правомощията на компетентните органи на държавата членка по произход и на приемащата държава членка във всички досиета, свързани с финансови услуги.</w:t>
      </w:r>
    </w:p>
    <w:p w:rsidR="009A3B2E" w:rsidRPr="00F528DF" w:rsidRDefault="00A33A38" w:rsidP="00A33A38">
      <w:pPr>
        <w:pStyle w:val="Text1"/>
        <w:spacing w:before="200"/>
      </w:pPr>
      <w:r w:rsidRPr="00F528DF">
        <w:t>Люксембург подчертава, че елементите, които подкопават съществуващия лицензен режим, нито са били включени в първоначалното предложение на Комисията, нито са част от доклада на Европейския парламент, приет на пленарно заседание.</w:t>
      </w:r>
    </w:p>
    <w:p w:rsidR="00A33A38" w:rsidRPr="00F528DF" w:rsidRDefault="00A33A38" w:rsidP="00A33A38">
      <w:pPr>
        <w:pStyle w:val="Text1"/>
        <w:spacing w:before="200"/>
      </w:pPr>
      <w:r w:rsidRPr="00F528DF">
        <w:t>В светлината на гореизложеното Люксембург не може да подкрепи общия подход на Съвета и очаква изразените от Люксембург опасения да бъдат взети под внимание по време на предстоящите преговори с Европейския парламент.“</w:t>
      </w:r>
    </w:p>
    <w:p w:rsidR="00C562DC" w:rsidRPr="00F528DF" w:rsidRDefault="00C562DC" w:rsidP="0036128B">
      <w:pPr>
        <w:pStyle w:val="PointManual"/>
        <w:spacing w:before="240"/>
        <w:rPr>
          <w:b/>
          <w:bCs/>
        </w:rPr>
      </w:pPr>
      <w:r w:rsidRPr="00F528DF">
        <w:rPr>
          <w:u w:val="single"/>
        </w:rPr>
        <w:t>ТОЧКИ „Б“</w:t>
      </w:r>
    </w:p>
    <w:p w:rsidR="00C562DC" w:rsidRPr="00F528DF" w:rsidRDefault="00C562DC" w:rsidP="0036128B">
      <w:pPr>
        <w:pStyle w:val="PointManual"/>
        <w:spacing w:before="120"/>
        <w:rPr>
          <w:b/>
          <w:bCs/>
        </w:rPr>
      </w:pPr>
      <w:r w:rsidRPr="00F528DF">
        <w:rPr>
          <w:b/>
        </w:rPr>
        <w:t>3.</w:t>
      </w:r>
      <w:r w:rsidRPr="00F528DF">
        <w:tab/>
      </w:r>
      <w:r w:rsidRPr="00F528DF">
        <w:rPr>
          <w:b/>
          <w:u w:val="single"/>
        </w:rPr>
        <w:t>Данък върху финансовите сделки</w:t>
      </w:r>
    </w:p>
    <w:p w:rsidR="00C562DC" w:rsidRPr="00F528DF" w:rsidRDefault="00C562DC" w:rsidP="00C562DC">
      <w:pPr>
        <w:pStyle w:val="Dash1"/>
        <w:spacing w:before="60"/>
        <w:rPr>
          <w:b/>
          <w:bCs/>
        </w:rPr>
      </w:pPr>
      <w:r w:rsidRPr="00F528DF">
        <w:rPr>
          <w:b/>
        </w:rPr>
        <w:t>Предложение за директива на Съвета за въвеждане на засилено сътрудничество в областта на данъка върху финансовите сделки</w:t>
      </w:r>
    </w:p>
    <w:p w:rsidR="00C562DC" w:rsidRPr="00F528DF" w:rsidRDefault="00C562DC" w:rsidP="00C562DC">
      <w:pPr>
        <w:pStyle w:val="Dash2"/>
      </w:pPr>
      <w:r w:rsidRPr="00F528DF">
        <w:t>Актуално състояние</w:t>
      </w:r>
    </w:p>
    <w:p w:rsidR="00C562DC" w:rsidRPr="00F528DF" w:rsidRDefault="00C562DC" w:rsidP="00C562DC">
      <w:pPr>
        <w:pStyle w:val="Text3"/>
      </w:pPr>
      <w:r w:rsidRPr="00F528DF">
        <w:t>Док. 16498/14 FISC 222 ECOFIN 1159</w:t>
      </w:r>
    </w:p>
    <w:p w:rsidR="00C562DC" w:rsidRPr="00F528DF" w:rsidRDefault="00C562DC" w:rsidP="0036128B">
      <w:pPr>
        <w:pStyle w:val="Text1"/>
        <w:spacing w:before="200" w:line="360" w:lineRule="exact"/>
      </w:pPr>
      <w:r w:rsidRPr="00F528DF">
        <w:rPr>
          <w:u w:val="single"/>
        </w:rPr>
        <w:t>Съветът</w:t>
      </w:r>
      <w:r w:rsidRPr="00F528DF">
        <w:t xml:space="preserve"> обсъди доклада на председателството относно актуалното състояние във връзка с предложението на Комисията за директива за въвеждане на засилено сътрудничество в областта на данъка върху финансовите сделки. </w:t>
      </w:r>
      <w:r w:rsidRPr="00F528DF">
        <w:rPr>
          <w:u w:val="single"/>
        </w:rPr>
        <w:t>Председателството</w:t>
      </w:r>
      <w:r w:rsidRPr="00F528DF">
        <w:t xml:space="preserve"> докладва за свършената до момента работа и заяви, че тя трябва да продължи. </w:t>
      </w:r>
      <w:r w:rsidRPr="00F528DF">
        <w:rPr>
          <w:u w:val="single"/>
        </w:rPr>
        <w:t>Франция</w:t>
      </w:r>
      <w:r w:rsidRPr="00F528DF">
        <w:t xml:space="preserve"> направи обобщение на мненията на 11 държави членки, участващи в засиленото сътрудничество в областта на данъка върху финансовите сделки, както следва:</w:t>
      </w:r>
    </w:p>
    <w:p w:rsidR="00C562DC" w:rsidRPr="00F528DF" w:rsidRDefault="00C562DC" w:rsidP="0036128B">
      <w:pPr>
        <w:pStyle w:val="Text1"/>
        <w:spacing w:before="120"/>
      </w:pPr>
      <w:r w:rsidRPr="00F528DF">
        <w:t>„През последните месеци работихме упорито, постигнахме напредък по данъчното облагане на сделки с акции. Също така работихме и постигнахме напредък по деривативите, но е необходимо да се направи повече. Както заявихме в последното си изявление през май, оставаме колективно ангажирани да продължим да работим усилено и да намерим конкретни решения за първата стъпка към ДФС, при все че това вероятно няма да стане до края на тази година, а чак в началото на следващата. ДФС е важен не само като средство за борба срещу спекулацията, но и защото ще бъде много положителен сигнал за бъдещата дейност по хармонизирането на данъчното облагане в Европа, а всички ние знаем, че това ще е основен въпрос през идните години.“</w:t>
      </w:r>
    </w:p>
    <w:p w:rsidR="00C562DC" w:rsidRPr="00F528DF" w:rsidRDefault="00C562DC" w:rsidP="00C562DC">
      <w:pPr>
        <w:pStyle w:val="PointManual"/>
        <w:pageBreakBefore/>
        <w:spacing w:before="480"/>
        <w:rPr>
          <w:b/>
          <w:bCs/>
        </w:rPr>
      </w:pPr>
      <w:r w:rsidRPr="00F528DF">
        <w:rPr>
          <w:b/>
        </w:rPr>
        <w:t>4.</w:t>
      </w:r>
      <w:r w:rsidRPr="00F528DF">
        <w:tab/>
      </w:r>
      <w:r w:rsidRPr="00F528DF">
        <w:rPr>
          <w:b/>
          <w:u w:val="single"/>
        </w:rPr>
        <w:t>Други въпроси</w:t>
      </w:r>
    </w:p>
    <w:p w:rsidR="00C562DC" w:rsidRPr="00F528DF" w:rsidRDefault="00C562DC" w:rsidP="00C562DC">
      <w:pPr>
        <w:pStyle w:val="DashEqual1"/>
        <w:spacing w:before="120"/>
        <w:rPr>
          <w:b/>
          <w:bCs/>
        </w:rPr>
      </w:pPr>
      <w:r w:rsidRPr="00F528DF">
        <w:rPr>
          <w:b/>
        </w:rPr>
        <w:t>Текущи законодателни предложения</w:t>
      </w:r>
    </w:p>
    <w:p w:rsidR="00C562DC" w:rsidRPr="00F528DF" w:rsidRDefault="00C562DC" w:rsidP="00C562DC">
      <w:pPr>
        <w:pStyle w:val="Dash2"/>
      </w:pPr>
      <w:r w:rsidRPr="00F528DF">
        <w:t>Информация от председателството</w:t>
      </w:r>
    </w:p>
    <w:p w:rsidR="00C562DC" w:rsidRPr="00F528DF" w:rsidRDefault="00C562DC" w:rsidP="00C562DC">
      <w:pPr>
        <w:pStyle w:val="Text2"/>
        <w:spacing w:before="200"/>
      </w:pPr>
      <w:r w:rsidRPr="00F528DF">
        <w:rPr>
          <w:u w:val="single"/>
        </w:rPr>
        <w:t>Съветът</w:t>
      </w:r>
      <w:r w:rsidRPr="00F528DF">
        <w:t xml:space="preserve"> взе под внимание актуалното състояние във връзка с ключови законодателни досиета в областта на финансовите услуги.</w:t>
      </w:r>
    </w:p>
    <w:p w:rsidR="00FC4670" w:rsidRPr="001443B1" w:rsidRDefault="00FC4670" w:rsidP="00B23B9A">
      <w:pPr>
        <w:pStyle w:val="FinalLine"/>
      </w:pPr>
    </w:p>
    <w:sectPr w:rsidR="00FC4670" w:rsidRPr="001443B1" w:rsidSect="004F54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E9" w:rsidRDefault="004C33E9" w:rsidP="00B23B9A">
      <w:r>
        <w:separator/>
      </w:r>
    </w:p>
  </w:endnote>
  <w:endnote w:type="continuationSeparator" w:id="0">
    <w:p w:rsidR="004C33E9" w:rsidRDefault="004C33E9" w:rsidP="00B2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A8" w:rsidRPr="004F54CD" w:rsidRDefault="003F72A8" w:rsidP="004F54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F54CD" w:rsidRPr="00D94637" w:rsidTr="004F54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F54CD" w:rsidRPr="00D94637" w:rsidRDefault="004F54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F54CD" w:rsidRPr="00B310DC" w:rsidTr="004F54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F54CD" w:rsidRPr="00AD7BF2" w:rsidRDefault="004F54CD" w:rsidP="004F54B2">
          <w:pPr>
            <w:pStyle w:val="FooterText"/>
          </w:pPr>
          <w:r>
            <w:t>16699/14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F54CD" w:rsidRPr="00AD7BF2" w:rsidRDefault="004F54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F54CD" w:rsidRPr="002511D8" w:rsidRDefault="004F54CD" w:rsidP="00D94637">
          <w:pPr>
            <w:pStyle w:val="FooterText"/>
            <w:jc w:val="center"/>
          </w:pPr>
          <w:r>
            <w:t>vt/AGI/nb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F54CD" w:rsidRPr="00B310DC" w:rsidRDefault="004F54C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4F54CD" w:rsidRPr="00D94637" w:rsidTr="004F54CD">
      <w:trPr>
        <w:jc w:val="center"/>
      </w:trPr>
      <w:tc>
        <w:tcPr>
          <w:tcW w:w="1774" w:type="pct"/>
          <w:shd w:val="clear" w:color="auto" w:fill="auto"/>
        </w:tcPr>
        <w:p w:rsidR="004F54CD" w:rsidRPr="00AD7BF2" w:rsidRDefault="004F54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F54CD" w:rsidRPr="00AD7BF2" w:rsidRDefault="004F54C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F54CD" w:rsidRPr="00D94637" w:rsidRDefault="004F54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F54CD" w:rsidRPr="00D94637" w:rsidRDefault="004F54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23B9A" w:rsidRPr="004F54CD" w:rsidRDefault="00B23B9A" w:rsidP="004F54C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F54CD" w:rsidRPr="00D94637" w:rsidTr="004F54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F54CD" w:rsidRPr="00D94637" w:rsidRDefault="004F54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F54CD" w:rsidRPr="00B310DC" w:rsidTr="004F54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F54CD" w:rsidRPr="00AD7BF2" w:rsidRDefault="004F54CD" w:rsidP="004F54B2">
          <w:pPr>
            <w:pStyle w:val="FooterText"/>
          </w:pPr>
          <w:r>
            <w:t>16699/14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F54CD" w:rsidRPr="00AD7BF2" w:rsidRDefault="004F54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F54CD" w:rsidRPr="002511D8" w:rsidRDefault="004F54CD" w:rsidP="00D94637">
          <w:pPr>
            <w:pStyle w:val="FooterText"/>
            <w:jc w:val="center"/>
          </w:pPr>
          <w:r>
            <w:t>vt/AGI/nb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F54CD" w:rsidRPr="00B310DC" w:rsidRDefault="004F54C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F54CD" w:rsidRPr="00D94637" w:rsidTr="004F54CD">
      <w:trPr>
        <w:jc w:val="center"/>
      </w:trPr>
      <w:tc>
        <w:tcPr>
          <w:tcW w:w="1774" w:type="pct"/>
          <w:shd w:val="clear" w:color="auto" w:fill="auto"/>
        </w:tcPr>
        <w:p w:rsidR="004F54CD" w:rsidRPr="00AD7BF2" w:rsidRDefault="004F54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F54CD" w:rsidRPr="00AD7BF2" w:rsidRDefault="004F54C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F54CD" w:rsidRPr="00D94637" w:rsidRDefault="004F54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F54CD" w:rsidRPr="00D94637" w:rsidRDefault="004F54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23B9A" w:rsidRPr="004F54CD" w:rsidRDefault="00B23B9A" w:rsidP="004F54C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E9" w:rsidRDefault="004C33E9" w:rsidP="00B23B9A">
      <w:r>
        <w:separator/>
      </w:r>
    </w:p>
  </w:footnote>
  <w:footnote w:type="continuationSeparator" w:id="0">
    <w:p w:rsidR="004C33E9" w:rsidRDefault="004C33E9" w:rsidP="00B23B9A">
      <w:r>
        <w:continuationSeparator/>
      </w:r>
    </w:p>
  </w:footnote>
  <w:footnote w:id="1">
    <w:p w:rsidR="00565344" w:rsidRPr="00555D80" w:rsidRDefault="00565344" w:rsidP="0056534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 16, параграф 8 от Договора за Европейския съюз), други обсъждания, открити за обществеността, и открити дебати (член 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A8" w:rsidRPr="004F54CD" w:rsidRDefault="003F72A8" w:rsidP="004F54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A8" w:rsidRPr="004F54CD" w:rsidRDefault="003F72A8" w:rsidP="004F54C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A8" w:rsidRPr="004F54CD" w:rsidRDefault="003F72A8" w:rsidP="004F54C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90ada01b-10a5-45a9-bbdf-eb24dcfb8eb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1-2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6699&lt;/text&gt;_x000d__x000a_  &lt;/metadata&gt;_x000d__x000a_  &lt;metadata key=&quot;md_YearDocumentNumber&quot; translate=&quot;false&quot;&gt;_x000d__x000a_    &lt;text&gt;2014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68&lt;/text&gt;_x000d__x000a_      &lt;text&gt;ECOFIN 118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56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48;&amp;#1050;&amp;#1054;&amp;#1053;&amp;#1054;&amp;#1052;&amp;#1048;&amp;#1063;&amp;#1045;&amp;#1057;&amp;#1050;&amp;#1048; &amp;#1048; &amp;#1060;&amp;#1048;&amp;#1053;&amp;#1040;&amp;#1053;&amp;#1057;&amp;#1054;&amp;#1042;&amp;#1048; &amp;#1042;&amp;#1066;&amp;#1055;&amp;#1056;&amp;#1054;&amp;#1057;&amp;#1048;), &amp;#1087;&amp;#1088;&amp;#1086;&amp;#1074;&amp;#1077;&amp;#1076;&amp;#1077;&amp;#1085;&amp;#1086; &amp;#1074; &amp;#1041;&amp;#1088;&amp;#1102;&amp;#1082;&amp;#1089;&amp;#1077;&amp;#1083; &amp;#1085;&amp;#1072; 9 &amp;#1076;&amp;#1077;&amp;#1082;&amp;#1077;&amp;#1084;&amp;#1074;&amp;#1088;&amp;#1080; 2014 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 xml:space=&quot;preserve&quot;&amp;gt;3356-&amp;#1086; &amp;lt;/Run&amp;gt;&amp;lt;Run FontFamily=&quot;Times New Roman&quot; xml:space=&quot;preserve&quot;&amp;gt;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Times New Roman&quot; FontWeight=&quot;Bold&quot;&amp;gt;(&amp;#1048;&amp;#1050;&amp;#1054;&amp;#1053;&amp;#1054;&amp;#1052;&amp;#1048;&amp;#1063;&amp;#1045;&amp;#1057;&amp;#1050;&amp;#1048; &amp;#1048; &amp;#1060;&amp;#1048;&amp;#1053;&amp;#1040;&amp;#1053;&amp;#1057;&amp;#1054;&amp;#1042;&amp;#1048; &amp;#1042;&amp;#1066;&amp;#1055;&amp;#1056;&amp;#1054;&amp;#1057;&amp;#1048;&amp;lt;/Run&amp;gt;&amp;lt;Run FontFamily=&quot;Times New Roman&quot;&amp;gt;), &amp;#1087;&amp;#1088;&amp;#1086;&amp;#1074;&amp;#1077;&amp;#1076;&amp;#1077;&amp;#1085;&amp;#1086; &amp;#1074; &amp;#1041;&amp;#1088;&amp;#1102;&amp;#1082;&amp;#1089;&amp;#1077;&amp;#1083; &amp;#1085;&amp;#1072; 9 &amp;#1076;&amp;#1077;&amp;#1082;&amp;#1077;&amp;#1084;&amp;#1074;&amp;#1088;&amp;#1080; 2014 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t/AGI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B23B9A"/>
    <w:rsid w:val="00010C1D"/>
    <w:rsid w:val="0009656C"/>
    <w:rsid w:val="001443B1"/>
    <w:rsid w:val="00165755"/>
    <w:rsid w:val="00175C51"/>
    <w:rsid w:val="00182F2F"/>
    <w:rsid w:val="001D7C11"/>
    <w:rsid w:val="002A2AE8"/>
    <w:rsid w:val="0036128B"/>
    <w:rsid w:val="003C6E8B"/>
    <w:rsid w:val="003F72A8"/>
    <w:rsid w:val="004751C1"/>
    <w:rsid w:val="004809B1"/>
    <w:rsid w:val="004C33E9"/>
    <w:rsid w:val="004F54CD"/>
    <w:rsid w:val="005157F5"/>
    <w:rsid w:val="00520008"/>
    <w:rsid w:val="00565344"/>
    <w:rsid w:val="00607098"/>
    <w:rsid w:val="0063379B"/>
    <w:rsid w:val="006A38C5"/>
    <w:rsid w:val="006C1AD4"/>
    <w:rsid w:val="006E33E2"/>
    <w:rsid w:val="006F4741"/>
    <w:rsid w:val="0075756A"/>
    <w:rsid w:val="0079157F"/>
    <w:rsid w:val="007A0FC9"/>
    <w:rsid w:val="00825503"/>
    <w:rsid w:val="008323FE"/>
    <w:rsid w:val="008826F8"/>
    <w:rsid w:val="00896D16"/>
    <w:rsid w:val="00932A75"/>
    <w:rsid w:val="00933307"/>
    <w:rsid w:val="009A3B2E"/>
    <w:rsid w:val="00A33A38"/>
    <w:rsid w:val="00A469D7"/>
    <w:rsid w:val="00B23B9A"/>
    <w:rsid w:val="00B56AF3"/>
    <w:rsid w:val="00B732B9"/>
    <w:rsid w:val="00B83527"/>
    <w:rsid w:val="00BE1373"/>
    <w:rsid w:val="00C562DC"/>
    <w:rsid w:val="00D451E4"/>
    <w:rsid w:val="00D47685"/>
    <w:rsid w:val="00E54C31"/>
    <w:rsid w:val="00F528DF"/>
    <w:rsid w:val="00FC4670"/>
    <w:rsid w:val="00FE5736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7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7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79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3B9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link w:val="TechnicalBlock"/>
    <w:rsid w:val="00B23B9A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link w:val="HeaderCouncilLarge"/>
    <w:rsid w:val="00B23B9A"/>
    <w:rPr>
      <w:sz w:val="2"/>
      <w:szCs w:val="24"/>
    </w:rPr>
  </w:style>
  <w:style w:type="paragraph" w:customStyle="1" w:styleId="FooterText">
    <w:name w:val="Footer Text"/>
    <w:basedOn w:val="Normal"/>
    <w:rsid w:val="00B23B9A"/>
  </w:style>
  <w:style w:type="character" w:customStyle="1" w:styleId="FootnoteTextChar">
    <w:name w:val="Footnote Text Char"/>
    <w:link w:val="FootnoteText"/>
    <w:rsid w:val="00565344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565344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rsid w:val="00C562DC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C562DC"/>
    <w:rPr>
      <w:sz w:val="24"/>
      <w:szCs w:val="24"/>
      <w:lang w:val="bg-BG" w:eastAsia="bg-BG"/>
    </w:rPr>
  </w:style>
  <w:style w:type="paragraph" w:customStyle="1" w:styleId="Personnequisigne">
    <w:name w:val="Personne qui signe"/>
    <w:basedOn w:val="Normal"/>
    <w:next w:val="Normal"/>
    <w:rsid w:val="00C562DC"/>
    <w:pPr>
      <w:tabs>
        <w:tab w:val="left" w:pos="5669"/>
      </w:tabs>
      <w:spacing w:line="360" w:lineRule="auto"/>
    </w:pPr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7685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685"/>
    <w:rPr>
      <w:b/>
      <w:bCs/>
      <w:lang w:val="bg-BG" w:eastAsia="bg-BG"/>
    </w:rPr>
  </w:style>
  <w:style w:type="character" w:styleId="Hyperlink">
    <w:name w:val="Hyperlink"/>
    <w:uiPriority w:val="99"/>
    <w:unhideWhenUsed/>
    <w:rsid w:val="00D47685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F6793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link w:val="Heading2"/>
    <w:uiPriority w:val="9"/>
    <w:semiHidden/>
    <w:rsid w:val="00FF6793"/>
    <w:rPr>
      <w:rFonts w:ascii="Cambria" w:eastAsia="Times New Roman" w:hAnsi="Cambria" w:cs="Times New Roman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link w:val="Heading3"/>
    <w:uiPriority w:val="9"/>
    <w:semiHidden/>
    <w:rsid w:val="00FF6793"/>
    <w:rPr>
      <w:rFonts w:ascii="Cambria" w:eastAsia="Times New Roman" w:hAnsi="Cambria" w:cs="Times New Roman"/>
      <w:b/>
      <w:bCs/>
      <w:sz w:val="26"/>
      <w:szCs w:val="26"/>
      <w:lang w:val="bg-BG" w:eastAsia="bg-BG"/>
    </w:rPr>
  </w:style>
  <w:style w:type="character" w:customStyle="1" w:styleId="Heading4Char">
    <w:name w:val="Heading 4 Char"/>
    <w:link w:val="Heading4"/>
    <w:uiPriority w:val="9"/>
    <w:semiHidden/>
    <w:rsid w:val="00FF6793"/>
    <w:rPr>
      <w:rFonts w:ascii="Calibri" w:eastAsia="Times New Roman" w:hAnsi="Calibri" w:cs="Arial"/>
      <w:b/>
      <w:bCs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D17A-972B-4CB4-AE9C-8384C638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PERDIGAO Carmo</dc:creator>
  <cp:keywords/>
  <cp:lastModifiedBy>BORANOVA Nevina</cp:lastModifiedBy>
  <cp:revision>4</cp:revision>
  <cp:lastPrinted>2015-01-22T14:32:00Z</cp:lastPrinted>
  <dcterms:created xsi:type="dcterms:W3CDTF">2015-02-02T13:52:00Z</dcterms:created>
  <dcterms:modified xsi:type="dcterms:W3CDTF">2015-02-02T13:54:00Z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3.3.1, Build 20150112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