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38" w:rsidRPr="00CE4F9F" w:rsidRDefault="007039B7" w:rsidP="00CE4F9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2ecf75f-9556-4924-a84a-f3a3becf7db3" style="width:568.5pt;height:356.25pt">
            <v:imagedata r:id="rId9" o:title=""/>
          </v:shape>
        </w:pict>
      </w:r>
      <w:bookmarkEnd w:id="0"/>
    </w:p>
    <w:p w:rsidR="00D30F99" w:rsidRPr="0018449D" w:rsidRDefault="00D30F99">
      <w:pPr>
        <w:sectPr w:rsidR="00D30F99" w:rsidRPr="0018449D" w:rsidSect="00D6477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DF5568" w:rsidRPr="0018449D" w:rsidRDefault="00DF5568" w:rsidP="00B639C5">
      <w:pPr>
        <w:pStyle w:val="Typedudocument"/>
      </w:pPr>
      <w:r w:rsidRPr="0018449D">
        <w:lastRenderedPageBreak/>
        <w:t>RÈGLEMENT (UE) 2015/…</w:t>
      </w:r>
      <w:r w:rsidRPr="0018449D">
        <w:br/>
        <w:t>DU PARLEMENT EUROPÉEN ET DU CONSEIL</w:t>
      </w:r>
    </w:p>
    <w:p w:rsidR="00DF5568" w:rsidRPr="0018449D" w:rsidRDefault="00DF5568" w:rsidP="0018449D">
      <w:pPr>
        <w:pStyle w:val="Datedadoption"/>
      </w:pPr>
      <w:r w:rsidRPr="0018449D">
        <w:t>du</w:t>
      </w:r>
      <w:r w:rsidR="006F42BA" w:rsidRPr="0018449D">
        <w:t xml:space="preserve"> …</w:t>
      </w:r>
    </w:p>
    <w:p w:rsidR="00DF5568" w:rsidRPr="0018449D" w:rsidRDefault="00DF5568" w:rsidP="0018449D">
      <w:pPr>
        <w:pStyle w:val="Titreobjet"/>
      </w:pPr>
      <w:r w:rsidRPr="0018449D">
        <w:t>sur les informations accompagnant les transferts de fonds</w:t>
      </w:r>
      <w:r w:rsidR="006F42BA" w:rsidRPr="0018449D">
        <w:br/>
      </w:r>
      <w:r w:rsidR="00761CE7" w:rsidRPr="0018449D">
        <w:t>et</w:t>
      </w:r>
      <w:r w:rsidR="006F42BA" w:rsidRPr="0018449D">
        <w:t xml:space="preserve"> abrogeant le règlement (CE) n° </w:t>
      </w:r>
      <w:r w:rsidR="00761CE7" w:rsidRPr="0018449D">
        <w:t>1781/2006</w:t>
      </w:r>
    </w:p>
    <w:p w:rsidR="00DF5568" w:rsidRPr="0018449D" w:rsidRDefault="00DF5568" w:rsidP="0018449D">
      <w:pPr>
        <w:pStyle w:val="Sous-titreobjet"/>
      </w:pPr>
      <w:r w:rsidRPr="0018449D">
        <w:t>(Texte présentant de l'intérêt pour l'EEE)</w:t>
      </w:r>
    </w:p>
    <w:p w:rsidR="00DF5568" w:rsidRPr="0018449D" w:rsidRDefault="00DF5568" w:rsidP="0018449D">
      <w:pPr>
        <w:pStyle w:val="Institutionquiagit"/>
      </w:pPr>
      <w:r w:rsidRPr="0018449D">
        <w:t>LE PARLEMENT EUROPÉEN ET LE CONSEIL DE L'UNION EUROPÉENNE,</w:t>
      </w:r>
    </w:p>
    <w:p w:rsidR="00DF5568" w:rsidRPr="006D4F73" w:rsidRDefault="00DF5568" w:rsidP="0018449D">
      <w:r w:rsidRPr="006D4F73">
        <w:t>vu le traité sur le fonctionnement de l'Union européenne, et notamment son article 114,</w:t>
      </w:r>
    </w:p>
    <w:p w:rsidR="00DF5568" w:rsidRPr="006D4F73" w:rsidRDefault="00DF5568" w:rsidP="0018449D">
      <w:r w:rsidRPr="006D4F73">
        <w:t>vu la proposition de la Commission européenne,</w:t>
      </w:r>
    </w:p>
    <w:p w:rsidR="00DF5568" w:rsidRPr="006D4F73" w:rsidRDefault="00DF5568" w:rsidP="0018449D">
      <w:r w:rsidRPr="006D4F73">
        <w:t>après transmission du projet d'acte législatif aux parlements nationaux,</w:t>
      </w:r>
    </w:p>
    <w:p w:rsidR="00DF5568" w:rsidRDefault="00DF5568" w:rsidP="0018449D">
      <w:r w:rsidRPr="006D4F73">
        <w:t>vu l'avis de la Banque centrale européenne</w:t>
      </w:r>
      <w:r w:rsidR="00D160AF">
        <w:rPr>
          <w:rStyle w:val="FootnoteReference"/>
        </w:rPr>
        <w:footnoteReference w:id="1"/>
      </w:r>
      <w:r w:rsidRPr="006D4F73">
        <w:t>,</w:t>
      </w:r>
    </w:p>
    <w:p w:rsidR="00DF5568" w:rsidRPr="006D4F73" w:rsidRDefault="00761CE7" w:rsidP="0018449D">
      <w:r>
        <w:t>Après consultation</w:t>
      </w:r>
      <w:r w:rsidR="00DF5568" w:rsidRPr="006D4F73">
        <w:t xml:space="preserve"> du Comité économique et social européen,</w:t>
      </w:r>
    </w:p>
    <w:p w:rsidR="00DF5568" w:rsidRPr="006D4F73" w:rsidRDefault="00DF5568" w:rsidP="0018449D">
      <w:r w:rsidRPr="006D4F73">
        <w:t>statuant conformément à la procédure législative ordinaire</w:t>
      </w:r>
      <w:r w:rsidR="00761CE7">
        <w:rPr>
          <w:rStyle w:val="FootnoteReference"/>
        </w:rPr>
        <w:footnoteReference w:id="2"/>
      </w:r>
      <w:r w:rsidRPr="006D4F73">
        <w:t>,</w:t>
      </w:r>
    </w:p>
    <w:p w:rsidR="00DF5568" w:rsidRPr="006D4F73" w:rsidRDefault="00DF5568" w:rsidP="0018449D">
      <w:r>
        <w:br w:type="page"/>
      </w:r>
      <w:r w:rsidRPr="006D4F73">
        <w:lastRenderedPageBreak/>
        <w:t>considérant ce qui suit:</w:t>
      </w:r>
    </w:p>
    <w:p w:rsidR="00DF5568" w:rsidRPr="006D4F73" w:rsidRDefault="00DF5568" w:rsidP="0018449D">
      <w:pPr>
        <w:pStyle w:val="ManualConsidrant"/>
      </w:pPr>
      <w:r w:rsidRPr="006D4F73">
        <w:t>(1)</w:t>
      </w:r>
      <w:r w:rsidRPr="006D4F73">
        <w:tab/>
        <w:t xml:space="preserve">Les flux d'argent illicite circulant par l'intermédiaire de </w:t>
      </w:r>
      <w:r>
        <w:t>transferts de fonds peuvent nuire à </w:t>
      </w:r>
      <w:r w:rsidRPr="006D4F73">
        <w:t>l'intégrité, à la stabilité et à la réputation du secteur financier et menacer le marché intérieur</w:t>
      </w:r>
      <w:r>
        <w:t xml:space="preserve"> de l'Union</w:t>
      </w:r>
      <w:r w:rsidRPr="006D4F73">
        <w:t xml:space="preserve">, ainsi que le développement international. Le blanchiment de capitaux, le </w:t>
      </w:r>
      <w:r>
        <w:t xml:space="preserve">financement du terrorisme et </w:t>
      </w:r>
      <w:r w:rsidRPr="006D4F73">
        <w:t xml:space="preserve">la criminalité organisée demeurent des problèmes majeurs, auxquels il convient de trouver une réponse au niveau de l'Union. La solidité, l'intégrité et la stabilité du système des </w:t>
      </w:r>
      <w:r>
        <w:t>transferts de </w:t>
      </w:r>
      <w:r w:rsidRPr="006D4F73">
        <w:t xml:space="preserve">fonds, ainsi que la confiance dans l'ensemble du système financier pourraient être gravement compromises par les tentatives des criminels et de leurs complices de masquer l'origine des produits du crime ou de </w:t>
      </w:r>
      <w:r>
        <w:t>transférer</w:t>
      </w:r>
      <w:r w:rsidRPr="006D4F73">
        <w:t xml:space="preserve"> des fonds pour des activités criminelles ou à des fins terroristes.</w:t>
      </w:r>
    </w:p>
    <w:p w:rsidR="00DF5568" w:rsidRPr="006D4F73" w:rsidRDefault="00DF5568" w:rsidP="0018449D">
      <w:pPr>
        <w:pStyle w:val="ManualConsidrant"/>
      </w:pPr>
      <w:r w:rsidRPr="006D4F73">
        <w:t>(2)</w:t>
      </w:r>
      <w:r w:rsidRPr="006D4F73">
        <w:tab/>
        <w:t xml:space="preserve">Pour </w:t>
      </w:r>
      <w:r w:rsidR="008123C4">
        <w:t>faciliter l'exercice de</w:t>
      </w:r>
      <w:r w:rsidRPr="006D4F73">
        <w:t xml:space="preserve"> leurs activités criminelles, les</w:t>
      </w:r>
      <w:r>
        <w:t xml:space="preserve"> criminels qui blanchissent des </w:t>
      </w:r>
      <w:r w:rsidRPr="006D4F73">
        <w:t xml:space="preserve">capitaux et </w:t>
      </w:r>
      <w:r w:rsidR="00BF7A93">
        <w:t>ceux</w:t>
      </w:r>
      <w:r w:rsidRPr="006D4F73">
        <w:t xml:space="preserve"> qui financent le terrorisme </w:t>
      </w:r>
      <w:r w:rsidR="00761CE7">
        <w:t xml:space="preserve">sont susceptibles de </w:t>
      </w:r>
      <w:r w:rsidRPr="006D4F73">
        <w:t>profite</w:t>
      </w:r>
      <w:r>
        <w:t>r</w:t>
      </w:r>
      <w:r w:rsidRPr="006D4F73">
        <w:t xml:space="preserve"> de la libre circulation des capitaux </w:t>
      </w:r>
      <w:r>
        <w:t>au sein</w:t>
      </w:r>
      <w:r w:rsidRPr="006D4F73">
        <w:t xml:space="preserve"> de l'espace financier</w:t>
      </w:r>
      <w:r>
        <w:t xml:space="preserve"> </w:t>
      </w:r>
      <w:r w:rsidR="006C31A1">
        <w:t xml:space="preserve">intégré </w:t>
      </w:r>
      <w:r>
        <w:t>de l'Union</w:t>
      </w:r>
      <w:r w:rsidRPr="006D4F73">
        <w:t xml:space="preserve">, à moins que des mesures de coordination ne soient prises au niveau de l'Union. La coopération internationale dans le cadre du Groupe d'action financière internationale (GAFI) et la mise en œuvre à l'échelle mondiale </w:t>
      </w:r>
      <w:r>
        <w:t>de ses recommandations visent à </w:t>
      </w:r>
      <w:r w:rsidRPr="006D4F73">
        <w:t xml:space="preserve">prévenir le blanchiment </w:t>
      </w:r>
      <w:r w:rsidR="006C31A1">
        <w:t>de capitaux</w:t>
      </w:r>
      <w:r w:rsidR="006C31A1" w:rsidRPr="006D4F73">
        <w:t xml:space="preserve"> </w:t>
      </w:r>
      <w:r w:rsidRPr="006D4F73">
        <w:t xml:space="preserve">et le financement du terrorisme lors des </w:t>
      </w:r>
      <w:r>
        <w:t>transferts</w:t>
      </w:r>
      <w:r w:rsidRPr="006D4F73">
        <w:t xml:space="preserve"> de fonds.</w:t>
      </w:r>
    </w:p>
    <w:p w:rsidR="00DF5568" w:rsidRDefault="00DF5568" w:rsidP="0018449D">
      <w:pPr>
        <w:pStyle w:val="ManualConsidrant"/>
      </w:pPr>
      <w:r>
        <w:br w:type="page"/>
      </w:r>
      <w:r w:rsidR="00AB339A">
        <w:lastRenderedPageBreak/>
        <w:t>(3)</w:t>
      </w:r>
      <w:r w:rsidR="00AB339A">
        <w:tab/>
        <w:t>En raison de l</w:t>
      </w:r>
      <w:r w:rsidRPr="006D4F73">
        <w:t>a portée</w:t>
      </w:r>
      <w:r w:rsidR="00AB339A">
        <w:t xml:space="preserve"> de</w:t>
      </w:r>
      <w:r w:rsidRPr="006D4F73">
        <w:t xml:space="preserve"> l'action </w:t>
      </w:r>
      <w:r w:rsidR="00AB339A">
        <w:t>à entreprendre,</w:t>
      </w:r>
      <w:r w:rsidRPr="006D4F73">
        <w:t xml:space="preserve"> l'Union devrait assurer </w:t>
      </w:r>
      <w:r w:rsidR="00AB339A">
        <w:t xml:space="preserve">que les </w:t>
      </w:r>
      <w:r w:rsidR="00AB339A" w:rsidRPr="006D4F73">
        <w:t>normes internationales sur la</w:t>
      </w:r>
      <w:r w:rsidR="0018449D">
        <w:t xml:space="preserve"> lutte contre le blanchiment de </w:t>
      </w:r>
      <w:r w:rsidR="00AB339A" w:rsidRPr="006D4F73">
        <w:t>capitaux et le financement du terrorisme et de la prolifération</w:t>
      </w:r>
      <w:r w:rsidR="00AB339A">
        <w:t xml:space="preserve"> adoptées par le GAFI le 16 février 2012 (ci-après dénommées "recommandations révisées du GAFI"), et notamment</w:t>
      </w:r>
      <w:r w:rsidRPr="006D4F73">
        <w:t xml:space="preserve"> la recommandation n° 16 du </w:t>
      </w:r>
      <w:r>
        <w:t>GAFI sur les </w:t>
      </w:r>
      <w:r w:rsidRPr="006D4F73">
        <w:t>virements électroniques</w:t>
      </w:r>
      <w:r w:rsidR="00AB339A">
        <w:t xml:space="preserve"> (ci-après dénommée "recommandatio</w:t>
      </w:r>
      <w:r w:rsidR="0018449D">
        <w:t>n n° </w:t>
      </w:r>
      <w:r w:rsidR="00AB339A">
        <w:t xml:space="preserve">16 du GAFI") et la note interprétative révisée pour sa mise en œuvre sont </w:t>
      </w:r>
      <w:r w:rsidR="004A1A9B">
        <w:t xml:space="preserve">mises en </w:t>
      </w:r>
      <w:r w:rsidR="000E0951">
        <w:t>œuvre</w:t>
      </w:r>
      <w:r w:rsidR="00AB339A">
        <w:t xml:space="preserve"> de façon uniforme sur l'ensemble du territoire de l'Union</w:t>
      </w:r>
      <w:r w:rsidRPr="006D4F73">
        <w:t xml:space="preserve"> et</w:t>
      </w:r>
      <w:r w:rsidR="00AB339A">
        <w:t xml:space="preserve"> qu'il n'existe</w:t>
      </w:r>
      <w:r w:rsidRPr="006D4F73">
        <w:t xml:space="preserve"> notamment </w:t>
      </w:r>
      <w:r w:rsidR="00AB339A">
        <w:t>pas</w:t>
      </w:r>
      <w:r w:rsidRPr="006D4F73">
        <w:t xml:space="preserve"> de </w:t>
      </w:r>
      <w:r>
        <w:t>discrimination</w:t>
      </w:r>
      <w:r w:rsidRPr="006D4F73">
        <w:t xml:space="preserve"> ou de divergence entre</w:t>
      </w:r>
      <w:r w:rsidR="00AB339A">
        <w:t>, d'une part,</w:t>
      </w:r>
      <w:r w:rsidRPr="006D4F73">
        <w:t xml:space="preserve"> les paiements nationaux effectués au sein d'un État membre et</w:t>
      </w:r>
      <w:r w:rsidR="00AB339A">
        <w:t>, d'autre part,</w:t>
      </w:r>
      <w:r w:rsidRPr="006D4F73">
        <w:t xml:space="preserve"> les paiements transfront</w:t>
      </w:r>
      <w:r w:rsidR="006C31A1">
        <w:t>aliers</w:t>
      </w:r>
      <w:r w:rsidRPr="006D4F73">
        <w:t xml:space="preserve">, qui ont lieu entre États membres. Des mesures </w:t>
      </w:r>
      <w:r>
        <w:t xml:space="preserve">non coordonnées </w:t>
      </w:r>
      <w:r w:rsidR="0018449D">
        <w:t>adoptées par les États </w:t>
      </w:r>
      <w:r w:rsidRPr="006D4F73">
        <w:t>membres</w:t>
      </w:r>
      <w:r>
        <w:t xml:space="preserve"> agissant seuls</w:t>
      </w:r>
      <w:r w:rsidRPr="006D4F73">
        <w:t xml:space="preserve"> dans le domaine des </w:t>
      </w:r>
      <w:r>
        <w:t>transferts</w:t>
      </w:r>
      <w:r w:rsidRPr="006D4F73">
        <w:t xml:space="preserve"> de fonds transfront</w:t>
      </w:r>
      <w:r w:rsidR="006C31A1">
        <w:t>aliers</w:t>
      </w:r>
      <w:r w:rsidRPr="006D4F73">
        <w:t xml:space="preserve"> pourraient avoir des répercussions importantes sur le bon fonctionnement des systèmes de paiement au niveau de l'Union et</w:t>
      </w:r>
      <w:r w:rsidR="00AB339A">
        <w:t xml:space="preserve"> pourraient</w:t>
      </w:r>
      <w:r w:rsidRPr="006D4F73">
        <w:t xml:space="preserve"> porter ainsi atteinte au marché intérieur des services financiers.</w:t>
      </w:r>
    </w:p>
    <w:p w:rsidR="00AB339A" w:rsidRPr="0018449D" w:rsidRDefault="0018449D" w:rsidP="0018449D">
      <w:pPr>
        <w:pStyle w:val="ManualConsidrant"/>
      </w:pPr>
      <w:r w:rsidRPr="0018449D">
        <w:t>(4)</w:t>
      </w:r>
      <w:r w:rsidRPr="0018449D">
        <w:tab/>
      </w:r>
      <w:r w:rsidR="00AB339A" w:rsidRPr="0018449D">
        <w:t>Afin de promouvoir une approche cohérente au niveau international et d'augmenter l'efficacité de la lutte contre le blanchiment de capitaux et le financement du terrorisme, il convient que toute nouvelle initiative de l'Union tienne compte des avancées intervenues au niveau international, à savoir les recommandations révisées du GAFI.</w:t>
      </w:r>
    </w:p>
    <w:p w:rsidR="00DF5568" w:rsidRPr="006D4F73" w:rsidRDefault="00DF5568" w:rsidP="0018449D">
      <w:pPr>
        <w:pStyle w:val="ManualConsidrant"/>
      </w:pPr>
      <w:r w:rsidRPr="006D4F73">
        <w:t>(</w:t>
      </w:r>
      <w:r w:rsidR="006C31A1">
        <w:t>5</w:t>
      </w:r>
      <w:r>
        <w:t>)</w:t>
      </w:r>
      <w:r>
        <w:tab/>
      </w:r>
      <w:r w:rsidRPr="006C31A1">
        <w:t>Appliquer et faire respecter</w:t>
      </w:r>
      <w:r w:rsidRPr="006D4F73">
        <w:t xml:space="preserve"> le présent règlement, y compris la recommandation n° 16 du GAFI, sont des </w:t>
      </w:r>
      <w:r w:rsidR="006C31A1">
        <w:t>moyens</w:t>
      </w:r>
      <w:r w:rsidR="006C31A1" w:rsidRPr="006D4F73">
        <w:t xml:space="preserve"> </w:t>
      </w:r>
      <w:r w:rsidRPr="006D4F73">
        <w:t xml:space="preserve">utiles et efficaces pour prévenir le blanchiment </w:t>
      </w:r>
      <w:r w:rsidR="006C31A1">
        <w:t>de capitaux</w:t>
      </w:r>
      <w:r w:rsidR="006C31A1" w:rsidRPr="006D4F73">
        <w:t xml:space="preserve"> </w:t>
      </w:r>
      <w:r w:rsidRPr="006D4F73">
        <w:t>et le financement du terrorisme, et lutter contre ces phénomènes.</w:t>
      </w:r>
    </w:p>
    <w:p w:rsidR="00DF5568" w:rsidRPr="006D4F73" w:rsidRDefault="00DF5568" w:rsidP="0018449D">
      <w:pPr>
        <w:pStyle w:val="ManualConsidrant"/>
      </w:pPr>
      <w:r w:rsidRPr="006D4F73">
        <w:br w:type="page"/>
      </w:r>
      <w:r w:rsidR="00556A3B">
        <w:lastRenderedPageBreak/>
        <w:t>(</w:t>
      </w:r>
      <w:r w:rsidR="006C31A1">
        <w:t>6</w:t>
      </w:r>
      <w:r w:rsidR="00556A3B">
        <w:t>)</w:t>
      </w:r>
      <w:r w:rsidR="00556A3B">
        <w:tab/>
      </w:r>
      <w:r w:rsidRPr="006D4F73">
        <w:t xml:space="preserve">Le présent règlement n'est pas censé imposer des charges </w:t>
      </w:r>
      <w:r>
        <w:t xml:space="preserve">ou </w:t>
      </w:r>
      <w:r w:rsidRPr="006D4F73">
        <w:t>des coû</w:t>
      </w:r>
      <w:r>
        <w:t>ts inutiles aux prestataires de </w:t>
      </w:r>
      <w:r w:rsidRPr="006D4F73">
        <w:t xml:space="preserve">services de paiement </w:t>
      </w:r>
      <w:r w:rsidR="00556A3B">
        <w:t>ou</w:t>
      </w:r>
      <w:r w:rsidR="00556A3B" w:rsidRPr="006D4F73">
        <w:t xml:space="preserve"> </w:t>
      </w:r>
      <w:r w:rsidRPr="006D4F73">
        <w:t>aux personnes qui utilisent leurs services</w:t>
      </w:r>
      <w:r>
        <w:t>.</w:t>
      </w:r>
      <w:r w:rsidRPr="006D4F73">
        <w:t xml:space="preserve"> </w:t>
      </w:r>
      <w:r>
        <w:t>À</w:t>
      </w:r>
      <w:r w:rsidRPr="006D4F73">
        <w:t xml:space="preserve"> cet égard, l'approche préventive devrait être ciblée</w:t>
      </w:r>
      <w:r w:rsidR="00736178">
        <w:t xml:space="preserve"> et</w:t>
      </w:r>
      <w:r w:rsidRPr="006D4F73">
        <w:t xml:space="preserve"> proportionnée et</w:t>
      </w:r>
      <w:r w:rsidR="00736178">
        <w:t xml:space="preserve"> devrait être</w:t>
      </w:r>
      <w:r w:rsidRPr="006D4F73">
        <w:t xml:space="preserve"> pleinement compatibl</w:t>
      </w:r>
      <w:r>
        <w:t>e avec la libre circulation des </w:t>
      </w:r>
      <w:r w:rsidRPr="006D4F73">
        <w:t>capitaux</w:t>
      </w:r>
      <w:r w:rsidR="00556A3B">
        <w:t>, qui est</w:t>
      </w:r>
      <w:r w:rsidRPr="006D4F73">
        <w:t xml:space="preserve"> garantie dans toute l'Union.</w:t>
      </w:r>
    </w:p>
    <w:p w:rsidR="00DF5568" w:rsidRPr="006D4F73" w:rsidRDefault="00DF5568" w:rsidP="00024641">
      <w:pPr>
        <w:pStyle w:val="ManualConsidrant"/>
      </w:pPr>
      <w:r w:rsidRPr="006D4F73">
        <w:t>(</w:t>
      </w:r>
      <w:r w:rsidR="006C31A1">
        <w:t>7</w:t>
      </w:r>
      <w:r w:rsidRPr="006D4F73">
        <w:t>)</w:t>
      </w:r>
      <w:r w:rsidRPr="006D4F73">
        <w:tab/>
        <w:t>La stratégie révisée de lutte contre le financement du te</w:t>
      </w:r>
      <w:r>
        <w:t>rrorisme adoptée par l'Union le </w:t>
      </w:r>
      <w:r w:rsidRPr="006D4F73">
        <w:t xml:space="preserve">17 juillet 2008 </w:t>
      </w:r>
      <w:r w:rsidR="00556A3B">
        <w:t xml:space="preserve">(ci-après dénommée "stratégie révisée") </w:t>
      </w:r>
      <w:r w:rsidRPr="006D4F73">
        <w:t>a souligné qu'il fallait maintenir les efforts pour prévenir le financement du terrorisme et contrôler l'utilisation que font les terroristes présumés de leurs propres ressources financières. Il y est reconnu que le GAFI s'efforce sans cesse d'a</w:t>
      </w:r>
      <w:r>
        <w:t>méliorer ses recommandations et </w:t>
      </w:r>
      <w:r w:rsidRPr="006D4F73">
        <w:t>s'emploie à dégager une communauté de vues sur la manière de les mettre en œuvre. Il est également observé</w:t>
      </w:r>
      <w:r w:rsidR="00556A3B">
        <w:t>, dans la stratégie révisée,</w:t>
      </w:r>
      <w:r w:rsidRPr="006D4F73">
        <w:t xml:space="preserve"> que la mise en œuvre de</w:t>
      </w:r>
      <w:r w:rsidR="00556A3B">
        <w:t>s</w:t>
      </w:r>
      <w:r w:rsidRPr="006D4F73">
        <w:t xml:space="preserve"> recommandations </w:t>
      </w:r>
      <w:r w:rsidR="00556A3B">
        <w:t xml:space="preserve">révisées du GAFI </w:t>
      </w:r>
      <w:r w:rsidRPr="006D4F73">
        <w:t>par tous les membres du GAFI et par les membres d'organismes régionaux comparables au GAFI est évaluée périodiquement et qu</w:t>
      </w:r>
      <w:r w:rsidR="00556A3B">
        <w:t>'</w:t>
      </w:r>
      <w:r w:rsidRPr="006D4F73">
        <w:t>il est</w:t>
      </w:r>
      <w:r w:rsidR="00556A3B">
        <w:t xml:space="preserve"> donc</w:t>
      </w:r>
      <w:r w:rsidRPr="006D4F73">
        <w:t xml:space="preserve"> important que les États membres adop</w:t>
      </w:r>
      <w:r w:rsidR="00024641">
        <w:t xml:space="preserve">tent une approche commune en </w:t>
      </w:r>
      <w:r>
        <w:t>la</w:t>
      </w:r>
      <w:r w:rsidR="00024641">
        <w:t xml:space="preserve"> </w:t>
      </w:r>
      <w:r w:rsidRPr="006D4F73">
        <w:t>matière.</w:t>
      </w:r>
    </w:p>
    <w:p w:rsidR="00DF5568" w:rsidRPr="006D4F73" w:rsidRDefault="00DF5568" w:rsidP="000E0951">
      <w:pPr>
        <w:pStyle w:val="ManualConsidrant"/>
      </w:pPr>
      <w:r w:rsidRPr="006D4F73">
        <w:br w:type="page"/>
      </w:r>
      <w:r w:rsidRPr="006D4F73">
        <w:lastRenderedPageBreak/>
        <w:t>(</w:t>
      </w:r>
      <w:r w:rsidR="006C31A1">
        <w:t>8</w:t>
      </w:r>
      <w:r w:rsidRPr="006D4F73">
        <w:t>)</w:t>
      </w:r>
      <w:r w:rsidRPr="006D4F73">
        <w:tab/>
        <w:t>Afin de prévenir le financement du terrorisme, des mesures visant à geler les fonds et les ressources économiques de certaines personnes, de certains groupes et de certaines entités ont été prises, notamment le</w:t>
      </w:r>
      <w:r>
        <w:t>s</w:t>
      </w:r>
      <w:r w:rsidRPr="006D4F73">
        <w:t xml:space="preserve"> règlement</w:t>
      </w:r>
      <w:r>
        <w:t>s</w:t>
      </w:r>
      <w:r w:rsidRPr="006D4F73">
        <w:t xml:space="preserve"> </w:t>
      </w:r>
      <w:r w:rsidR="006C31A1" w:rsidRPr="006D4F73">
        <w:t xml:space="preserve">du Conseil </w:t>
      </w:r>
      <w:r w:rsidRPr="006D4F73">
        <w:t>(CE) n° 2580/2001</w:t>
      </w:r>
      <w:r w:rsidRPr="000E0951">
        <w:rPr>
          <w:rStyle w:val="FootnoteReference"/>
        </w:rPr>
        <w:footnoteReference w:id="3"/>
      </w:r>
      <w:r w:rsidRPr="006D4F73">
        <w:t xml:space="preserve">, </w:t>
      </w:r>
      <w:r w:rsidR="00024641">
        <w:t>(CE) n° </w:t>
      </w:r>
      <w:r w:rsidRPr="006D4F73">
        <w:t>881/2002</w:t>
      </w:r>
      <w:r w:rsidRPr="000E0951">
        <w:rPr>
          <w:rStyle w:val="FootnoteReference"/>
        </w:rPr>
        <w:footnoteReference w:id="4"/>
      </w:r>
      <w:r w:rsidRPr="006D4F73">
        <w:t xml:space="preserve"> et </w:t>
      </w:r>
      <w:r w:rsidR="006C31A1">
        <w:t>(</w:t>
      </w:r>
      <w:r w:rsidR="004A1A9B">
        <w:t>U</w:t>
      </w:r>
      <w:r w:rsidR="006C31A1">
        <w:t xml:space="preserve">E) n° </w:t>
      </w:r>
      <w:r w:rsidRPr="006D4F73">
        <w:t>356/2010</w:t>
      </w:r>
      <w:r w:rsidRPr="000E0951">
        <w:rPr>
          <w:rStyle w:val="FootnoteReference"/>
        </w:rPr>
        <w:footnoteReference w:id="5"/>
      </w:r>
      <w:r w:rsidRPr="006D4F73">
        <w:t xml:space="preserve">. Dans le même but, des mesures </w:t>
      </w:r>
      <w:r w:rsidR="000E6317">
        <w:t>visant à</w:t>
      </w:r>
      <w:r w:rsidRPr="006D4F73">
        <w:t xml:space="preserve"> protéger le système financier contre l'acheminement de fonds et de ressources économiques à des fins terroristes</w:t>
      </w:r>
      <w:r w:rsidR="000E6317">
        <w:t xml:space="preserve"> ont également été prises</w:t>
      </w:r>
      <w:r w:rsidRPr="006D4F73">
        <w:t>. La directive (UE) 2015</w:t>
      </w:r>
      <w:r>
        <w:t>/</w:t>
      </w:r>
      <w:r w:rsidRPr="006D4F73">
        <w:t>...</w:t>
      </w:r>
      <w:r w:rsidR="005C7712">
        <w:t xml:space="preserve"> </w:t>
      </w:r>
      <w:r w:rsidR="00024641">
        <w:t xml:space="preserve">du Parlement européen et du </w:t>
      </w:r>
      <w:r w:rsidRPr="006D4F73">
        <w:t>Conseil</w:t>
      </w:r>
      <w:r w:rsidRPr="000E0951">
        <w:rPr>
          <w:rStyle w:val="FootnoteReference"/>
        </w:rPr>
        <w:footnoteReference w:id="6"/>
      </w:r>
      <w:r>
        <w:rPr>
          <w:rStyle w:val="FootnoteReference"/>
        </w:rPr>
        <w:footnoteReference w:customMarkFollows="1" w:id="7"/>
        <w:t>*</w:t>
      </w:r>
      <w:r>
        <w:t xml:space="preserve"> </w:t>
      </w:r>
      <w:r w:rsidRPr="006D4F73">
        <w:t xml:space="preserve">contient un certain nombre de mesures de ce type. Ces mesures ne sont toutefois pas suffisantes pour empêcher les terroristes </w:t>
      </w:r>
      <w:r w:rsidR="000E6317">
        <w:t>ou</w:t>
      </w:r>
      <w:r w:rsidR="000E6317" w:rsidRPr="006D4F73">
        <w:t xml:space="preserve"> </w:t>
      </w:r>
      <w:r w:rsidRPr="006D4F73">
        <w:t xml:space="preserve">autres criminels d'accéder aux systèmes de paiement pour </w:t>
      </w:r>
      <w:r>
        <w:t>transférer</w:t>
      </w:r>
      <w:r w:rsidRPr="006D4F73">
        <w:t xml:space="preserve"> leurs fonds.</w:t>
      </w:r>
    </w:p>
    <w:p w:rsidR="00DF5568" w:rsidRPr="006D4F73" w:rsidRDefault="00DF5568" w:rsidP="0018449D">
      <w:pPr>
        <w:pStyle w:val="ManualConsidrant"/>
      </w:pPr>
      <w:r>
        <w:br w:type="page"/>
      </w:r>
      <w:r w:rsidRPr="006D4F73">
        <w:lastRenderedPageBreak/>
        <w:t>(</w:t>
      </w:r>
      <w:r w:rsidR="000E6317">
        <w:t>9</w:t>
      </w:r>
      <w:r w:rsidRPr="006D4F73">
        <w:t>)</w:t>
      </w:r>
      <w:r w:rsidRPr="006D4F73">
        <w:tab/>
        <w:t xml:space="preserve">La pleine traçabilité des </w:t>
      </w:r>
      <w:r>
        <w:t>transferts</w:t>
      </w:r>
      <w:r w:rsidRPr="006D4F73">
        <w:t xml:space="preserve"> de fonds peut être un instrument particulièrement important et précieux pour prévenir et détecter le blanchiment de capitaux </w:t>
      </w:r>
      <w:r w:rsidR="006C31A1">
        <w:t>et</w:t>
      </w:r>
      <w:r w:rsidRPr="006D4F73">
        <w:t xml:space="preserve"> le financement du terrorisme et enquêter </w:t>
      </w:r>
      <w:r w:rsidR="006C31A1">
        <w:t>en la matière</w:t>
      </w:r>
      <w:r w:rsidRPr="006D4F73">
        <w:t xml:space="preserve">, ainsi que pour mettre en œuvre des mesures restrictives, en particulier celles </w:t>
      </w:r>
      <w:r>
        <w:t xml:space="preserve">qui sont </w:t>
      </w:r>
      <w:r w:rsidRPr="006D4F73">
        <w:t xml:space="preserve">imposées par les règlements </w:t>
      </w:r>
      <w:r w:rsidR="00024641">
        <w:t>(CE) n° </w:t>
      </w:r>
      <w:r>
        <w:t xml:space="preserve">2580/2001, </w:t>
      </w:r>
      <w:r w:rsidR="006C31A1">
        <w:t xml:space="preserve">(CE) n° </w:t>
      </w:r>
      <w:r>
        <w:t xml:space="preserve">881/2002 et </w:t>
      </w:r>
      <w:r w:rsidR="006C31A1">
        <w:t>(</w:t>
      </w:r>
      <w:r w:rsidR="004A1A9B">
        <w:t>U</w:t>
      </w:r>
      <w:r w:rsidR="006C31A1">
        <w:t xml:space="preserve">E) n° </w:t>
      </w:r>
      <w:r>
        <w:t>356/2010</w:t>
      </w:r>
      <w:r w:rsidRPr="006D4F73">
        <w:t>, et dans le ple</w:t>
      </w:r>
      <w:r>
        <w:t>in respect des règlements</w:t>
      </w:r>
      <w:r w:rsidR="000E6317">
        <w:t xml:space="preserve"> de l'Union mettant en œuvre ces mesures</w:t>
      </w:r>
      <w:r>
        <w:t xml:space="preserve">. </w:t>
      </w:r>
      <w:r w:rsidRPr="006D4F73">
        <w:t xml:space="preserve">Il convient </w:t>
      </w:r>
      <w:r w:rsidR="006C31A1">
        <w:t>dès lors</w:t>
      </w:r>
      <w:r w:rsidRPr="006D4F73">
        <w:t xml:space="preserve">, pour assurer la transmission des informations tout au long de la chaîne de paiement, de prévoir un système imposant aux prestataires de services de paiement l'obligation de veiller à ce que les </w:t>
      </w:r>
      <w:r>
        <w:t>transferts de fonds</w:t>
      </w:r>
      <w:r w:rsidRPr="006D4F73">
        <w:t xml:space="preserve"> soient accompagnés d'informations </w:t>
      </w:r>
      <w:r w:rsidR="00736178">
        <w:t>sur le</w:t>
      </w:r>
      <w:r w:rsidRPr="006D4F73">
        <w:t xml:space="preserve"> donneur d'ordre et </w:t>
      </w:r>
      <w:r w:rsidR="00736178">
        <w:t>le</w:t>
      </w:r>
      <w:r w:rsidRPr="006D4F73">
        <w:t xml:space="preserve"> bénéficiaire.</w:t>
      </w:r>
    </w:p>
    <w:p w:rsidR="00DF5568" w:rsidRPr="006D4F73" w:rsidRDefault="00DF5568" w:rsidP="0018449D">
      <w:pPr>
        <w:pStyle w:val="ManualConsidrant"/>
      </w:pPr>
      <w:r w:rsidRPr="006D4F73">
        <w:t>(</w:t>
      </w:r>
      <w:r w:rsidR="000E6317">
        <w:t>10</w:t>
      </w:r>
      <w:r>
        <w:t>)</w:t>
      </w:r>
      <w:r>
        <w:tab/>
      </w:r>
      <w:r w:rsidRPr="006D4F73">
        <w:t xml:space="preserve">Le présent règlement devrait s'appliquer sans préjudice des mesures restrictives imposées par les règlements fondés sur l'article 215 du </w:t>
      </w:r>
      <w:r>
        <w:t>traité sur le fonctionnement de l'Union européenne</w:t>
      </w:r>
      <w:r w:rsidRPr="006D4F73">
        <w:t xml:space="preserve">, tels que </w:t>
      </w:r>
      <w:r>
        <w:t xml:space="preserve">les règlements (CE) n° 2580/2001, </w:t>
      </w:r>
      <w:r w:rsidR="006C31A1">
        <w:t xml:space="preserve">(CE) n° </w:t>
      </w:r>
      <w:r>
        <w:t xml:space="preserve">881/2002 et </w:t>
      </w:r>
      <w:r w:rsidR="006C31A1">
        <w:t>(</w:t>
      </w:r>
      <w:r w:rsidR="004A1A9B">
        <w:t>UE</w:t>
      </w:r>
      <w:r w:rsidR="00024641">
        <w:t>) n° </w:t>
      </w:r>
      <w:r>
        <w:t>356/2010, qui </w:t>
      </w:r>
      <w:r w:rsidRPr="006D4F73">
        <w:t xml:space="preserve">peuvent exiger que les prestataires de services de paiement des donneurs d'ordre </w:t>
      </w:r>
      <w:r w:rsidR="006C31A1">
        <w:t>et</w:t>
      </w:r>
      <w:r w:rsidRPr="006D4F73">
        <w:t xml:space="preserve"> des bénéficiaires, ainsi que </w:t>
      </w:r>
      <w:r w:rsidR="006C31A1">
        <w:t>les prestataires de services de paiement</w:t>
      </w:r>
      <w:r w:rsidRPr="006D4F73">
        <w:t xml:space="preserve"> intermédiaires, prennent les mesures qui s'imposent pour geler certains fonds ou se conforment à des restrictions particulières pour certains </w:t>
      </w:r>
      <w:r>
        <w:t>transferts de fonds</w:t>
      </w:r>
      <w:r w:rsidRPr="006D4F73">
        <w:t>.</w:t>
      </w:r>
    </w:p>
    <w:p w:rsidR="00DF5568" w:rsidRPr="006D4F73" w:rsidRDefault="00DF5568" w:rsidP="000E0951">
      <w:pPr>
        <w:pStyle w:val="ManualConsidrant"/>
        <w:rPr>
          <w:shd w:val="clear" w:color="auto" w:fill="FFFFFF"/>
        </w:rPr>
      </w:pPr>
      <w:r>
        <w:rPr>
          <w:shd w:val="clear" w:color="auto" w:fill="FFFFFF"/>
        </w:rPr>
        <w:br w:type="page"/>
      </w:r>
      <w:r w:rsidRPr="006D4F73">
        <w:rPr>
          <w:shd w:val="clear" w:color="auto" w:fill="FFFFFF"/>
        </w:rPr>
        <w:lastRenderedPageBreak/>
        <w:t>(</w:t>
      </w:r>
      <w:r w:rsidR="000E6317">
        <w:rPr>
          <w:shd w:val="clear" w:color="auto" w:fill="FFFFFF"/>
        </w:rPr>
        <w:t>11</w:t>
      </w:r>
      <w:r w:rsidRPr="006D4F73">
        <w:rPr>
          <w:shd w:val="clear" w:color="auto" w:fill="FFFFFF"/>
        </w:rPr>
        <w:t>)</w:t>
      </w:r>
      <w:r w:rsidRPr="006D4F73">
        <w:tab/>
      </w:r>
      <w:r w:rsidRPr="006D4F73">
        <w:rPr>
          <w:shd w:val="clear" w:color="auto" w:fill="FFFFFF"/>
        </w:rPr>
        <w:t>Le présent règlement</w:t>
      </w:r>
      <w:r>
        <w:rPr>
          <w:shd w:val="clear" w:color="auto" w:fill="FFFFFF"/>
        </w:rPr>
        <w:t xml:space="preserve"> devrait également</w:t>
      </w:r>
      <w:r w:rsidRPr="006D4F73">
        <w:rPr>
          <w:shd w:val="clear" w:color="auto" w:fill="FFFFFF"/>
        </w:rPr>
        <w:t xml:space="preserve"> s'applique</w:t>
      </w:r>
      <w:r>
        <w:rPr>
          <w:shd w:val="clear" w:color="auto" w:fill="FFFFFF"/>
        </w:rPr>
        <w:t>r</w:t>
      </w:r>
      <w:r w:rsidRPr="006D4F73">
        <w:rPr>
          <w:shd w:val="clear" w:color="auto" w:fill="FFFFFF"/>
        </w:rPr>
        <w:t xml:space="preserve"> sans préjudice des dispositions nationales </w:t>
      </w:r>
      <w:r>
        <w:rPr>
          <w:shd w:val="clear" w:color="auto" w:fill="FFFFFF"/>
        </w:rPr>
        <w:t>transposant</w:t>
      </w:r>
      <w:r w:rsidRPr="006D4F73">
        <w:rPr>
          <w:shd w:val="clear" w:color="auto" w:fill="FFFFFF"/>
        </w:rPr>
        <w:t xml:space="preserve"> la directive 95/46/CE du Parlement européen et du Conseil</w:t>
      </w:r>
      <w:r w:rsidRPr="000E0951">
        <w:rPr>
          <w:rStyle w:val="FootnoteReference"/>
        </w:rPr>
        <w:footnoteReference w:id="8"/>
      </w:r>
      <w:r w:rsidRPr="006D4F73">
        <w:rPr>
          <w:shd w:val="clear" w:color="auto" w:fill="FFFFFF"/>
        </w:rPr>
        <w:t xml:space="preserve">. Par exemple, les données à caractère personnel collectées aux fins </w:t>
      </w:r>
      <w:r>
        <w:rPr>
          <w:shd w:val="clear" w:color="auto" w:fill="FFFFFF"/>
        </w:rPr>
        <w:t>du respect</w:t>
      </w:r>
      <w:r w:rsidRPr="006D4F73">
        <w:rPr>
          <w:shd w:val="clear" w:color="auto" w:fill="FFFFFF"/>
        </w:rPr>
        <w:t xml:space="preserve"> du présent règlement ne devraient pas faire l'objet d'un traitement ultérieur d'une manière incompatible avec la </w:t>
      </w:r>
      <w:r w:rsidRPr="00DF5568">
        <w:t>directive</w:t>
      </w:r>
      <w:r w:rsidRPr="006D4F73">
        <w:rPr>
          <w:shd w:val="clear" w:color="auto" w:fill="FFFFFF"/>
        </w:rPr>
        <w:t xml:space="preserve"> 95/46/CE. </w:t>
      </w:r>
      <w:r w:rsidR="008123C4">
        <w:rPr>
          <w:shd w:val="clear" w:color="auto" w:fill="FFFFFF"/>
        </w:rPr>
        <w:t>En particulier, l</w:t>
      </w:r>
      <w:r w:rsidRPr="006D4F73">
        <w:rPr>
          <w:shd w:val="clear" w:color="auto" w:fill="FFFFFF"/>
        </w:rPr>
        <w:t xml:space="preserve">e traitement ultérieur </w:t>
      </w:r>
      <w:r>
        <w:rPr>
          <w:shd w:val="clear" w:color="auto" w:fill="FFFFFF"/>
        </w:rPr>
        <w:t xml:space="preserve">des données à caractère personnel </w:t>
      </w:r>
      <w:r w:rsidRPr="006D4F73">
        <w:rPr>
          <w:shd w:val="clear" w:color="auto" w:fill="FFFFFF"/>
        </w:rPr>
        <w:t xml:space="preserve">à des fins commerciales devrait être strictement interdit. La lutte contre le blanchiment de capitaux et le financement du terrorisme </w:t>
      </w:r>
      <w:r>
        <w:rPr>
          <w:shd w:val="clear" w:color="auto" w:fill="FFFFFF"/>
        </w:rPr>
        <w:t>est</w:t>
      </w:r>
      <w:r w:rsidRPr="006D4F73">
        <w:rPr>
          <w:shd w:val="clear" w:color="auto" w:fill="FFFFFF"/>
        </w:rPr>
        <w:t xml:space="preserve"> reconnue par tous les États membres comme un </w:t>
      </w:r>
      <w:r w:rsidR="006C31A1">
        <w:rPr>
          <w:shd w:val="clear" w:color="auto" w:fill="FFFFFF"/>
        </w:rPr>
        <w:t>motif d'</w:t>
      </w:r>
      <w:r w:rsidRPr="006D4F73">
        <w:rPr>
          <w:shd w:val="clear" w:color="auto" w:fill="FFFFFF"/>
        </w:rPr>
        <w:t>intérêt public important</w:t>
      </w:r>
      <w:r>
        <w:rPr>
          <w:shd w:val="clear" w:color="auto" w:fill="FFFFFF"/>
        </w:rPr>
        <w:t>.</w:t>
      </w:r>
      <w:r w:rsidRPr="006D4F73">
        <w:rPr>
          <w:shd w:val="clear" w:color="auto" w:fill="FFFFFF"/>
        </w:rPr>
        <w:t xml:space="preserve"> </w:t>
      </w:r>
      <w:r w:rsidR="006C31A1">
        <w:rPr>
          <w:shd w:val="clear" w:color="auto" w:fill="FFFFFF"/>
        </w:rPr>
        <w:t>Dès lors</w:t>
      </w:r>
      <w:r>
        <w:rPr>
          <w:shd w:val="clear" w:color="auto" w:fill="FFFFFF"/>
        </w:rPr>
        <w:t xml:space="preserve">, </w:t>
      </w:r>
      <w:r w:rsidRPr="006D4F73">
        <w:rPr>
          <w:shd w:val="clear" w:color="auto" w:fill="FFFFFF"/>
        </w:rPr>
        <w:t xml:space="preserve">il convient que, dans le cadre de l'application du présent règlement, le transfert de données à caractère personnel vers un pays tiers n'assurant pas un niveau de protection adéquat </w:t>
      </w:r>
      <w:r w:rsidR="00CB10B7">
        <w:rPr>
          <w:shd w:val="clear" w:color="auto" w:fill="FFFFFF"/>
        </w:rPr>
        <w:t>conformément à</w:t>
      </w:r>
      <w:r w:rsidR="00024641">
        <w:rPr>
          <w:shd w:val="clear" w:color="auto" w:fill="FFFFFF"/>
        </w:rPr>
        <w:t xml:space="preserve"> </w:t>
      </w:r>
      <w:r w:rsidR="00024641" w:rsidRPr="00024641">
        <w:t>l'article</w:t>
      </w:r>
      <w:r w:rsidR="00024641">
        <w:t> </w:t>
      </w:r>
      <w:r w:rsidRPr="00024641">
        <w:t>25</w:t>
      </w:r>
      <w:r w:rsidRPr="006D4F73">
        <w:rPr>
          <w:shd w:val="clear" w:color="auto" w:fill="FFFFFF"/>
        </w:rPr>
        <w:t xml:space="preserve"> de la directive 95/46/CE soit néanmoins autorisé </w:t>
      </w:r>
      <w:r>
        <w:rPr>
          <w:shd w:val="clear" w:color="auto" w:fill="FFFFFF"/>
        </w:rPr>
        <w:t>conformément à</w:t>
      </w:r>
      <w:r w:rsidRPr="006D4F73">
        <w:rPr>
          <w:shd w:val="clear" w:color="auto" w:fill="FFFFFF"/>
        </w:rPr>
        <w:t xml:space="preserve"> </w:t>
      </w:r>
      <w:r w:rsidR="00CB10B7">
        <w:rPr>
          <w:shd w:val="clear" w:color="auto" w:fill="FFFFFF"/>
        </w:rPr>
        <w:t xml:space="preserve">son </w:t>
      </w:r>
      <w:r w:rsidRPr="006D4F73">
        <w:rPr>
          <w:shd w:val="clear" w:color="auto" w:fill="FFFFFF"/>
        </w:rPr>
        <w:t>article 26.</w:t>
      </w:r>
      <w:r w:rsidR="00024641">
        <w:rPr>
          <w:shd w:val="clear" w:color="auto" w:fill="FFFFFF"/>
        </w:rPr>
        <w:t xml:space="preserve"> </w:t>
      </w:r>
      <w:r w:rsidRPr="006D4F73">
        <w:rPr>
          <w:shd w:val="clear" w:color="auto" w:fill="FFFFFF"/>
        </w:rPr>
        <w:t xml:space="preserve">Il est important que les prestataires de services de paiement actifs dans </w:t>
      </w:r>
      <w:r w:rsidRPr="008123C4">
        <w:rPr>
          <w:shd w:val="clear" w:color="auto" w:fill="FFFFFF"/>
        </w:rPr>
        <w:t xml:space="preserve">plusieurs </w:t>
      </w:r>
      <w:r w:rsidR="008123C4">
        <w:rPr>
          <w:shd w:val="clear" w:color="auto" w:fill="FFFFFF"/>
        </w:rPr>
        <w:t>juridictions</w:t>
      </w:r>
      <w:r w:rsidRPr="006D4F73">
        <w:rPr>
          <w:shd w:val="clear" w:color="auto" w:fill="FFFFFF"/>
        </w:rPr>
        <w:t xml:space="preserve"> et disposant de filiales </w:t>
      </w:r>
      <w:r w:rsidR="006C31A1">
        <w:rPr>
          <w:shd w:val="clear" w:color="auto" w:fill="FFFFFF"/>
        </w:rPr>
        <w:t>ou</w:t>
      </w:r>
      <w:r w:rsidRPr="006D4F73">
        <w:rPr>
          <w:shd w:val="clear" w:color="auto" w:fill="FFFFFF"/>
        </w:rPr>
        <w:t xml:space="preserve"> de succursales en dehors de l'Union ne soient pas empêchés de transférer au sein de la même organisation des données sur des transactions suspectes, pour autant qu'ils prennent les précautions nécessaires. De plus, les prestataires de services de paiement du donneur d'ordre et du bénéficiaire, ainsi que les prestataires de services </w:t>
      </w:r>
      <w:r w:rsidR="006C31A1">
        <w:rPr>
          <w:shd w:val="clear" w:color="auto" w:fill="FFFFFF"/>
        </w:rPr>
        <w:t xml:space="preserve">de paiement </w:t>
      </w:r>
      <w:r w:rsidRPr="006D4F73">
        <w:rPr>
          <w:shd w:val="clear" w:color="auto" w:fill="FFFFFF"/>
        </w:rPr>
        <w:t>intermédiaires, devraient mettre en place des mesures techniques et organisationnelles appropriées destinées à protéger les données à caractère personnel contre l</w:t>
      </w:r>
      <w:r w:rsidR="006C31A1">
        <w:rPr>
          <w:shd w:val="clear" w:color="auto" w:fill="FFFFFF"/>
        </w:rPr>
        <w:t>a</w:t>
      </w:r>
      <w:r w:rsidRPr="006D4F73">
        <w:rPr>
          <w:shd w:val="clear" w:color="auto" w:fill="FFFFFF"/>
        </w:rPr>
        <w:t xml:space="preserve"> perte accidentelle, l'altération, </w:t>
      </w:r>
      <w:r w:rsidR="006C31A1">
        <w:rPr>
          <w:shd w:val="clear" w:color="auto" w:fill="FFFFFF"/>
        </w:rPr>
        <w:t xml:space="preserve">ou </w:t>
      </w:r>
      <w:r w:rsidRPr="006D4F73">
        <w:rPr>
          <w:shd w:val="clear" w:color="auto" w:fill="FFFFFF"/>
        </w:rPr>
        <w:t xml:space="preserve">la </w:t>
      </w:r>
      <w:r w:rsidR="006C31A1">
        <w:rPr>
          <w:shd w:val="clear" w:color="auto" w:fill="FFFFFF"/>
        </w:rPr>
        <w:t>diffusion</w:t>
      </w:r>
      <w:r w:rsidRPr="006D4F73">
        <w:rPr>
          <w:shd w:val="clear" w:color="auto" w:fill="FFFFFF"/>
        </w:rPr>
        <w:t xml:space="preserve"> ou l'accès non autorisé.</w:t>
      </w:r>
    </w:p>
    <w:p w:rsidR="00DF5568" w:rsidRPr="006D4F73" w:rsidRDefault="00DF5568" w:rsidP="0018449D">
      <w:pPr>
        <w:pStyle w:val="ManualConsidrant"/>
      </w:pPr>
      <w:r w:rsidRPr="006D4F73">
        <w:t>(</w:t>
      </w:r>
      <w:r w:rsidR="00CB10B7">
        <w:t>12</w:t>
      </w:r>
      <w:r w:rsidRPr="006D4F73">
        <w:t>)</w:t>
      </w:r>
      <w:r w:rsidRPr="006D4F73">
        <w:tab/>
        <w:t xml:space="preserve">Les personnes </w:t>
      </w:r>
      <w:r w:rsidR="006C31A1">
        <w:t>qui ne font que</w:t>
      </w:r>
      <w:r w:rsidRPr="006D4F73">
        <w:t xml:space="preserve"> numériser des documents papier </w:t>
      </w:r>
      <w:r w:rsidR="006C31A1">
        <w:t>et qui agissent en vertu d'un contrat avec un prestataire de services de paiement</w:t>
      </w:r>
      <w:r w:rsidR="00CB10B7">
        <w:t xml:space="preserve">, et les personnes </w:t>
      </w:r>
      <w:r w:rsidR="00CB10B7" w:rsidRPr="006D4F73">
        <w:t>qui ne fournissent à des prestataires de services de paiement que des systèmes de messagerie ou d'autres systèmes de support pour la transmission de fonds, ou des systèmes de compensation et de règlement</w:t>
      </w:r>
      <w:r w:rsidR="00CB10B7">
        <w:t xml:space="preserve"> </w:t>
      </w:r>
      <w:r w:rsidRPr="006D4F73">
        <w:t xml:space="preserve">ne relèvent pas du </w:t>
      </w:r>
      <w:r>
        <w:t xml:space="preserve">champ d'application du </w:t>
      </w:r>
      <w:r w:rsidRPr="006D4F73">
        <w:t>présent règlement.</w:t>
      </w:r>
    </w:p>
    <w:p w:rsidR="00CB10B7" w:rsidRPr="006D4F73" w:rsidRDefault="00024641" w:rsidP="0018449D">
      <w:pPr>
        <w:pStyle w:val="ManualConsidrant"/>
      </w:pPr>
      <w:r>
        <w:br w:type="page"/>
      </w:r>
      <w:r w:rsidR="00DF5568" w:rsidRPr="006D4F73">
        <w:lastRenderedPageBreak/>
        <w:t>(</w:t>
      </w:r>
      <w:r w:rsidR="00CB10B7">
        <w:t>13</w:t>
      </w:r>
      <w:r w:rsidR="00DF5568" w:rsidRPr="006D4F73">
        <w:t>)</w:t>
      </w:r>
      <w:r w:rsidR="00DF5568" w:rsidRPr="006D4F73">
        <w:tab/>
      </w:r>
      <w:r w:rsidR="00DF5568">
        <w:t>L</w:t>
      </w:r>
      <w:r w:rsidR="00DF5568" w:rsidRPr="006D4F73">
        <w:t>es transferts de fonds correspondant aux services visés à l'article 3, points a) à m) et o), de la directive 2007/64/CE</w:t>
      </w:r>
      <w:r w:rsidR="00DF5568">
        <w:t xml:space="preserve"> du Parlement européen et du Conseil</w:t>
      </w:r>
      <w:r w:rsidR="00DF5568">
        <w:rPr>
          <w:rStyle w:val="FootnoteReference"/>
        </w:rPr>
        <w:footnoteReference w:id="9"/>
      </w:r>
      <w:r w:rsidR="00DF5568">
        <w:t xml:space="preserve"> ne relèvent pas du champ d'application du présent règlement. Il convient</w:t>
      </w:r>
      <w:r w:rsidR="00DF5568" w:rsidRPr="006D4F73">
        <w:t xml:space="preserve"> également</w:t>
      </w:r>
      <w:r w:rsidR="00DF5568">
        <w:t xml:space="preserve"> d'exclure d</w:t>
      </w:r>
      <w:r w:rsidR="00340D94">
        <w:t>u</w:t>
      </w:r>
      <w:r w:rsidR="00DF5568">
        <w:t xml:space="preserve"> champ d'application</w:t>
      </w:r>
      <w:r w:rsidR="00340D94">
        <w:t xml:space="preserve"> du présent règlement</w:t>
      </w:r>
      <w:r w:rsidR="00DF5568" w:rsidRPr="006D4F73">
        <w:t xml:space="preserve"> les transferts de fonds présentant un faible risque de blanchiment </w:t>
      </w:r>
      <w:r w:rsidR="006C31A1">
        <w:t xml:space="preserve">de capitaux </w:t>
      </w:r>
      <w:r w:rsidR="00DF5568" w:rsidRPr="006D4F73">
        <w:t>ou de financement du terrorisme</w:t>
      </w:r>
      <w:r w:rsidR="00736178">
        <w:t xml:space="preserve">. Ces exclusions devraient englober </w:t>
      </w:r>
      <w:r w:rsidR="00DF5568" w:rsidRPr="006D4F73">
        <w:t xml:space="preserve">les cartes de paiement, les instruments de monnaie électronique, les téléphones portables ou autres </w:t>
      </w:r>
      <w:r w:rsidR="00F16A01">
        <w:t>dispositifs</w:t>
      </w:r>
      <w:r w:rsidR="00DF5568" w:rsidRPr="006D4F73">
        <w:t xml:space="preserve"> numériques ou informatiques </w:t>
      </w:r>
      <w:r w:rsidR="00F16A01">
        <w:t>qui permettent de</w:t>
      </w:r>
      <w:r w:rsidR="00DF5568" w:rsidRPr="006D4F73">
        <w:t xml:space="preserve"> pré- ou post-pa</w:t>
      </w:r>
      <w:r w:rsidR="00F16A01">
        <w:t>yer</w:t>
      </w:r>
      <w:r w:rsidR="00DF5568" w:rsidRPr="006D4F73">
        <w:t xml:space="preserve"> présentant des</w:t>
      </w:r>
      <w:r w:rsidR="00DF5568">
        <w:t xml:space="preserve"> caractéristiques similaires</w:t>
      </w:r>
      <w:r w:rsidR="00736178">
        <w:t>,</w:t>
      </w:r>
      <w:r w:rsidR="00DF5568">
        <w:t xml:space="preserve"> </w:t>
      </w:r>
      <w:r w:rsidR="004731D7">
        <w:t>lorsqu</w:t>
      </w:r>
      <w:r w:rsidR="00736178">
        <w:t>'ils sont</w:t>
      </w:r>
      <w:r w:rsidR="00DF5568">
        <w:t> </w:t>
      </w:r>
      <w:r w:rsidR="00DF5568" w:rsidRPr="006D4F73">
        <w:t>utilisés exclusivement pour l'achat de biens ou de services</w:t>
      </w:r>
      <w:r w:rsidR="004731D7">
        <w:t xml:space="preserve"> et </w:t>
      </w:r>
      <w:r w:rsidR="00736178">
        <w:t>que le numéro de la carte, de l'instrument ou d</w:t>
      </w:r>
      <w:r w:rsidR="00F71F30">
        <w:t>u dispositif</w:t>
      </w:r>
      <w:r w:rsidR="004731D7">
        <w:t xml:space="preserve"> </w:t>
      </w:r>
      <w:r w:rsidR="00736178">
        <w:t xml:space="preserve">accompagne </w:t>
      </w:r>
      <w:r w:rsidR="004731D7">
        <w:t xml:space="preserve">tous </w:t>
      </w:r>
      <w:r w:rsidR="00736178">
        <w:t xml:space="preserve">les transferts. </w:t>
      </w:r>
      <w:r w:rsidR="00736178" w:rsidRPr="006D4F73">
        <w:t>En revanche, l'utilisation d'une carte de paiement, d'un instr</w:t>
      </w:r>
      <w:r w:rsidR="00736178">
        <w:t xml:space="preserve">ument de monnaie électronique, </w:t>
      </w:r>
      <w:r w:rsidR="00736178" w:rsidRPr="006D4F73">
        <w:t xml:space="preserve">d'un téléphone portable ou </w:t>
      </w:r>
      <w:r w:rsidR="004731D7">
        <w:t>de tout</w:t>
      </w:r>
      <w:r w:rsidR="007A3405">
        <w:t xml:space="preserve"> </w:t>
      </w:r>
      <w:r w:rsidR="00736178" w:rsidRPr="006D4F73">
        <w:t xml:space="preserve">autre </w:t>
      </w:r>
      <w:r w:rsidR="00F16A01">
        <w:t>dispositif</w:t>
      </w:r>
      <w:r w:rsidR="00736178" w:rsidRPr="006D4F73">
        <w:t xml:space="preserve"> numérique ou informatique </w:t>
      </w:r>
      <w:r w:rsidR="00F16A01">
        <w:t>qui permet de</w:t>
      </w:r>
      <w:r w:rsidR="00736178" w:rsidRPr="006D4F73">
        <w:t xml:space="preserve"> pré- ou post-pa</w:t>
      </w:r>
      <w:r w:rsidR="00F16A01">
        <w:t>yer</w:t>
      </w:r>
      <w:r w:rsidR="00736178" w:rsidRPr="006D4F73">
        <w:t xml:space="preserve"> présentant des caractéristiques similaires pour effectuer un </w:t>
      </w:r>
      <w:r w:rsidR="00736178">
        <w:t>transfert</w:t>
      </w:r>
      <w:r w:rsidR="00736178" w:rsidRPr="006D4F73">
        <w:t xml:space="preserve"> </w:t>
      </w:r>
      <w:r w:rsidR="00736178">
        <w:t xml:space="preserve">de fonds </w:t>
      </w:r>
      <w:r w:rsidR="00736178" w:rsidRPr="006D4F73">
        <w:t xml:space="preserve">entre particuliers </w:t>
      </w:r>
      <w:r w:rsidR="00736178">
        <w:t>relève du champ d'application du présent règlement</w:t>
      </w:r>
      <w:r w:rsidR="00736178" w:rsidRPr="006D4F73">
        <w:t>.</w:t>
      </w:r>
      <w:r w:rsidR="00736178">
        <w:t xml:space="preserve"> Par ailleurs, </w:t>
      </w:r>
      <w:r w:rsidR="00DF5568" w:rsidRPr="006D4F73">
        <w:t xml:space="preserve">les retraits aux distributeurs automatiques de billets, le paiement d'impôts, d'amendes ou d'autres prélèvements, </w:t>
      </w:r>
      <w:r w:rsidR="00736178" w:rsidRPr="006D4F73">
        <w:t xml:space="preserve">les </w:t>
      </w:r>
      <w:r w:rsidR="007A3405">
        <w:t>transferts</w:t>
      </w:r>
      <w:r w:rsidR="00736178" w:rsidRPr="006D4F73">
        <w:t xml:space="preserve"> de fonds réalisés au moyen d'échanges d'images chèques</w:t>
      </w:r>
      <w:r w:rsidR="00736178">
        <w:t xml:space="preserve">, y compris de chèques digitalisés, </w:t>
      </w:r>
      <w:r w:rsidR="00736178" w:rsidRPr="006D4F73">
        <w:t>ou de lettres de change</w:t>
      </w:r>
      <w:r w:rsidR="00736178">
        <w:t xml:space="preserve"> </w:t>
      </w:r>
      <w:r w:rsidR="00DF5568" w:rsidRPr="006D4F73">
        <w:t xml:space="preserve">et les </w:t>
      </w:r>
      <w:r w:rsidR="00F71F30">
        <w:t>transferts</w:t>
      </w:r>
      <w:r w:rsidR="00F71F30" w:rsidRPr="006D4F73">
        <w:t xml:space="preserve"> </w:t>
      </w:r>
      <w:r w:rsidR="00DF5568" w:rsidRPr="006D4F73">
        <w:t>de fonds pour lesquels le donneur d'ordre et le bénéficiaire sont tous deux des prestataires de services de paiement agissant pour leur propre compte</w:t>
      </w:r>
      <w:r w:rsidR="00736178">
        <w:t xml:space="preserve"> devraient être exclus du champ d'application du présent règlement</w:t>
      </w:r>
      <w:r w:rsidR="00DF5568" w:rsidRPr="006D4F73">
        <w:t>.</w:t>
      </w:r>
    </w:p>
    <w:p w:rsidR="00DF5568" w:rsidRPr="006D4F73" w:rsidRDefault="007711A0" w:rsidP="0018449D">
      <w:pPr>
        <w:pStyle w:val="ManualConsidrant"/>
      </w:pPr>
      <w:r>
        <w:t>(</w:t>
      </w:r>
      <w:r w:rsidR="000E6D9A">
        <w:t>14</w:t>
      </w:r>
      <w:r w:rsidR="00A066E0">
        <w:t>)</w:t>
      </w:r>
      <w:r w:rsidR="004731D7">
        <w:tab/>
      </w:r>
      <w:r w:rsidR="000E6D9A">
        <w:t>P</w:t>
      </w:r>
      <w:r w:rsidR="00DF5568" w:rsidRPr="006D4F73">
        <w:t>our tenir compte des spécificités des systèmes de paiement nationaux</w:t>
      </w:r>
      <w:r w:rsidR="00CB10B7">
        <w:t xml:space="preserve"> et pour autant qu'il soit toujours possible de remonter jusqu'aux donneurs d'ordre</w:t>
      </w:r>
      <w:r w:rsidR="00DF5568" w:rsidRPr="006D4F73">
        <w:t xml:space="preserve">, les États membres devraient pouvoir </w:t>
      </w:r>
      <w:r w:rsidR="007A3405">
        <w:t>exclure</w:t>
      </w:r>
      <w:r w:rsidR="00DF5568">
        <w:t xml:space="preserve"> du champ d'application du présent règlement </w:t>
      </w:r>
      <w:r w:rsidR="00DF5568" w:rsidRPr="006D4F73">
        <w:t xml:space="preserve">certains </w:t>
      </w:r>
      <w:r w:rsidR="00DF5568">
        <w:t>transferts de fonds</w:t>
      </w:r>
      <w:r w:rsidR="00DF5568" w:rsidRPr="006D4F73">
        <w:t xml:space="preserve"> nationaux d'un faible montant,</w:t>
      </w:r>
      <w:r>
        <w:t xml:space="preserve"> y compris </w:t>
      </w:r>
      <w:r w:rsidR="00DF5568" w:rsidRPr="006D4F73">
        <w:t>les virements électroniques</w:t>
      </w:r>
      <w:r>
        <w:t>,</w:t>
      </w:r>
      <w:r w:rsidRPr="007711A0">
        <w:t xml:space="preserve"> </w:t>
      </w:r>
      <w:r w:rsidR="00CB0DDF">
        <w:t xml:space="preserve">utilisés </w:t>
      </w:r>
      <w:r w:rsidRPr="006D4F73">
        <w:t>pour l'achat de biens ou de services</w:t>
      </w:r>
      <w:r w:rsidR="00024641">
        <w:t>.</w:t>
      </w:r>
    </w:p>
    <w:p w:rsidR="00DF5568" w:rsidRPr="006D4F73" w:rsidRDefault="00024641" w:rsidP="0018449D">
      <w:pPr>
        <w:pStyle w:val="ManualConsidrant"/>
      </w:pPr>
      <w:r>
        <w:br w:type="page"/>
      </w:r>
      <w:r w:rsidR="00DF5568" w:rsidRPr="006D4F73">
        <w:lastRenderedPageBreak/>
        <w:t>(</w:t>
      </w:r>
      <w:r w:rsidR="00CB10B7" w:rsidRPr="006D4F73">
        <w:t>1</w:t>
      </w:r>
      <w:r w:rsidR="005447D2">
        <w:t>5</w:t>
      </w:r>
      <w:r w:rsidR="00DF5568" w:rsidRPr="006D4F73">
        <w:t>)</w:t>
      </w:r>
      <w:r w:rsidR="00DF5568" w:rsidRPr="006D4F73">
        <w:tab/>
        <w:t xml:space="preserve">Les prestataires de services de paiement devraient veiller à ce que les informations </w:t>
      </w:r>
      <w:r w:rsidR="007711A0">
        <w:t>sur le</w:t>
      </w:r>
      <w:r w:rsidR="00DF5568" w:rsidRPr="006D4F73">
        <w:t xml:space="preserve"> donneur d'ordre et </w:t>
      </w:r>
      <w:r w:rsidR="007711A0">
        <w:t>le</w:t>
      </w:r>
      <w:r w:rsidR="00DF5568" w:rsidRPr="006D4F73">
        <w:t xml:space="preserve"> bénéficiaire ne </w:t>
      </w:r>
      <w:r w:rsidR="005C7712">
        <w:t>soient</w:t>
      </w:r>
      <w:r w:rsidR="00DF5568" w:rsidRPr="006D4F73">
        <w:t xml:space="preserve"> pas </w:t>
      </w:r>
      <w:r w:rsidR="005C7712">
        <w:t>manquantes</w:t>
      </w:r>
      <w:r w:rsidR="00DF5568" w:rsidRPr="006D4F73">
        <w:t xml:space="preserve"> ou incomplètes.</w:t>
      </w:r>
    </w:p>
    <w:p w:rsidR="00DF5568" w:rsidRPr="006D4F73" w:rsidRDefault="00066CEA" w:rsidP="0018449D">
      <w:pPr>
        <w:pStyle w:val="ManualConsidrant"/>
      </w:pPr>
      <w:r>
        <w:t>(1</w:t>
      </w:r>
      <w:r w:rsidR="005447D2">
        <w:t>6</w:t>
      </w:r>
      <w:r>
        <w:t>)</w:t>
      </w:r>
      <w:r>
        <w:tab/>
      </w:r>
      <w:r w:rsidR="00DF5568" w:rsidRPr="006D4F73">
        <w:t xml:space="preserve">Afin de ne pas nuire à l'efficacité des systèmes de paiement et de trouver un équilibre entre, d'une part, le risque de faire basculer des transactions dans la clandestinité en </w:t>
      </w:r>
      <w:r w:rsidR="00DF5568">
        <w:t>raison</w:t>
      </w:r>
      <w:r w:rsidR="00DF5568" w:rsidRPr="006D4F73">
        <w:t xml:space="preserve"> d</w:t>
      </w:r>
      <w:r w:rsidR="00DF5568">
        <w:t>'</w:t>
      </w:r>
      <w:r w:rsidR="00DF5568" w:rsidRPr="006D4F73">
        <w:t xml:space="preserve">obligations d'identification trop strictes et, d'autre part, la menace terroriste potentiellement liée aux </w:t>
      </w:r>
      <w:r w:rsidR="00DF5568">
        <w:t>transferts de fonds</w:t>
      </w:r>
      <w:r w:rsidR="00DF5568" w:rsidRPr="006D4F73">
        <w:t xml:space="preserve"> de faible montant, il convient, pour les </w:t>
      </w:r>
      <w:r w:rsidR="00DF5568">
        <w:t>transferts de fonds</w:t>
      </w:r>
      <w:r w:rsidR="00DF5568" w:rsidRPr="006D4F73">
        <w:t xml:space="preserve"> n'ayant pas encore fait l'objet d'une vérification, de n'imposer la vérification de l'exactitude des informations </w:t>
      </w:r>
      <w:r w:rsidR="007711A0">
        <w:t>sur le</w:t>
      </w:r>
      <w:r w:rsidR="00DF5568" w:rsidRPr="006D4F73">
        <w:t xml:space="preserve"> donneur d'ordre ou </w:t>
      </w:r>
      <w:r w:rsidR="007711A0">
        <w:t>le</w:t>
      </w:r>
      <w:r w:rsidR="00DF5568" w:rsidRPr="006D4F73">
        <w:t xml:space="preserve"> bénéficiaire que pour les </w:t>
      </w:r>
      <w:r w:rsidR="00DF5568">
        <w:t>transferts de fonds</w:t>
      </w:r>
      <w:r w:rsidR="00DF5568" w:rsidRPr="006D4F73">
        <w:t xml:space="preserve"> individuels </w:t>
      </w:r>
      <w:r w:rsidR="00340D94">
        <w:t>qui excèdent</w:t>
      </w:r>
      <w:r w:rsidR="00DF5568" w:rsidRPr="006D4F73">
        <w:t xml:space="preserve"> 1</w:t>
      </w:r>
      <w:r w:rsidR="004731D7">
        <w:t xml:space="preserve"> </w:t>
      </w:r>
      <w:r w:rsidR="00DF5568" w:rsidRPr="006D4F73">
        <w:t>000 EUR</w:t>
      </w:r>
      <w:r w:rsidR="004731D7">
        <w:t>,</w:t>
      </w:r>
      <w:r w:rsidR="007711A0">
        <w:t xml:space="preserve"> à moins </w:t>
      </w:r>
      <w:r w:rsidR="00DF5568" w:rsidRPr="006D4F73">
        <w:t xml:space="preserve">que le </w:t>
      </w:r>
      <w:r w:rsidR="00DF5568">
        <w:t>transfer</w:t>
      </w:r>
      <w:r w:rsidR="00DF5568" w:rsidRPr="006D4F73">
        <w:t xml:space="preserve">t </w:t>
      </w:r>
      <w:r w:rsidR="004731D7">
        <w:t xml:space="preserve">ne </w:t>
      </w:r>
      <w:r w:rsidR="00EF51C3">
        <w:t>semble</w:t>
      </w:r>
      <w:r w:rsidR="00EF51C3" w:rsidRPr="006D4F73">
        <w:t xml:space="preserve"> </w:t>
      </w:r>
      <w:r w:rsidR="00DF5568" w:rsidRPr="006D4F73">
        <w:t xml:space="preserve">lié à d'autres transferts de fonds </w:t>
      </w:r>
      <w:r w:rsidR="007A3405">
        <w:t xml:space="preserve">dont le montant cumulé </w:t>
      </w:r>
      <w:r w:rsidR="007711A0">
        <w:t>excède</w:t>
      </w:r>
      <w:r w:rsidR="007A3405">
        <w:t>rait</w:t>
      </w:r>
      <w:r w:rsidR="007711A0">
        <w:t xml:space="preserve"> </w:t>
      </w:r>
      <w:r w:rsidR="00DF5568" w:rsidRPr="006D4F73">
        <w:t>1</w:t>
      </w:r>
      <w:r w:rsidR="004731D7">
        <w:t xml:space="preserve"> </w:t>
      </w:r>
      <w:r w:rsidR="00DF5568" w:rsidRPr="006D4F73">
        <w:t xml:space="preserve">000 EUR, que les fonds </w:t>
      </w:r>
      <w:r w:rsidR="007711A0">
        <w:t>aient</w:t>
      </w:r>
      <w:r w:rsidR="00DF5568" w:rsidRPr="006D4F73">
        <w:t xml:space="preserve"> été reçus </w:t>
      </w:r>
      <w:r w:rsidR="005447D2">
        <w:t xml:space="preserve">ou payés </w:t>
      </w:r>
      <w:r w:rsidR="00DF5568" w:rsidRPr="006D4F73">
        <w:t xml:space="preserve">en </w:t>
      </w:r>
      <w:r w:rsidR="00DF5568">
        <w:t>espèces</w:t>
      </w:r>
      <w:r w:rsidR="00DF5568" w:rsidRPr="006D4F73">
        <w:t xml:space="preserve"> ou sous forme de monnaie électronique anonyme</w:t>
      </w:r>
      <w:r w:rsidR="004731D7">
        <w:t>,</w:t>
      </w:r>
      <w:r w:rsidR="00DF5568" w:rsidRPr="006D4F73">
        <w:t xml:space="preserve"> </w:t>
      </w:r>
      <w:r w:rsidR="007711A0">
        <w:t>ou</w:t>
      </w:r>
      <w:r w:rsidR="00DF5568" w:rsidRPr="006D4F73">
        <w:t xml:space="preserve"> </w:t>
      </w:r>
      <w:r w:rsidR="00CB0DDF">
        <w:t>lorsqu</w:t>
      </w:r>
      <w:r w:rsidR="0018449D">
        <w:t>'</w:t>
      </w:r>
      <w:r w:rsidR="00CB0DDF">
        <w:t>il y a</w:t>
      </w:r>
      <w:r w:rsidR="00DF5568" w:rsidRPr="006D4F73">
        <w:t xml:space="preserve"> des motifs raisonnables de suspecter l'existence de blanchiment de capitaux ou de financement du terrorisme.</w:t>
      </w:r>
    </w:p>
    <w:p w:rsidR="00DF5568" w:rsidRPr="006D4F73" w:rsidRDefault="00066CEA" w:rsidP="0018449D">
      <w:pPr>
        <w:pStyle w:val="ManualConsidrant"/>
      </w:pPr>
      <w:r>
        <w:t>(1</w:t>
      </w:r>
      <w:r w:rsidR="005447D2">
        <w:t>7</w:t>
      </w:r>
      <w:r>
        <w:t>)</w:t>
      </w:r>
      <w:r>
        <w:tab/>
      </w:r>
      <w:r w:rsidR="00DF5568" w:rsidRPr="006D4F73">
        <w:t xml:space="preserve">Pour les </w:t>
      </w:r>
      <w:r w:rsidR="00DF5568">
        <w:t>transferts de fonds</w:t>
      </w:r>
      <w:r w:rsidR="00DF5568" w:rsidRPr="006D4F73">
        <w:t xml:space="preserve"> dont la vérification est supposée avoir eu lieu, les prestataires de services de paiement ne devraient pas être tenus de vérifier les informations </w:t>
      </w:r>
      <w:r w:rsidR="007711A0">
        <w:t>sur le</w:t>
      </w:r>
      <w:r w:rsidR="00DF5568" w:rsidRPr="006D4F73">
        <w:t xml:space="preserve"> donneur d'ordre ou </w:t>
      </w:r>
      <w:r w:rsidR="007711A0">
        <w:t>le</w:t>
      </w:r>
      <w:r w:rsidR="00DF5568" w:rsidRPr="006D4F73">
        <w:t xml:space="preserve"> bénéficiaire accompagnant chaque </w:t>
      </w:r>
      <w:r w:rsidR="00DF5568">
        <w:t>transfert de fonds</w:t>
      </w:r>
      <w:r w:rsidR="00DF5568" w:rsidRPr="006D4F73">
        <w:t xml:space="preserve">, à condition que les </w:t>
      </w:r>
      <w:r w:rsidR="007711A0">
        <w:t>obligations</w:t>
      </w:r>
      <w:r w:rsidR="00DF5568" w:rsidRPr="006D4F73">
        <w:t xml:space="preserve"> </w:t>
      </w:r>
      <w:r w:rsidR="004731D7">
        <w:t>prévues par</w:t>
      </w:r>
      <w:r w:rsidR="00DF5568" w:rsidRPr="006D4F73">
        <w:t xml:space="preserve"> la directive (UE) 2015</w:t>
      </w:r>
      <w:r w:rsidR="00DF5568">
        <w:t>/</w:t>
      </w:r>
      <w:r w:rsidR="00DF5568" w:rsidRPr="006D4F73">
        <w:t>...</w:t>
      </w:r>
      <w:r w:rsidR="00DF5568">
        <w:rPr>
          <w:rStyle w:val="FootnoteReference"/>
        </w:rPr>
        <w:footnoteReference w:customMarkFollows="1" w:id="10"/>
        <w:t>*</w:t>
      </w:r>
      <w:r w:rsidR="00DF5568" w:rsidRPr="006D4F73">
        <w:t xml:space="preserve"> </w:t>
      </w:r>
      <w:r w:rsidR="004731D7">
        <w:t>so</w:t>
      </w:r>
      <w:r w:rsidR="00CB0DDF">
        <w:t>ie</w:t>
      </w:r>
      <w:r w:rsidR="004731D7">
        <w:t>nt</w:t>
      </w:r>
      <w:r w:rsidR="00DF5568" w:rsidRPr="006D4F73">
        <w:t xml:space="preserve"> respectées.</w:t>
      </w:r>
    </w:p>
    <w:p w:rsidR="00DF5568" w:rsidRPr="006D4F73" w:rsidRDefault="00DF5568" w:rsidP="000E0951">
      <w:pPr>
        <w:pStyle w:val="ManualConsidrant"/>
      </w:pPr>
      <w:r>
        <w:br w:type="page"/>
      </w:r>
      <w:r w:rsidR="00A066E0">
        <w:lastRenderedPageBreak/>
        <w:t>(18)</w:t>
      </w:r>
      <w:r w:rsidR="00A066E0">
        <w:tab/>
      </w:r>
      <w:r w:rsidRPr="006D4F73">
        <w:t xml:space="preserve">Compte tenu des actes législatifs de l'Union en matière de </w:t>
      </w:r>
      <w:r w:rsidR="007A3405">
        <w:t>service</w:t>
      </w:r>
      <w:r w:rsidR="00A02127">
        <w:t>s</w:t>
      </w:r>
      <w:r w:rsidR="007A3405">
        <w:t xml:space="preserve"> de </w:t>
      </w:r>
      <w:r w:rsidRPr="006D4F73">
        <w:t>paiement</w:t>
      </w:r>
      <w:r>
        <w:t xml:space="preserve">, </w:t>
      </w:r>
      <w:r w:rsidR="007A3405">
        <w:t>à savoir</w:t>
      </w:r>
      <w:r w:rsidRPr="006D4F73">
        <w:t xml:space="preserve"> le règlement (CE) n° 924/2009 du Parlement européen et du Conseil</w:t>
      </w:r>
      <w:r w:rsidR="00A066E0">
        <w:rPr>
          <w:rStyle w:val="FootnoteReference"/>
        </w:rPr>
        <w:footnoteReference w:id="11"/>
      </w:r>
      <w:r w:rsidR="00A066E0">
        <w:t>,</w:t>
      </w:r>
      <w:r w:rsidRPr="006D4F73">
        <w:t xml:space="preserve"> le règlement (UE) n° 260/2012 du Parlement européen et du Conseil</w:t>
      </w:r>
      <w:r w:rsidRPr="000E0951">
        <w:rPr>
          <w:rStyle w:val="FootnoteReference"/>
        </w:rPr>
        <w:footnoteReference w:id="12"/>
      </w:r>
      <w:r w:rsidRPr="006D4F73">
        <w:t xml:space="preserve"> et la directive 2007/64/CE, il </w:t>
      </w:r>
      <w:r>
        <w:t>devrait être</w:t>
      </w:r>
      <w:r w:rsidRPr="006D4F73">
        <w:t xml:space="preserve"> suffisant de prévoir que les </w:t>
      </w:r>
      <w:r>
        <w:t>transferts de fonds</w:t>
      </w:r>
      <w:r w:rsidRPr="006D4F73">
        <w:t xml:space="preserve"> effectués au sein de l'Union sont accompagnés </w:t>
      </w:r>
      <w:r w:rsidR="00377D53">
        <w:t xml:space="preserve">uniquement </w:t>
      </w:r>
      <w:r w:rsidRPr="006D4F73">
        <w:t>d'informations</w:t>
      </w:r>
      <w:r>
        <w:t xml:space="preserve"> simplifiées</w:t>
      </w:r>
      <w:r w:rsidRPr="006D4F73">
        <w:t xml:space="preserve">, telles que le(s) numéro(s) de compte </w:t>
      </w:r>
      <w:r>
        <w:t xml:space="preserve">de paiement </w:t>
      </w:r>
      <w:r w:rsidRPr="006D4F73">
        <w:t>ou un identifiant de transaction unique.</w:t>
      </w:r>
    </w:p>
    <w:p w:rsidR="00DF5568" w:rsidRPr="006D4F73" w:rsidRDefault="00DF5568" w:rsidP="0018449D">
      <w:pPr>
        <w:pStyle w:val="ManualConsidrant"/>
      </w:pPr>
      <w:r w:rsidRPr="006D4F73">
        <w:t>(</w:t>
      </w:r>
      <w:r w:rsidR="00066CEA">
        <w:t>1</w:t>
      </w:r>
      <w:r w:rsidR="005447D2">
        <w:t>9</w:t>
      </w:r>
      <w:r w:rsidRPr="006D4F73">
        <w:t>)</w:t>
      </w:r>
      <w:r w:rsidRPr="006D4F73">
        <w:tab/>
        <w:t>Afin de permettre aux autorités des pays tiers responsables de la</w:t>
      </w:r>
      <w:r>
        <w:t xml:space="preserve"> lutte contre le blanchiment de </w:t>
      </w:r>
      <w:r w:rsidRPr="006D4F73">
        <w:t>capitaux ou le financement du terrorisme de remonter à la source des</w:t>
      </w:r>
      <w:r>
        <w:t xml:space="preserve"> fonds utilisés à ces fins, les transferts de fonds</w:t>
      </w:r>
      <w:r w:rsidRPr="006D4F73">
        <w:t xml:space="preserve"> effectués depuis l'Union vers l'extérieur de l'Union devraient </w:t>
      </w:r>
      <w:r w:rsidR="005C7712">
        <w:t xml:space="preserve">être </w:t>
      </w:r>
      <w:r w:rsidRPr="006D4F73">
        <w:t>accompagn</w:t>
      </w:r>
      <w:r w:rsidR="005C7712">
        <w:t>és</w:t>
      </w:r>
      <w:r w:rsidRPr="006D4F73">
        <w:t xml:space="preserve"> d'informations complètes </w:t>
      </w:r>
      <w:r w:rsidR="007711A0">
        <w:t>sur le</w:t>
      </w:r>
      <w:r w:rsidRPr="006D4F73">
        <w:t xml:space="preserve"> donneur d'ordre et </w:t>
      </w:r>
      <w:r w:rsidR="007711A0">
        <w:t>le</w:t>
      </w:r>
      <w:r w:rsidRPr="006D4F73">
        <w:t xml:space="preserve"> bénéficiaire. L'accès de ces autorités à des informations complètes </w:t>
      </w:r>
      <w:r w:rsidR="007711A0">
        <w:t>sur le</w:t>
      </w:r>
      <w:r w:rsidRPr="006D4F73">
        <w:t xml:space="preserve"> donneur d'ordre et </w:t>
      </w:r>
      <w:r w:rsidR="007711A0">
        <w:t>le</w:t>
      </w:r>
      <w:r w:rsidRPr="006D4F73">
        <w:t xml:space="preserve"> bénéficiaire ne devrait être autorisé qu'aux fins de la prévention et de la détection du blanchiment de capitaux et du financement du terrorisme et des enquêtes en la matière.</w:t>
      </w:r>
    </w:p>
    <w:p w:rsidR="00DF5568" w:rsidRPr="006D4F73" w:rsidRDefault="00DF5568" w:rsidP="0018449D">
      <w:pPr>
        <w:pStyle w:val="ManualConsidrant"/>
      </w:pPr>
      <w:r w:rsidRPr="006D4F73">
        <w:t>(</w:t>
      </w:r>
      <w:r w:rsidR="005447D2">
        <w:t>20</w:t>
      </w:r>
      <w:r w:rsidRPr="006D4F73">
        <w:t>)</w:t>
      </w:r>
      <w:r w:rsidRPr="006D4F73">
        <w:tab/>
        <w:t xml:space="preserve">Les autorités </w:t>
      </w:r>
      <w:r>
        <w:t xml:space="preserve">des États membres </w:t>
      </w:r>
      <w:r w:rsidRPr="006D4F73">
        <w:t>responsables de la lutte contre le blanchiment de capitaux et le financement du terrorisme, ainsi que les instances judiciaires et répressives compétentes dans les États membres, devraient intensifier leur coopération mutuelle et avec les autorité</w:t>
      </w:r>
      <w:r>
        <w:t>s compétentes des pays tiers, y </w:t>
      </w:r>
      <w:r w:rsidRPr="006D4F73">
        <w:t>compris des pays en développement, afin d'améliorer encore la transparence, ainsi que le partage d'informations et les meilleures pratiques.</w:t>
      </w:r>
    </w:p>
    <w:p w:rsidR="00DF5568" w:rsidRPr="006D4F73" w:rsidRDefault="00DF5568" w:rsidP="0018449D">
      <w:pPr>
        <w:pStyle w:val="ManualConsidrant"/>
      </w:pPr>
      <w:r>
        <w:br w:type="page"/>
      </w:r>
      <w:r w:rsidRPr="006D4F73">
        <w:lastRenderedPageBreak/>
        <w:t>(</w:t>
      </w:r>
      <w:r w:rsidR="00A30148">
        <w:t>2</w:t>
      </w:r>
      <w:r w:rsidR="005447D2">
        <w:t>1</w:t>
      </w:r>
      <w:r w:rsidRPr="006D4F73">
        <w:t>)</w:t>
      </w:r>
      <w:r w:rsidRPr="006D4F73">
        <w:tab/>
      </w:r>
      <w:r>
        <w:t>En ce qui concerne</w:t>
      </w:r>
      <w:r w:rsidRPr="006D4F73">
        <w:t xml:space="preserve"> les </w:t>
      </w:r>
      <w:r>
        <w:t>transferts de fonds</w:t>
      </w:r>
      <w:r w:rsidRPr="006D4F73">
        <w:t xml:space="preserve"> effectués </w:t>
      </w:r>
      <w:r w:rsidR="00CB0DDF">
        <w:t>depuis</w:t>
      </w:r>
      <w:r w:rsidRPr="006D4F73">
        <w:t xml:space="preserve"> un donneur d'ordre </w:t>
      </w:r>
      <w:r w:rsidR="00CB0DDF">
        <w:t xml:space="preserve">unique </w:t>
      </w:r>
      <w:r w:rsidRPr="006D4F73">
        <w:t>à</w:t>
      </w:r>
      <w:r w:rsidR="00CB0DDF">
        <w:t xml:space="preserve"> destination de</w:t>
      </w:r>
      <w:r w:rsidRPr="006D4F73">
        <w:t xml:space="preserve"> plusieurs bénéficiaires </w:t>
      </w:r>
      <w:r w:rsidR="00CB0DDF">
        <w:t>qui doivent être</w:t>
      </w:r>
      <w:r w:rsidRPr="006D4F73">
        <w:t xml:space="preserve"> envoy</w:t>
      </w:r>
      <w:r w:rsidR="00D160AF">
        <w:t>és</w:t>
      </w:r>
      <w:r w:rsidRPr="006D4F73">
        <w:t xml:space="preserve"> sous forme de lots</w:t>
      </w:r>
      <w:r w:rsidRPr="003406B1">
        <w:t xml:space="preserve"> </w:t>
      </w:r>
      <w:r>
        <w:t xml:space="preserve">contenant des transferts individuels </w:t>
      </w:r>
      <w:r w:rsidRPr="006D4F73">
        <w:t xml:space="preserve">depuis l'Union vers l'extérieur de l'Union, il convient de prévoir que ces </w:t>
      </w:r>
      <w:r>
        <w:t>transferts</w:t>
      </w:r>
      <w:r w:rsidRPr="006D4F73">
        <w:t xml:space="preserve"> individuels </w:t>
      </w:r>
      <w:r w:rsidR="00500ACC">
        <w:t>ne sont</w:t>
      </w:r>
      <w:r w:rsidRPr="006D4F73">
        <w:t xml:space="preserve"> accomp</w:t>
      </w:r>
      <w:r>
        <w:t>agné</w:t>
      </w:r>
      <w:r w:rsidR="00500ACC">
        <w:t>s</w:t>
      </w:r>
      <w:r>
        <w:t xml:space="preserve"> que du numéro de compte de paiement du</w:t>
      </w:r>
      <w:r>
        <w:rPr>
          <w:lang w:val="fr-BE"/>
        </w:rPr>
        <w:t> </w:t>
      </w:r>
      <w:r w:rsidRPr="006D4F73">
        <w:t xml:space="preserve">donneur d'ordre ou de l'identifiant de transaction unique, ainsi que des informations complètes </w:t>
      </w:r>
      <w:r w:rsidR="007711A0">
        <w:t>sur le</w:t>
      </w:r>
      <w:r w:rsidRPr="006D4F73">
        <w:t xml:space="preserve"> bénéficiaire, à condition que le lot </w:t>
      </w:r>
      <w:r w:rsidRPr="005447D2">
        <w:t xml:space="preserve">contienne des informations complètes </w:t>
      </w:r>
      <w:r w:rsidR="00500ACC">
        <w:t>sur le donneur d</w:t>
      </w:r>
      <w:r w:rsidR="0018449D">
        <w:t>'</w:t>
      </w:r>
      <w:r w:rsidR="00500ACC">
        <w:t xml:space="preserve">ordre </w:t>
      </w:r>
      <w:r w:rsidR="00377D53" w:rsidRPr="005447D2">
        <w:t xml:space="preserve">dont l'exactitude est vérifiée </w:t>
      </w:r>
      <w:r w:rsidRPr="00F81F47">
        <w:t>et des informations</w:t>
      </w:r>
      <w:r w:rsidRPr="006D4F73">
        <w:t xml:space="preserve"> complètes </w:t>
      </w:r>
      <w:r w:rsidR="007711A0">
        <w:t>sur le</w:t>
      </w:r>
      <w:r w:rsidRPr="006D4F73">
        <w:t xml:space="preserve"> bénéficiaire qui soient entièrement traçables.</w:t>
      </w:r>
    </w:p>
    <w:p w:rsidR="00DF5568" w:rsidRPr="006D4F73" w:rsidRDefault="00DF5568" w:rsidP="0018449D">
      <w:pPr>
        <w:pStyle w:val="ManualConsidrant"/>
      </w:pPr>
      <w:r w:rsidRPr="006D4F73">
        <w:t>(</w:t>
      </w:r>
      <w:r w:rsidR="00A30148">
        <w:t>2</w:t>
      </w:r>
      <w:r w:rsidR="005447D2">
        <w:t>2</w:t>
      </w:r>
      <w:r w:rsidRPr="006D4F73">
        <w:t>)</w:t>
      </w:r>
      <w:r w:rsidRPr="006D4F73">
        <w:tab/>
        <w:t xml:space="preserve">Afin de vérifier si les </w:t>
      </w:r>
      <w:r>
        <w:t>transferts de fonds</w:t>
      </w:r>
      <w:r w:rsidRPr="006D4F73">
        <w:t xml:space="preserve"> sont accompagnés des informations requises </w:t>
      </w:r>
      <w:r w:rsidR="007711A0">
        <w:t>sur le</w:t>
      </w:r>
      <w:r w:rsidRPr="006D4F73">
        <w:t xml:space="preserve"> donneur d'ordre et </w:t>
      </w:r>
      <w:r w:rsidR="007711A0">
        <w:t>le</w:t>
      </w:r>
      <w:r w:rsidRPr="006D4F73">
        <w:t xml:space="preserve"> bénéficiaire et de faciliter la détection</w:t>
      </w:r>
      <w:r>
        <w:t xml:space="preserve"> des transactions suspectes, le </w:t>
      </w:r>
      <w:r w:rsidRPr="006D4F73">
        <w:t xml:space="preserve">prestataire de services de paiement du bénéficiaire et le prestataire de services de paiement intermédiaire devraient disposer de procédures efficaces pour détecter si des informations </w:t>
      </w:r>
      <w:r w:rsidR="007711A0">
        <w:t>sur le</w:t>
      </w:r>
      <w:r w:rsidRPr="006D4F73">
        <w:t xml:space="preserve"> donneur d'ordre et </w:t>
      </w:r>
      <w:r w:rsidR="007711A0">
        <w:t>le</w:t>
      </w:r>
      <w:r w:rsidRPr="006D4F73">
        <w:t xml:space="preserve"> bénéficiaire sont manquantes ou incomplètes. Ces procédures </w:t>
      </w:r>
      <w:r w:rsidR="00A30148">
        <w:t>devraient</w:t>
      </w:r>
      <w:r w:rsidR="00A30148" w:rsidRPr="006D4F73">
        <w:t xml:space="preserve"> </w:t>
      </w:r>
      <w:r w:rsidRPr="006D4F73">
        <w:t xml:space="preserve">prévoir, </w:t>
      </w:r>
      <w:r w:rsidR="00A30148">
        <w:t>le cas échéant</w:t>
      </w:r>
      <w:r w:rsidRPr="006D4F73">
        <w:t xml:space="preserve">, </w:t>
      </w:r>
      <w:r w:rsidRPr="00D160AF">
        <w:t xml:space="preserve">un </w:t>
      </w:r>
      <w:r w:rsidR="00AF49CB">
        <w:t>contrôle</w:t>
      </w:r>
      <w:r w:rsidRPr="00D160AF">
        <w:t xml:space="preserve"> </w:t>
      </w:r>
      <w:r w:rsidR="007827BA" w:rsidRPr="00D160AF">
        <w:t>a posteriori</w:t>
      </w:r>
      <w:r w:rsidRPr="006D4F73">
        <w:t xml:space="preserve"> ou en temps réel.</w:t>
      </w:r>
      <w:r w:rsidR="0001766D">
        <w:t xml:space="preserve"> </w:t>
      </w:r>
      <w:r w:rsidRPr="006D4F73">
        <w:t>Les autorités compétentes devraient veiller à ce que les prestataire</w:t>
      </w:r>
      <w:r>
        <w:t>s de </w:t>
      </w:r>
      <w:r w:rsidRPr="006D4F73">
        <w:t xml:space="preserve">services de paiement </w:t>
      </w:r>
      <w:r w:rsidR="00377D53">
        <w:t>incluent</w:t>
      </w:r>
      <w:r w:rsidR="00377D53" w:rsidRPr="006D4F73">
        <w:t xml:space="preserve"> </w:t>
      </w:r>
      <w:r w:rsidRPr="006D4F73">
        <w:t xml:space="preserve">les informations requises sur la transaction dans le virement électronique ou le message </w:t>
      </w:r>
      <w:r w:rsidR="00377D53">
        <w:t>qui y est lié et ce</w:t>
      </w:r>
      <w:r w:rsidR="00377D53" w:rsidRPr="006D4F73">
        <w:t xml:space="preserve"> </w:t>
      </w:r>
      <w:r w:rsidRPr="006D4F73">
        <w:t>tout au long de la chaîne de paiement.</w:t>
      </w:r>
    </w:p>
    <w:p w:rsidR="00DF5568" w:rsidRDefault="00DF5568" w:rsidP="0018449D">
      <w:pPr>
        <w:pStyle w:val="ManualConsidrant"/>
      </w:pPr>
      <w:r>
        <w:br w:type="page"/>
      </w:r>
      <w:r w:rsidRPr="006D4F73">
        <w:lastRenderedPageBreak/>
        <w:t>(</w:t>
      </w:r>
      <w:r w:rsidR="00A30148">
        <w:t>2</w:t>
      </w:r>
      <w:r w:rsidR="005447D2">
        <w:t>3</w:t>
      </w:r>
      <w:r w:rsidRPr="006D4F73">
        <w:t>)</w:t>
      </w:r>
      <w:r w:rsidRPr="006D4F73">
        <w:tab/>
        <w:t xml:space="preserve">En raison de la menace potentielle de </w:t>
      </w:r>
      <w:r w:rsidR="007711A0">
        <w:t xml:space="preserve">blanchiment de capitaux et de </w:t>
      </w:r>
      <w:r w:rsidRPr="006D4F73">
        <w:t xml:space="preserve">financement du terrorisme </w:t>
      </w:r>
      <w:r w:rsidR="007A3405">
        <w:t>que représentent les</w:t>
      </w:r>
      <w:r w:rsidRPr="006D4F73">
        <w:t xml:space="preserve"> </w:t>
      </w:r>
      <w:r>
        <w:t>transferts</w:t>
      </w:r>
      <w:r w:rsidRPr="006D4F73">
        <w:t xml:space="preserve"> anonymes, il convient d'</w:t>
      </w:r>
      <w:r w:rsidR="007A3405">
        <w:t>exiger des</w:t>
      </w:r>
      <w:r w:rsidRPr="006D4F73">
        <w:t xml:space="preserve"> prestataires de services de paiement qu'ils demandent des informations </w:t>
      </w:r>
      <w:r w:rsidR="005B500A">
        <w:t>sur le</w:t>
      </w:r>
      <w:r w:rsidRPr="006D4F73">
        <w:t xml:space="preserve"> donneur d'ordre et </w:t>
      </w:r>
      <w:r w:rsidR="005B500A">
        <w:t>le</w:t>
      </w:r>
      <w:r w:rsidRPr="006D4F73">
        <w:t xml:space="preserve"> bénéficiaire. Conformément à l'approche fondée sur les risques mise au point par le GAFI, il convient d'identifier les domaines où les risques sont plus élevés et ceux où ils sont plus faibles, de manière à mieux cibler les risques </w:t>
      </w:r>
      <w:r w:rsidR="007A3405">
        <w:t>de</w:t>
      </w:r>
      <w:r w:rsidRPr="006D4F73">
        <w:t xml:space="preserve"> blanchiment de capitaux et </w:t>
      </w:r>
      <w:r w:rsidR="007A3405">
        <w:t>de</w:t>
      </w:r>
      <w:r w:rsidRPr="006D4F73">
        <w:t xml:space="preserve"> financement du terrorisme. Le prestataire de services de paiement du bénéficiaire et le prestataire de services de paiement intermédiaire devraient donc disposer de procédures efficaces, fondées sur les risques</w:t>
      </w:r>
      <w:r>
        <w:t xml:space="preserve"> qui s'appliquent</w:t>
      </w:r>
      <w:r w:rsidRPr="006D4F73">
        <w:t xml:space="preserve"> </w:t>
      </w:r>
      <w:r>
        <w:t>lorsqu'</w:t>
      </w:r>
      <w:r w:rsidRPr="006D4F73">
        <w:t xml:space="preserve">un </w:t>
      </w:r>
      <w:r>
        <w:t>transfert de fonds</w:t>
      </w:r>
      <w:r w:rsidRPr="006D4F73">
        <w:t xml:space="preserve"> ne comporte pas les informations requises </w:t>
      </w:r>
      <w:r w:rsidR="005B500A">
        <w:t>sur le</w:t>
      </w:r>
      <w:r w:rsidRPr="006D4F73">
        <w:t xml:space="preserve"> donneur d'ordre ou </w:t>
      </w:r>
      <w:r w:rsidR="005B500A">
        <w:t>le</w:t>
      </w:r>
      <w:r w:rsidRPr="006D4F73">
        <w:t xml:space="preserve"> bénéficiaire, afin de</w:t>
      </w:r>
      <w:r>
        <w:t xml:space="preserve"> leur permettre de</w:t>
      </w:r>
      <w:r w:rsidRPr="006D4F73">
        <w:t xml:space="preserve"> décider s'il y a lieu d'</w:t>
      </w:r>
      <w:r w:rsidR="0093464F">
        <w:t>effectuer</w:t>
      </w:r>
      <w:r w:rsidRPr="006D4F73">
        <w:t xml:space="preserve">, de rejeter ou de suspendre le </w:t>
      </w:r>
      <w:r>
        <w:t>transfert</w:t>
      </w:r>
      <w:r w:rsidRPr="006D4F73">
        <w:t xml:space="preserve"> et </w:t>
      </w:r>
      <w:r>
        <w:t xml:space="preserve">de déterminer </w:t>
      </w:r>
      <w:r w:rsidRPr="006D4F73">
        <w:t xml:space="preserve">les mesures de suivi </w:t>
      </w:r>
      <w:r w:rsidR="007A3405">
        <w:t xml:space="preserve">qu'il convient de </w:t>
      </w:r>
      <w:r w:rsidRPr="006D4F73">
        <w:t>prendre.</w:t>
      </w:r>
    </w:p>
    <w:p w:rsidR="00DF5568" w:rsidRPr="006D4F73" w:rsidRDefault="00DF5568" w:rsidP="0018449D">
      <w:pPr>
        <w:pStyle w:val="ManualConsidrant"/>
      </w:pPr>
      <w:r w:rsidRPr="006D4F73">
        <w:t>(</w:t>
      </w:r>
      <w:r w:rsidR="005447D2">
        <w:t>24</w:t>
      </w:r>
      <w:r w:rsidRPr="006D4F73">
        <w:t>)</w:t>
      </w:r>
      <w:r w:rsidRPr="006D4F73">
        <w:tab/>
        <w:t xml:space="preserve">Le prestataire de services de paiement du bénéficiaire et le prestataire de services de paiement intermédiaire devraient faire preuve d'une vigilance particulière et évaluer les risques lorsqu'ils constatent que des informations </w:t>
      </w:r>
      <w:r w:rsidR="005B500A">
        <w:t>sur le</w:t>
      </w:r>
      <w:r w:rsidRPr="006D4F73">
        <w:t xml:space="preserve"> donneur d'ordre ou </w:t>
      </w:r>
      <w:r w:rsidR="005B500A">
        <w:t>le</w:t>
      </w:r>
      <w:r w:rsidRPr="006D4F73">
        <w:t xml:space="preserve"> bénéficiaire sont manquantes ou </w:t>
      </w:r>
      <w:r w:rsidRPr="00D160AF">
        <w:t xml:space="preserve">incomplètes et </w:t>
      </w:r>
      <w:r w:rsidR="00B34A17" w:rsidRPr="00D160AF">
        <w:t xml:space="preserve">déclarer </w:t>
      </w:r>
      <w:r w:rsidRPr="00D160AF">
        <w:t>les transactions</w:t>
      </w:r>
      <w:r w:rsidRPr="006D4F73">
        <w:t xml:space="preserve"> suspectes aux autorité</w:t>
      </w:r>
      <w:r>
        <w:t>s compétentes conformément aux </w:t>
      </w:r>
      <w:r w:rsidRPr="006D4F73">
        <w:t xml:space="preserve">obligations de déclaration imposées </w:t>
      </w:r>
      <w:r>
        <w:t xml:space="preserve">par la directive (UE) </w:t>
      </w:r>
      <w:r w:rsidRPr="006D4F73">
        <w:t>2015</w:t>
      </w:r>
      <w:r>
        <w:t>/</w:t>
      </w:r>
      <w:r w:rsidRPr="006D4F73">
        <w:t>...</w:t>
      </w:r>
      <w:r>
        <w:rPr>
          <w:rStyle w:val="FootnoteReference"/>
        </w:rPr>
        <w:footnoteReference w:customMarkFollows="1" w:id="13"/>
        <w:t>*</w:t>
      </w:r>
      <w:r w:rsidRPr="006D4F73">
        <w:t xml:space="preserve"> et </w:t>
      </w:r>
      <w:r w:rsidR="00500ACC">
        <w:t>aux</w:t>
      </w:r>
      <w:r w:rsidR="00A30148" w:rsidRPr="006D4F73">
        <w:t xml:space="preserve"> </w:t>
      </w:r>
      <w:r w:rsidRPr="006D4F73">
        <w:t xml:space="preserve">mesures nationales </w:t>
      </w:r>
      <w:r>
        <w:t>transpos</w:t>
      </w:r>
      <w:r w:rsidR="005B500A">
        <w:t>ant cette directive</w:t>
      </w:r>
      <w:r w:rsidRPr="006D4F73">
        <w:t>.</w:t>
      </w:r>
    </w:p>
    <w:p w:rsidR="00DF5568" w:rsidRPr="006D4F73" w:rsidRDefault="00A066E0" w:rsidP="0018449D">
      <w:pPr>
        <w:pStyle w:val="ManualConsidrant"/>
      </w:pPr>
      <w:r>
        <w:t>(25)</w:t>
      </w:r>
      <w:r>
        <w:tab/>
      </w:r>
      <w:r w:rsidR="00DF5568" w:rsidRPr="006D4F73">
        <w:t xml:space="preserve">Les dispositions relatives aux </w:t>
      </w:r>
      <w:r w:rsidR="00DF5568">
        <w:t>transferts de fonds</w:t>
      </w:r>
      <w:r w:rsidR="00DF5568" w:rsidRPr="006D4F73">
        <w:t xml:space="preserve"> pour l</w:t>
      </w:r>
      <w:r w:rsidR="00DF5568">
        <w:t xml:space="preserve">esquels des informations </w:t>
      </w:r>
      <w:r w:rsidR="005B500A">
        <w:t>sur le</w:t>
      </w:r>
      <w:r w:rsidR="00DF5568">
        <w:t> </w:t>
      </w:r>
      <w:r w:rsidR="00DF5568" w:rsidRPr="006D4F73">
        <w:t xml:space="preserve">donneur d'ordre ou </w:t>
      </w:r>
      <w:r w:rsidR="005B500A">
        <w:t>le</w:t>
      </w:r>
      <w:r w:rsidR="00DF5568" w:rsidRPr="006D4F73">
        <w:t xml:space="preserve"> bénéficiaire sont manquantes ou incomplètes s'applique</w:t>
      </w:r>
      <w:r w:rsidR="005B500A">
        <w:t>nt</w:t>
      </w:r>
      <w:r w:rsidR="00DF5568" w:rsidRPr="006D4F73">
        <w:t xml:space="preserve"> sans préjudice des obligations imposant aux prestataires de services de paiement et </w:t>
      </w:r>
      <w:r w:rsidR="00DF5568">
        <w:t>aux prestataires de services de </w:t>
      </w:r>
      <w:r w:rsidR="00DF5568" w:rsidRPr="006D4F73">
        <w:t xml:space="preserve">paiement intermédiaires de suspendre et/ou de rejeter les </w:t>
      </w:r>
      <w:r w:rsidR="00DF5568">
        <w:t>transferts de fonds qui enfreignent une </w:t>
      </w:r>
      <w:r w:rsidR="00DF5568" w:rsidRPr="006D4F73">
        <w:t>disposition de droit civil, administratif ou pénal.</w:t>
      </w:r>
    </w:p>
    <w:p w:rsidR="00DF5568" w:rsidRPr="006D4F73" w:rsidRDefault="00DF5568" w:rsidP="000E0951">
      <w:pPr>
        <w:pStyle w:val="ManualConsidrant"/>
      </w:pPr>
      <w:r>
        <w:br w:type="page"/>
      </w:r>
      <w:r w:rsidRPr="006D4F73">
        <w:lastRenderedPageBreak/>
        <w:t>(</w:t>
      </w:r>
      <w:r w:rsidR="00A30148">
        <w:t>2</w:t>
      </w:r>
      <w:r w:rsidR="005447D2">
        <w:t>6</w:t>
      </w:r>
      <w:r>
        <w:t>)</w:t>
      </w:r>
      <w:r>
        <w:tab/>
      </w:r>
      <w:r w:rsidRPr="006D4F73">
        <w:t xml:space="preserve">Afin d'aider les prestataires de services de paiement à mettre en place des procédures efficaces pour détecter les cas dans lesquels ils reçoivent des </w:t>
      </w:r>
      <w:r>
        <w:t>transferts de fonds</w:t>
      </w:r>
      <w:r w:rsidRPr="006D4F73">
        <w:t xml:space="preserve"> pour lesquels des informations sur le donneur d'ordre ou le bénéficiaire sont manquantes ou incomplètes et à prendre des mesures de suivi, l'autorité européenne de surveillance (Autorit</w:t>
      </w:r>
      <w:r>
        <w:t>é bancaire européenne)</w:t>
      </w:r>
      <w:r w:rsidR="007A3405">
        <w:t xml:space="preserve"> </w:t>
      </w:r>
      <w:r>
        <w:t>(</w:t>
      </w:r>
      <w:r w:rsidRPr="006D4F73">
        <w:t>ABE) instituée par le règlement (UE) n° 1093/2</w:t>
      </w:r>
      <w:r>
        <w:t>010 du Parlement européen et du </w:t>
      </w:r>
      <w:r w:rsidRPr="006D4F73">
        <w:t>Conseil</w:t>
      </w:r>
      <w:r w:rsidRPr="000E0951">
        <w:rPr>
          <w:rStyle w:val="FootnoteReference"/>
        </w:rPr>
        <w:footnoteReference w:id="14"/>
      </w:r>
      <w:r w:rsidRPr="006D4F73">
        <w:t>, l'autorité européenne de surveillance (Autorité e</w:t>
      </w:r>
      <w:r>
        <w:t>uropéenne des assurances et des </w:t>
      </w:r>
      <w:r w:rsidRPr="006D4F73">
        <w:t>pensions professionnelles</w:t>
      </w:r>
      <w:r>
        <w:t>) (</w:t>
      </w:r>
      <w:r w:rsidRPr="006D4F73">
        <w:t>AEAPP) instituée par le</w:t>
      </w:r>
      <w:r>
        <w:t xml:space="preserve"> règlement (UE) n° 1094/2010 du </w:t>
      </w:r>
      <w:r w:rsidRPr="006D4F73">
        <w:t>Parlement européen et du Conseil</w:t>
      </w:r>
      <w:r w:rsidRPr="000E0951">
        <w:rPr>
          <w:rStyle w:val="FootnoteReference"/>
        </w:rPr>
        <w:footnoteReference w:id="15"/>
      </w:r>
      <w:r w:rsidRPr="006D4F73">
        <w:t xml:space="preserve"> et l'autorité européenne de surveillance (Autorité européenne des marchés financiers</w:t>
      </w:r>
      <w:r>
        <w:t>) (AEMF) instituée par le </w:t>
      </w:r>
      <w:r w:rsidRPr="006D4F73">
        <w:t>règlement (UE) n° 1095/2010 du Parlement européen et du Conseil</w:t>
      </w:r>
      <w:r w:rsidRPr="000E0951">
        <w:rPr>
          <w:rStyle w:val="FootnoteReference"/>
        </w:rPr>
        <w:footnoteReference w:id="16"/>
      </w:r>
      <w:r>
        <w:t xml:space="preserve"> devraient </w:t>
      </w:r>
      <w:r w:rsidR="005B500A">
        <w:t>formuler</w:t>
      </w:r>
      <w:r>
        <w:t xml:space="preserve"> des </w:t>
      </w:r>
      <w:r w:rsidRPr="006D4F73">
        <w:t>orientations.</w:t>
      </w:r>
    </w:p>
    <w:p w:rsidR="00DF5568" w:rsidRPr="006D4F73" w:rsidRDefault="00DF5568" w:rsidP="0018449D">
      <w:pPr>
        <w:pStyle w:val="ManualConsidrant"/>
      </w:pPr>
      <w:r w:rsidRPr="006D4F73">
        <w:t>(2</w:t>
      </w:r>
      <w:r w:rsidR="005447D2">
        <w:t>7</w:t>
      </w:r>
      <w:r w:rsidRPr="006D4F73">
        <w:t>)</w:t>
      </w:r>
      <w:r w:rsidRPr="006D4F73">
        <w:tab/>
        <w:t xml:space="preserve">Pour permettre une action rapide dans la lutte contre le blanchiment de capitaux et le financement du terrorisme, les prestataires de services de paiement devraient répondre rapidement aux demandes d'informations </w:t>
      </w:r>
      <w:r w:rsidR="005B500A">
        <w:t>sur le</w:t>
      </w:r>
      <w:r w:rsidRPr="006D4F73">
        <w:t xml:space="preserve"> donneur d'ordre et </w:t>
      </w:r>
      <w:r w:rsidR="005B500A">
        <w:t>le</w:t>
      </w:r>
      <w:r w:rsidRPr="006D4F73">
        <w:t xml:space="preserve"> bénéficiaire que leur adressent les autorités responsables de la lutte contre le blanchiment de capitaux ou le financement du terrorisme dans les États membres où </w:t>
      </w:r>
      <w:r>
        <w:t>ces prestataires de services de paiement</w:t>
      </w:r>
      <w:r w:rsidRPr="006D4F73">
        <w:t xml:space="preserve"> sont établis.</w:t>
      </w:r>
    </w:p>
    <w:p w:rsidR="00DF5568" w:rsidRDefault="00024641" w:rsidP="0018449D">
      <w:pPr>
        <w:pStyle w:val="ManualConsidrant"/>
      </w:pPr>
      <w:r>
        <w:br w:type="page"/>
      </w:r>
      <w:r w:rsidR="00DF5568" w:rsidRPr="006D4F73">
        <w:lastRenderedPageBreak/>
        <w:t>(2</w:t>
      </w:r>
      <w:r w:rsidR="005447D2">
        <w:t>8</w:t>
      </w:r>
      <w:r w:rsidR="00DF5568" w:rsidRPr="006D4F73">
        <w:t>)</w:t>
      </w:r>
      <w:r w:rsidR="00DF5568" w:rsidRPr="006D4F73">
        <w:tab/>
        <w:t xml:space="preserve">Le nombre de jours ouvrables dans l'État membre du prestataire de services de paiement du donneur d'ordre détermine le nombre de jours imparti pour répondre </w:t>
      </w:r>
      <w:r w:rsidR="00DF5568">
        <w:t>à une</w:t>
      </w:r>
      <w:r w:rsidR="00DF5568" w:rsidRPr="006D4F73">
        <w:t xml:space="preserve"> demande d'informations sur le donneur d'ordre.</w:t>
      </w:r>
    </w:p>
    <w:p w:rsidR="00A30148" w:rsidRPr="00A066E0" w:rsidRDefault="00A30148" w:rsidP="0018449D">
      <w:pPr>
        <w:pStyle w:val="ManualConsidrant"/>
        <w:rPr>
          <w:shd w:val="clear" w:color="auto" w:fill="FFFFFF"/>
        </w:rPr>
      </w:pPr>
      <w:r w:rsidRPr="006D4F73">
        <w:rPr>
          <w:shd w:val="clear" w:color="auto" w:fill="FFFFFF"/>
        </w:rPr>
        <w:t>(</w:t>
      </w:r>
      <w:r w:rsidR="005B500A">
        <w:rPr>
          <w:shd w:val="clear" w:color="auto" w:fill="FFFFFF"/>
        </w:rPr>
        <w:t>2</w:t>
      </w:r>
      <w:r w:rsidR="005447D2">
        <w:rPr>
          <w:shd w:val="clear" w:color="auto" w:fill="FFFFFF"/>
        </w:rPr>
        <w:t>9</w:t>
      </w:r>
      <w:r w:rsidRPr="006D4F73">
        <w:rPr>
          <w:shd w:val="clear" w:color="auto" w:fill="FFFFFF"/>
        </w:rPr>
        <w:t>)</w:t>
      </w:r>
      <w:r w:rsidRPr="006D4F73">
        <w:tab/>
      </w:r>
      <w:r w:rsidRPr="006D4F73">
        <w:rPr>
          <w:shd w:val="clear" w:color="auto" w:fill="FFFFFF"/>
        </w:rPr>
        <w:t xml:space="preserve">Étant donné que, dans les enquêtes pénales, il n'est parfois possible d'identifier les informations requises ou les personnes impliquées </w:t>
      </w:r>
      <w:r>
        <w:rPr>
          <w:shd w:val="clear" w:color="auto" w:fill="FFFFFF"/>
        </w:rPr>
        <w:t xml:space="preserve">dans une transaction </w:t>
      </w:r>
      <w:r w:rsidRPr="006D4F73">
        <w:rPr>
          <w:shd w:val="clear" w:color="auto" w:fill="FFFFFF"/>
        </w:rPr>
        <w:t xml:space="preserve">que plusieurs mois, voire plusieurs années, après </w:t>
      </w:r>
      <w:r w:rsidR="007A3405">
        <w:rPr>
          <w:shd w:val="clear" w:color="auto" w:fill="FFFFFF"/>
        </w:rPr>
        <w:t>le</w:t>
      </w:r>
      <w:r w:rsidRPr="006D4F73">
        <w:rPr>
          <w:shd w:val="clear" w:color="auto" w:fill="FFFFFF"/>
        </w:rPr>
        <w:t xml:space="preserve"> </w:t>
      </w:r>
      <w:r>
        <w:t>transfert de fonds</w:t>
      </w:r>
      <w:r w:rsidRPr="006D4F73">
        <w:rPr>
          <w:shd w:val="clear" w:color="auto" w:fill="FFFFFF"/>
        </w:rPr>
        <w:t xml:space="preserve"> initial, et pour permettre l'accès à des éléments de preuve essentiels dans le cadre d'enquêtes, il est </w:t>
      </w:r>
      <w:r w:rsidR="0064055D">
        <w:rPr>
          <w:shd w:val="clear" w:color="auto" w:fill="FFFFFF"/>
        </w:rPr>
        <w:t>approprié</w:t>
      </w:r>
      <w:r w:rsidRPr="006D4F73">
        <w:rPr>
          <w:shd w:val="clear" w:color="auto" w:fill="FFFFFF"/>
        </w:rPr>
        <w:t xml:space="preserve"> d'exiger des prestataires de services de paiement qu'ils conservent les informations </w:t>
      </w:r>
      <w:r w:rsidR="005B500A">
        <w:rPr>
          <w:shd w:val="clear" w:color="auto" w:fill="FFFFFF"/>
        </w:rPr>
        <w:t>sur le</w:t>
      </w:r>
      <w:r w:rsidR="0064055D">
        <w:rPr>
          <w:shd w:val="clear" w:color="auto" w:fill="FFFFFF"/>
        </w:rPr>
        <w:t xml:space="preserve"> </w:t>
      </w:r>
      <w:r w:rsidRPr="006D4F73">
        <w:rPr>
          <w:shd w:val="clear" w:color="auto" w:fill="FFFFFF"/>
        </w:rPr>
        <w:t xml:space="preserve">donneur d'ordre et </w:t>
      </w:r>
      <w:r w:rsidR="005B500A">
        <w:rPr>
          <w:shd w:val="clear" w:color="auto" w:fill="FFFFFF"/>
        </w:rPr>
        <w:t>le</w:t>
      </w:r>
      <w:r w:rsidRPr="006D4F73">
        <w:rPr>
          <w:shd w:val="clear" w:color="auto" w:fill="FFFFFF"/>
        </w:rPr>
        <w:t xml:space="preserve"> bénéficiaire </w:t>
      </w:r>
      <w:r>
        <w:rPr>
          <w:shd w:val="clear" w:color="auto" w:fill="FFFFFF"/>
        </w:rPr>
        <w:t xml:space="preserve">pendant une certaine période </w:t>
      </w:r>
      <w:r w:rsidRPr="006D4F73">
        <w:rPr>
          <w:shd w:val="clear" w:color="auto" w:fill="FFFFFF"/>
        </w:rPr>
        <w:t xml:space="preserve">aux fins de la prévention et de la détection du blanchiment de capitaux </w:t>
      </w:r>
      <w:r w:rsidR="007A3405">
        <w:rPr>
          <w:shd w:val="clear" w:color="auto" w:fill="FFFFFF"/>
        </w:rPr>
        <w:t>et</w:t>
      </w:r>
      <w:r w:rsidRPr="006D4F73">
        <w:rPr>
          <w:shd w:val="clear" w:color="auto" w:fill="FFFFFF"/>
        </w:rPr>
        <w:t xml:space="preserve"> du financement du terrorisme et des enquêtes en la matière. Cette </w:t>
      </w:r>
      <w:r>
        <w:rPr>
          <w:shd w:val="clear" w:color="auto" w:fill="FFFFFF"/>
        </w:rPr>
        <w:t>période</w:t>
      </w:r>
      <w:r w:rsidRPr="006D4F73">
        <w:rPr>
          <w:shd w:val="clear" w:color="auto" w:fill="FFFFFF"/>
        </w:rPr>
        <w:t xml:space="preserve"> devrait</w:t>
      </w:r>
      <w:r w:rsidR="0064055D">
        <w:rPr>
          <w:shd w:val="clear" w:color="auto" w:fill="FFFFFF"/>
        </w:rPr>
        <w:t xml:space="preserve"> </w:t>
      </w:r>
      <w:r w:rsidR="007A3405">
        <w:rPr>
          <w:shd w:val="clear" w:color="auto" w:fill="FFFFFF"/>
        </w:rPr>
        <w:t>être limitée à</w:t>
      </w:r>
      <w:r w:rsidRPr="006D4F73">
        <w:rPr>
          <w:shd w:val="clear" w:color="auto" w:fill="FFFFFF"/>
        </w:rPr>
        <w:t xml:space="preserve"> cinq ans, après quoi toutes les données à caractère personnel devraient être supprimées, à moins qu</w:t>
      </w:r>
      <w:r>
        <w:rPr>
          <w:shd w:val="clear" w:color="auto" w:fill="FFFFFF"/>
        </w:rPr>
        <w:t>e l</w:t>
      </w:r>
      <w:r w:rsidR="0064055D">
        <w:rPr>
          <w:shd w:val="clear" w:color="auto" w:fill="FFFFFF"/>
        </w:rPr>
        <w:t>e</w:t>
      </w:r>
      <w:r>
        <w:rPr>
          <w:shd w:val="clear" w:color="auto" w:fill="FFFFFF"/>
        </w:rPr>
        <w:t xml:space="preserve"> </w:t>
      </w:r>
      <w:r w:rsidR="0064055D">
        <w:rPr>
          <w:shd w:val="clear" w:color="auto" w:fill="FFFFFF"/>
        </w:rPr>
        <w:t xml:space="preserve">droit </w:t>
      </w:r>
      <w:r>
        <w:rPr>
          <w:shd w:val="clear" w:color="auto" w:fill="FFFFFF"/>
        </w:rPr>
        <w:t>national n'en </w:t>
      </w:r>
      <w:r w:rsidRPr="006D4F73">
        <w:rPr>
          <w:shd w:val="clear" w:color="auto" w:fill="FFFFFF"/>
        </w:rPr>
        <w:t>dispose autrement.</w:t>
      </w:r>
      <w:r w:rsidRPr="006D4F73">
        <w:t xml:space="preserve"> </w:t>
      </w:r>
      <w:r w:rsidRPr="006D4F73">
        <w:rPr>
          <w:shd w:val="clear" w:color="auto" w:fill="FFFFFF"/>
        </w:rPr>
        <w:t xml:space="preserve">Si cela est nécessaire aux fins de prévenir ou de détecter </w:t>
      </w:r>
      <w:r w:rsidR="007A3405">
        <w:rPr>
          <w:shd w:val="clear" w:color="auto" w:fill="FFFFFF"/>
        </w:rPr>
        <w:t>le</w:t>
      </w:r>
      <w:r w:rsidRPr="006D4F73">
        <w:rPr>
          <w:shd w:val="clear" w:color="auto" w:fill="FFFFFF"/>
        </w:rPr>
        <w:t xml:space="preserve"> blanchiment de capitaux </w:t>
      </w:r>
      <w:r w:rsidR="007A3405">
        <w:rPr>
          <w:shd w:val="clear" w:color="auto" w:fill="FFFFFF"/>
        </w:rPr>
        <w:t>ou</w:t>
      </w:r>
      <w:r w:rsidRPr="006D4F73">
        <w:rPr>
          <w:shd w:val="clear" w:color="auto" w:fill="FFFFFF"/>
        </w:rPr>
        <w:t xml:space="preserve"> </w:t>
      </w:r>
      <w:r w:rsidR="007A3405">
        <w:rPr>
          <w:shd w:val="clear" w:color="auto" w:fill="FFFFFF"/>
        </w:rPr>
        <w:t>l</w:t>
      </w:r>
      <w:r w:rsidRPr="006D4F73">
        <w:rPr>
          <w:shd w:val="clear" w:color="auto" w:fill="FFFFFF"/>
        </w:rPr>
        <w:t xml:space="preserve">e financement du terrorisme ou d'enquêter </w:t>
      </w:r>
      <w:r w:rsidR="007A3405">
        <w:rPr>
          <w:shd w:val="clear" w:color="auto" w:fill="FFFFFF"/>
        </w:rPr>
        <w:t>en la matière</w:t>
      </w:r>
      <w:r w:rsidRPr="006D4F73">
        <w:rPr>
          <w:shd w:val="clear" w:color="auto" w:fill="FFFFFF"/>
        </w:rPr>
        <w:t>, et après avoir procédé à une évaluation de la nécessité et de la proportionnalité</w:t>
      </w:r>
      <w:r>
        <w:rPr>
          <w:shd w:val="clear" w:color="auto" w:fill="FFFFFF"/>
        </w:rPr>
        <w:t xml:space="preserve"> de la mesure</w:t>
      </w:r>
      <w:r w:rsidRPr="006D4F73">
        <w:rPr>
          <w:shd w:val="clear" w:color="auto" w:fill="FFFFFF"/>
        </w:rPr>
        <w:t xml:space="preserve">, les États membres devraient pouvoir permettre ou exiger que les informations soient conservées </w:t>
      </w:r>
      <w:r w:rsidR="0064055D">
        <w:rPr>
          <w:shd w:val="clear" w:color="auto" w:fill="FFFFFF"/>
        </w:rPr>
        <w:t>pour une</w:t>
      </w:r>
      <w:r w:rsidRPr="006D4F73">
        <w:rPr>
          <w:shd w:val="clear" w:color="auto" w:fill="FFFFFF"/>
        </w:rPr>
        <w:t xml:space="preserve"> nouvelle période </w:t>
      </w:r>
      <w:r w:rsidR="0064055D">
        <w:rPr>
          <w:shd w:val="clear" w:color="auto" w:fill="FFFFFF"/>
        </w:rPr>
        <w:t>ne dépassant pas</w:t>
      </w:r>
      <w:r w:rsidRPr="006D4F73">
        <w:rPr>
          <w:shd w:val="clear" w:color="auto" w:fill="FFFFFF"/>
        </w:rPr>
        <w:t xml:space="preserve"> cinq ans, sans préjudice du droit pénal national </w:t>
      </w:r>
      <w:r w:rsidR="007A3405">
        <w:rPr>
          <w:shd w:val="clear" w:color="auto" w:fill="FFFFFF"/>
        </w:rPr>
        <w:t>en matière</w:t>
      </w:r>
      <w:r w:rsidRPr="006D4F73">
        <w:rPr>
          <w:shd w:val="clear" w:color="auto" w:fill="FFFFFF"/>
        </w:rPr>
        <w:t xml:space="preserve"> de preuve applicable aux enquêtes criminelles et aux procédures judiciaires en cours.</w:t>
      </w:r>
    </w:p>
    <w:p w:rsidR="00DF5568" w:rsidRPr="006D4F73" w:rsidRDefault="00DF5568" w:rsidP="0018449D">
      <w:pPr>
        <w:pStyle w:val="ManualConsidrant"/>
        <w:rPr>
          <w:spacing w:val="-4"/>
        </w:rPr>
      </w:pPr>
      <w:r>
        <w:br w:type="page"/>
      </w:r>
      <w:r w:rsidRPr="006D4F73">
        <w:lastRenderedPageBreak/>
        <w:t>(</w:t>
      </w:r>
      <w:r w:rsidR="005447D2">
        <w:t>30</w:t>
      </w:r>
      <w:r w:rsidRPr="006D4F73">
        <w:t>)</w:t>
      </w:r>
      <w:r w:rsidRPr="006D4F73">
        <w:tab/>
        <w:t xml:space="preserve">Afin d'améliorer le respect </w:t>
      </w:r>
      <w:r w:rsidR="0064055D">
        <w:t>du</w:t>
      </w:r>
      <w:r w:rsidRPr="006D4F73">
        <w:t xml:space="preserve"> présent règlement et conformément à la communication de la Commission du 9 décembre 2010 intitulée "Renforcer les régimes de sanctions dans le s</w:t>
      </w:r>
      <w:r>
        <w:t>ecteur des services financiers"</w:t>
      </w:r>
      <w:r w:rsidRPr="006D4F73">
        <w:t xml:space="preserve">, il convient de renforcer les pouvoirs dont disposent les autorités compétentes pour adopter des mesures de surveillance et infliger des sanctions. Des sanctions </w:t>
      </w:r>
      <w:r w:rsidR="007A3405">
        <w:t xml:space="preserve">et mesures </w:t>
      </w:r>
      <w:r w:rsidRPr="006D4F73">
        <w:t xml:space="preserve">administratives devraient être prévues et, étant donné l'importance de la lutte contre le blanchiment de capitaux et le financement du terrorisme, les États membres devraient prévoir des sanctions </w:t>
      </w:r>
      <w:r w:rsidR="007A3405">
        <w:t xml:space="preserve">et des mesures </w:t>
      </w:r>
      <w:r w:rsidRPr="006D4F73">
        <w:t xml:space="preserve">qui soient </w:t>
      </w:r>
      <w:r>
        <w:t>effectives</w:t>
      </w:r>
      <w:r w:rsidRPr="006D4F73">
        <w:t xml:space="preserve">, proportionnées et dissuasives. Les États membres devraient en informer la Commission, </w:t>
      </w:r>
      <w:r w:rsidR="00500ACC">
        <w:t>et</w:t>
      </w:r>
      <w:r w:rsidRPr="006D4F73">
        <w:t xml:space="preserve"> </w:t>
      </w:r>
      <w:r w:rsidR="007A3405">
        <w:t xml:space="preserve">le comité mixte de </w:t>
      </w:r>
      <w:r w:rsidRPr="006D4F73">
        <w:t>l'ABE, l'AEAPP</w:t>
      </w:r>
      <w:r>
        <w:t xml:space="preserve"> et </w:t>
      </w:r>
      <w:r w:rsidRPr="006D4F73">
        <w:t>l</w:t>
      </w:r>
      <w:r w:rsidR="007A3405">
        <w:t>'</w:t>
      </w:r>
      <w:r w:rsidRPr="006D4F73">
        <w:t>AEMF</w:t>
      </w:r>
      <w:r w:rsidR="0064055D">
        <w:t xml:space="preserve"> (ci-après dénommées "AES")</w:t>
      </w:r>
      <w:r w:rsidRPr="006D4F73">
        <w:t>.</w:t>
      </w:r>
    </w:p>
    <w:p w:rsidR="00DF5568" w:rsidRPr="006D4F73" w:rsidRDefault="00DF5568" w:rsidP="000E0951">
      <w:pPr>
        <w:pStyle w:val="ManualConsidrant"/>
      </w:pPr>
      <w:r w:rsidRPr="006D4F73">
        <w:t>(</w:t>
      </w:r>
      <w:r w:rsidR="005447D2">
        <w:t>31</w:t>
      </w:r>
      <w:r w:rsidRPr="006D4F73">
        <w:t>)</w:t>
      </w:r>
      <w:r w:rsidRPr="006D4F73">
        <w:tab/>
        <w:t>Afin d'assurer des conditions uniformes d'application du chapitre V du présent règlement, il convient de conférer des compétences d'exécution à la Commission. Ces compétences devraient être exercées en conformité ave</w:t>
      </w:r>
      <w:r w:rsidR="00024641">
        <w:t xml:space="preserve">c le règlement (UE) </w:t>
      </w:r>
      <w:r w:rsidRPr="006D4F73">
        <w:t>n° 18</w:t>
      </w:r>
      <w:r w:rsidR="00024641">
        <w:t xml:space="preserve">2/2011 du Parlement européen et du </w:t>
      </w:r>
      <w:r w:rsidRPr="006D4F73">
        <w:t>Conseil</w:t>
      </w:r>
      <w:r w:rsidRPr="000E0951">
        <w:rPr>
          <w:rStyle w:val="FootnoteReference"/>
        </w:rPr>
        <w:footnoteReference w:id="17"/>
      </w:r>
      <w:r w:rsidRPr="006D4F73">
        <w:t>.</w:t>
      </w:r>
    </w:p>
    <w:p w:rsidR="00DF5568" w:rsidRPr="006D4F73" w:rsidRDefault="00DF5568" w:rsidP="0018449D">
      <w:pPr>
        <w:pStyle w:val="ManualConsidrant"/>
      </w:pPr>
      <w:r>
        <w:br w:type="page"/>
      </w:r>
      <w:r w:rsidRPr="006D4F73">
        <w:lastRenderedPageBreak/>
        <w:t>(</w:t>
      </w:r>
      <w:r w:rsidR="005447D2">
        <w:t>32</w:t>
      </w:r>
      <w:r w:rsidRPr="006D4F73">
        <w:t>)</w:t>
      </w:r>
      <w:r w:rsidRPr="006D4F73">
        <w:tab/>
        <w:t xml:space="preserve">Un certain nombre de pays et de territoires qui ne font pas partie du territoire de l'Union sont liés à un État membre par une union monétaire, font partie de la zone monétaire d'un État membre ou ont signé une convention monétaire avec l'Union représentée par un État membre, et ont des prestataires de services de paiement qui participent directement ou indirectement aux systèmes de paiement et de règlement de cet État membre. Afin d'éviter </w:t>
      </w:r>
      <w:r w:rsidR="00500ACC">
        <w:t xml:space="preserve">que </w:t>
      </w:r>
      <w:r w:rsidRPr="006D4F73">
        <w:t xml:space="preserve">l'application du présent règlement aux </w:t>
      </w:r>
      <w:r>
        <w:t>transferts de fonds</w:t>
      </w:r>
      <w:r w:rsidRPr="006D4F73">
        <w:t xml:space="preserve"> entre les États membres concernés et ces pays ou territoires</w:t>
      </w:r>
      <w:r w:rsidR="00500ACC">
        <w:t xml:space="preserve"> n</w:t>
      </w:r>
      <w:r w:rsidR="0018449D">
        <w:t>'</w:t>
      </w:r>
      <w:r w:rsidR="00500ACC">
        <w:t>ait</w:t>
      </w:r>
      <w:r w:rsidRPr="006D4F73">
        <w:t xml:space="preserve"> une incidence négative importante sur l'économie de ces </w:t>
      </w:r>
      <w:r w:rsidR="007A3405">
        <w:t>pays ou territoires</w:t>
      </w:r>
      <w:r w:rsidRPr="006D4F73">
        <w:t xml:space="preserve">, il convient de </w:t>
      </w:r>
      <w:r w:rsidR="007A3405">
        <w:t>prévoir</w:t>
      </w:r>
      <w:r w:rsidRPr="006D4F73">
        <w:t xml:space="preserve"> que ces </w:t>
      </w:r>
      <w:r>
        <w:t>transferts de fonds</w:t>
      </w:r>
      <w:r w:rsidRPr="006D4F73">
        <w:t xml:space="preserve"> peuvent être traités comme des </w:t>
      </w:r>
      <w:r>
        <w:t>transferts</w:t>
      </w:r>
      <w:r w:rsidRPr="006D4F73">
        <w:t xml:space="preserve"> </w:t>
      </w:r>
      <w:r w:rsidR="007A3405">
        <w:t xml:space="preserve">de fonds </w:t>
      </w:r>
      <w:r w:rsidRPr="006D4F73">
        <w:t>internes aux États membres concernés.</w:t>
      </w:r>
    </w:p>
    <w:p w:rsidR="00DF5568" w:rsidRPr="006D4F73" w:rsidRDefault="00DF5568" w:rsidP="000E0951">
      <w:pPr>
        <w:pStyle w:val="ManualConsidrant"/>
      </w:pPr>
      <w:r w:rsidRPr="006D4F73">
        <w:t>(</w:t>
      </w:r>
      <w:r w:rsidR="005447D2">
        <w:t>33</w:t>
      </w:r>
      <w:r w:rsidRPr="006D4F73">
        <w:t>)</w:t>
      </w:r>
      <w:r w:rsidRPr="006D4F73">
        <w:tab/>
        <w:t xml:space="preserve">Compte tenu </w:t>
      </w:r>
      <w:r w:rsidR="0064055D">
        <w:t xml:space="preserve">du nombre </w:t>
      </w:r>
      <w:r w:rsidRPr="006D4F73">
        <w:t>de modifications qu'il serait nécessaire d'apporter au règlement (CE) n° 1781/2006 du Parlement européen et du Conseil</w:t>
      </w:r>
      <w:r w:rsidRPr="000E0951">
        <w:rPr>
          <w:rStyle w:val="FootnoteReference"/>
        </w:rPr>
        <w:footnoteReference w:id="18"/>
      </w:r>
      <w:r>
        <w:t xml:space="preserve"> </w:t>
      </w:r>
      <w:r w:rsidR="0064055D">
        <w:t>en vertu</w:t>
      </w:r>
      <w:r>
        <w:t xml:space="preserve"> du présent règlement</w:t>
      </w:r>
      <w:r w:rsidRPr="006D4F73">
        <w:t xml:space="preserve">, </w:t>
      </w:r>
      <w:r w:rsidR="007A3405">
        <w:t>ledit</w:t>
      </w:r>
      <w:r w:rsidR="007A3405" w:rsidRPr="006D4F73">
        <w:t xml:space="preserve"> </w:t>
      </w:r>
      <w:r w:rsidRPr="006D4F73">
        <w:t>règlement devrait être abrogé, pour des raisons de clarté.</w:t>
      </w:r>
    </w:p>
    <w:p w:rsidR="00DF5568" w:rsidRPr="006D4F73" w:rsidRDefault="00DF5568" w:rsidP="0018449D">
      <w:pPr>
        <w:pStyle w:val="ManualConsidrant"/>
      </w:pPr>
      <w:r w:rsidRPr="006D4F73">
        <w:t>(</w:t>
      </w:r>
      <w:r w:rsidR="005447D2">
        <w:t>34</w:t>
      </w:r>
      <w:r w:rsidRPr="006D4F73">
        <w:t>)</w:t>
      </w:r>
      <w:r w:rsidRPr="006D4F73">
        <w:tab/>
        <w:t xml:space="preserve">Étant donné que les objectifs du présent règlement ne peuvent pas être atteints de manière suffisante par les États membres </w:t>
      </w:r>
      <w:r>
        <w:t>mais</w:t>
      </w:r>
      <w:r w:rsidRPr="006D4F73">
        <w:t xml:space="preserve"> peuvent en raison des dimensions ou des effets de l'action envisagée </w:t>
      </w:r>
      <w:r>
        <w:t>l'</w:t>
      </w:r>
      <w:r w:rsidRPr="006D4F73">
        <w:t>être mieux au niveau de l'Union, celle-ci peut prendre des mesures conformément au principe de subsidiarité consacré à l'article 5 du traité</w:t>
      </w:r>
      <w:r>
        <w:t xml:space="preserve"> sur l'Union européenne</w:t>
      </w:r>
      <w:r w:rsidRPr="006D4F73">
        <w:t>. Conformément au principe de proportionnalité tel qu'énoncé audit article, le présent règlement n'excède pas ce qui est nécessaire pour atteindre ces objectifs.</w:t>
      </w:r>
    </w:p>
    <w:p w:rsidR="00DF5568" w:rsidRPr="006D4F73" w:rsidRDefault="00DF5568" w:rsidP="0018449D">
      <w:pPr>
        <w:pStyle w:val="ManualConsidrant"/>
      </w:pPr>
      <w:r>
        <w:br w:type="page"/>
      </w:r>
      <w:r w:rsidRPr="006D4F73">
        <w:lastRenderedPageBreak/>
        <w:t>(</w:t>
      </w:r>
      <w:r w:rsidR="005447D2">
        <w:t>35</w:t>
      </w:r>
      <w:r w:rsidRPr="006D4F73">
        <w:t>)</w:t>
      </w:r>
      <w:r w:rsidRPr="006D4F73">
        <w:tab/>
        <w:t>Le présent règlement respecte les droits fondamentaux et observ</w:t>
      </w:r>
      <w:r>
        <w:t>e les principes reconnus par la c</w:t>
      </w:r>
      <w:r w:rsidRPr="006D4F73">
        <w:t>harte des droits fondamentaux de l'Union européenne, en particulier le droit au respect de la vie privée et familiale (article 7), le droit à la protection des données à cara</w:t>
      </w:r>
      <w:r>
        <w:t>ctère personnel (article 8), le </w:t>
      </w:r>
      <w:r w:rsidRPr="006D4F73">
        <w:t xml:space="preserve">droit à un recours effectif et à accéder à un tribunal impartial (article 47) et le principe </w:t>
      </w:r>
      <w:r w:rsidRPr="00B639C5">
        <w:rPr>
          <w:iCs/>
        </w:rPr>
        <w:t>ne bis in idem</w:t>
      </w:r>
      <w:r w:rsidRPr="006D4F73">
        <w:t>.</w:t>
      </w:r>
    </w:p>
    <w:p w:rsidR="00DF5568" w:rsidRPr="0000184F" w:rsidRDefault="00DF5568" w:rsidP="0018449D">
      <w:pPr>
        <w:pStyle w:val="ManualConsidrant"/>
      </w:pPr>
      <w:r w:rsidRPr="006D4F73">
        <w:t>(</w:t>
      </w:r>
      <w:r w:rsidR="005447D2">
        <w:t>36</w:t>
      </w:r>
      <w:r w:rsidRPr="006D4F73">
        <w:t>)</w:t>
      </w:r>
      <w:r w:rsidRPr="006D4F73">
        <w:tab/>
        <w:t xml:space="preserve">Pour assurer </w:t>
      </w:r>
      <w:r>
        <w:t>la</w:t>
      </w:r>
      <w:r w:rsidRPr="006D4F73">
        <w:t xml:space="preserve"> mise en place sans heurts du cadre de</w:t>
      </w:r>
      <w:r>
        <w:t xml:space="preserve"> </w:t>
      </w:r>
      <w:r w:rsidR="007A3405">
        <w:t xml:space="preserve">la </w:t>
      </w:r>
      <w:r>
        <w:t>lutte contre le blanchiment de </w:t>
      </w:r>
      <w:r w:rsidRPr="006D4F73">
        <w:t>capitaux et le financement du terrorisme, il convient de faire coï</w:t>
      </w:r>
      <w:r>
        <w:t>ncider la date d'application du </w:t>
      </w:r>
      <w:r w:rsidRPr="006D4F73">
        <w:t>présent règlement avec la fin du délai de transposition de la directive (UE) 2015</w:t>
      </w:r>
      <w:r>
        <w:t>/</w:t>
      </w:r>
      <w:r w:rsidRPr="006D4F73">
        <w:t>...</w:t>
      </w:r>
      <w:r>
        <w:rPr>
          <w:rStyle w:val="FootnoteReference"/>
        </w:rPr>
        <w:footnoteReference w:customMarkFollows="1" w:id="19"/>
        <w:t>*</w:t>
      </w:r>
      <w:r>
        <w:t>.</w:t>
      </w:r>
    </w:p>
    <w:p w:rsidR="00DF5568" w:rsidRPr="006D4F73" w:rsidRDefault="00A066E0" w:rsidP="0018449D">
      <w:pPr>
        <w:pStyle w:val="ManualConsidrant"/>
      </w:pPr>
      <w:r>
        <w:t>(37)</w:t>
      </w:r>
      <w:r>
        <w:tab/>
      </w:r>
      <w:r w:rsidR="00DF5568" w:rsidRPr="006D4F73">
        <w:t xml:space="preserve">Le Contrôleur européen de la protection des données </w:t>
      </w:r>
      <w:r w:rsidR="0064055D">
        <w:t>a été consulté conformément à l'article 28, paragraphe 2, du règlement (CE) n° 45/2001</w:t>
      </w:r>
      <w:r w:rsidR="005B500A">
        <w:t xml:space="preserve"> du Parlement européen et du Conseil</w:t>
      </w:r>
      <w:r w:rsidR="0064055D">
        <w:rPr>
          <w:rStyle w:val="FootnoteReference"/>
        </w:rPr>
        <w:footnoteReference w:id="20"/>
      </w:r>
      <w:r w:rsidR="0064055D">
        <w:t xml:space="preserve"> et </w:t>
      </w:r>
      <w:r w:rsidR="00DF5568" w:rsidRPr="006D4F73">
        <w:t>a rendu un avis le 4 juillet 2013</w:t>
      </w:r>
      <w:r w:rsidR="0064055D">
        <w:rPr>
          <w:rStyle w:val="FootnoteReference"/>
        </w:rPr>
        <w:footnoteReference w:id="21"/>
      </w:r>
      <w:r w:rsidR="00DF5568" w:rsidRPr="006D4F73">
        <w:t>,</w:t>
      </w:r>
    </w:p>
    <w:p w:rsidR="00DF5568" w:rsidRPr="006D4F73" w:rsidRDefault="00DF5568" w:rsidP="00A066E0">
      <w:pPr>
        <w:pStyle w:val="Formuledadoption"/>
      </w:pPr>
      <w:r w:rsidRPr="006D4F73">
        <w:t>ONT ADOPTÉ LE PRÉSENT RÈGLEMENT:</w:t>
      </w:r>
    </w:p>
    <w:p w:rsidR="00DF5568" w:rsidRPr="006D4F73" w:rsidRDefault="00DF5568" w:rsidP="00DF5568">
      <w:pPr>
        <w:pStyle w:val="ChapterTitle"/>
        <w:rPr>
          <w:noProof/>
        </w:rPr>
      </w:pPr>
      <w:r>
        <w:br w:type="page"/>
      </w:r>
      <w:r w:rsidRPr="006D4F73">
        <w:lastRenderedPageBreak/>
        <w:t>CHAPITRE I</w:t>
      </w:r>
      <w:r>
        <w:br/>
      </w:r>
      <w:r w:rsidRPr="006D4F73">
        <w:t xml:space="preserve">OBJET, </w:t>
      </w:r>
      <w:r w:rsidR="005F6501" w:rsidRPr="006D4F73">
        <w:t xml:space="preserve">CHAMP D'APPLICATION </w:t>
      </w:r>
      <w:r w:rsidRPr="006D4F73">
        <w:t xml:space="preserve">ET </w:t>
      </w:r>
      <w:r w:rsidR="005F6501" w:rsidRPr="006D4F73">
        <w:t>DÉFINITIONS</w:t>
      </w:r>
    </w:p>
    <w:p w:rsidR="00DF5568" w:rsidRPr="00DF5568" w:rsidRDefault="00DF5568" w:rsidP="00DF5568">
      <w:pPr>
        <w:pStyle w:val="Titrearticle"/>
      </w:pPr>
      <w:r w:rsidRPr="00DF5568">
        <w:t>Article premier</w:t>
      </w:r>
      <w:r w:rsidRPr="00DF5568">
        <w:br/>
        <w:t>Objet</w:t>
      </w:r>
    </w:p>
    <w:p w:rsidR="00DF5568" w:rsidRPr="006D4F73" w:rsidRDefault="00DF5568" w:rsidP="00024641">
      <w:r w:rsidRPr="006D4F73">
        <w:t>Le présent règlement établit les règles relatives aux informatio</w:t>
      </w:r>
      <w:r>
        <w:t xml:space="preserve">ns </w:t>
      </w:r>
      <w:r w:rsidR="005B500A">
        <w:t>sur les</w:t>
      </w:r>
      <w:r>
        <w:t xml:space="preserve"> donneur</w:t>
      </w:r>
      <w:r w:rsidR="00AB5D39">
        <w:t>s</w:t>
      </w:r>
      <w:r>
        <w:t xml:space="preserve"> d'ordre et </w:t>
      </w:r>
      <w:r w:rsidR="005B500A">
        <w:t>les</w:t>
      </w:r>
      <w:r w:rsidR="00024641">
        <w:t xml:space="preserve"> </w:t>
      </w:r>
      <w:r w:rsidRPr="006D4F73">
        <w:t>bénéficiaire</w:t>
      </w:r>
      <w:r w:rsidR="00AB5D39">
        <w:t>s</w:t>
      </w:r>
      <w:r w:rsidRPr="006D4F73">
        <w:t xml:space="preserve"> accompagn</w:t>
      </w:r>
      <w:r w:rsidR="00132BE9">
        <w:t>ant</w:t>
      </w:r>
      <w:r w:rsidRPr="006D4F73">
        <w:t xml:space="preserve"> les </w:t>
      </w:r>
      <w:r>
        <w:t>transferts</w:t>
      </w:r>
      <w:r w:rsidRPr="006D4F73">
        <w:t xml:space="preserve"> de fonds, dans q</w:t>
      </w:r>
      <w:r w:rsidR="00024641">
        <w:t xml:space="preserve">uelque monnaie que ce soit, aux </w:t>
      </w:r>
      <w:r w:rsidRPr="006D4F73">
        <w:t>fins de la prévention et de la détection d</w:t>
      </w:r>
      <w:r w:rsidR="00091FA0">
        <w:t>u</w:t>
      </w:r>
      <w:r w:rsidRPr="006D4F73">
        <w:t xml:space="preserve"> blanchiment de capitaux et d</w:t>
      </w:r>
      <w:r w:rsidR="00091FA0">
        <w:t>u</w:t>
      </w:r>
      <w:r w:rsidRPr="006D4F73">
        <w:t xml:space="preserve"> financement du terrorisme et des enquêtes en la matière, lorsqu'au moins un </w:t>
      </w:r>
      <w:r>
        <w:t>des prestataires de services de </w:t>
      </w:r>
      <w:r w:rsidRPr="006D4F73">
        <w:t xml:space="preserve">paiement intervenant dans le </w:t>
      </w:r>
      <w:r>
        <w:t>transfert</w:t>
      </w:r>
      <w:r w:rsidRPr="006D4F73">
        <w:t xml:space="preserve"> de</w:t>
      </w:r>
      <w:r>
        <w:t>s</w:t>
      </w:r>
      <w:r w:rsidRPr="006D4F73">
        <w:t xml:space="preserve"> fonds est établi dans l'Union.</w:t>
      </w:r>
    </w:p>
    <w:p w:rsidR="005447D2" w:rsidRPr="006D4F73" w:rsidRDefault="005447D2" w:rsidP="005447D2">
      <w:pPr>
        <w:pStyle w:val="Titrearticle"/>
        <w:rPr>
          <w:iCs/>
        </w:rPr>
      </w:pPr>
      <w:r w:rsidRPr="006D4F73">
        <w:rPr>
          <w:noProof/>
        </w:rPr>
        <w:t xml:space="preserve">Article </w:t>
      </w:r>
      <w:r>
        <w:rPr>
          <w:noProof/>
        </w:rPr>
        <w:t>2</w:t>
      </w:r>
      <w:r w:rsidRPr="006D4F73">
        <w:rPr>
          <w:iCs/>
          <w:noProof/>
        </w:rPr>
        <w:br/>
      </w:r>
      <w:r w:rsidRPr="006D4F73">
        <w:rPr>
          <w:noProof/>
        </w:rPr>
        <w:t>Champ d'application</w:t>
      </w:r>
    </w:p>
    <w:p w:rsidR="005447D2" w:rsidRPr="00024641" w:rsidRDefault="005447D2" w:rsidP="00024641">
      <w:pPr>
        <w:pStyle w:val="ManualNumPar1"/>
      </w:pPr>
      <w:r w:rsidRPr="00024641">
        <w:t>1.</w:t>
      </w:r>
      <w:r w:rsidRPr="00024641">
        <w:tab/>
        <w:t>Le présent règlement s'applique aux transferts de fonds, dans quelque monnaie que ce soit, qui sont envoyés ou reçus par un prestataire de services de paiement ou un prestataire de services de paiement intermédiaire établi dans l'Union.</w:t>
      </w:r>
    </w:p>
    <w:p w:rsidR="005447D2" w:rsidRPr="00024641" w:rsidRDefault="005447D2" w:rsidP="00024641">
      <w:pPr>
        <w:pStyle w:val="ManualNumPar1"/>
      </w:pPr>
      <w:r w:rsidRPr="00024641">
        <w:t>2.</w:t>
      </w:r>
      <w:r w:rsidRPr="00024641">
        <w:tab/>
        <w:t>Le présent règlement ne s'applique pas aux services énumérés à l'article 3, points a) à m) et o), de la directive 2007/64/CE.</w:t>
      </w:r>
    </w:p>
    <w:p w:rsidR="005447D2" w:rsidRPr="00024641" w:rsidRDefault="00024641" w:rsidP="00024641">
      <w:pPr>
        <w:pStyle w:val="ManualNumPar1"/>
      </w:pPr>
      <w:r>
        <w:br w:type="page"/>
      </w:r>
      <w:r w:rsidR="005447D2" w:rsidRPr="00024641">
        <w:lastRenderedPageBreak/>
        <w:t>3.</w:t>
      </w:r>
      <w:r w:rsidR="005447D2" w:rsidRPr="00024641">
        <w:tab/>
        <w:t>Le présent règlement ne s'applique pas aux transferts de fonds effectués</w:t>
      </w:r>
      <w:r w:rsidRPr="00024641">
        <w:t xml:space="preserve"> à l'aide d'une carte de </w:t>
      </w:r>
      <w:r w:rsidR="005447D2" w:rsidRPr="00024641">
        <w:t>paiement, d'un instrument de monnaie électronique ou d'un téléphone portable</w:t>
      </w:r>
      <w:r w:rsidR="00333DD6" w:rsidRPr="00024641">
        <w:t>,</w:t>
      </w:r>
      <w:r w:rsidR="005447D2" w:rsidRPr="00024641">
        <w:t xml:space="preserve"> ou </w:t>
      </w:r>
      <w:r w:rsidR="00333DD6" w:rsidRPr="00024641">
        <w:t xml:space="preserve">de tout </w:t>
      </w:r>
      <w:r w:rsidR="005447D2" w:rsidRPr="00024641">
        <w:t>autre dispositif numérique ou informatique qui permet de pré- ou post-payer présentant des caractéristiques similaires, si les conditions suivantes sont remplies:</w:t>
      </w:r>
    </w:p>
    <w:p w:rsidR="005447D2" w:rsidRPr="00024641" w:rsidRDefault="005447D2" w:rsidP="00024641">
      <w:pPr>
        <w:pStyle w:val="Point10"/>
      </w:pPr>
      <w:r w:rsidRPr="00024641">
        <w:t>a)</w:t>
      </w:r>
      <w:r w:rsidRPr="00024641">
        <w:tab/>
        <w:t>la carte, l'instrument ou le dispositif est utilisé exclusivement pour payer des biens ou des services; et</w:t>
      </w:r>
    </w:p>
    <w:p w:rsidR="005447D2" w:rsidRPr="00024641" w:rsidRDefault="005447D2" w:rsidP="00024641">
      <w:pPr>
        <w:pStyle w:val="Point10"/>
      </w:pPr>
      <w:r w:rsidRPr="00024641">
        <w:t>b)</w:t>
      </w:r>
      <w:r w:rsidRPr="00024641">
        <w:tab/>
        <w:t>le numéro de cette carte, de cet instrument ou de ce dispositif accompagne tous les transferts découlant de la transaction.</w:t>
      </w:r>
    </w:p>
    <w:p w:rsidR="005447D2" w:rsidRPr="006D4F73" w:rsidRDefault="005447D2" w:rsidP="00024641">
      <w:pPr>
        <w:pStyle w:val="Text1"/>
        <w:rPr>
          <w:noProof/>
        </w:rPr>
      </w:pPr>
      <w:r>
        <w:t>Cependant</w:t>
      </w:r>
      <w:r w:rsidRPr="006D4F73">
        <w:t xml:space="preserve">, le présent règlement est applicable lorsqu'une carte de paiement, un instrument de monnaie électronique </w:t>
      </w:r>
      <w:r>
        <w:t xml:space="preserve">ou </w:t>
      </w:r>
      <w:r w:rsidRPr="006D4F73">
        <w:t>un téléphone portable</w:t>
      </w:r>
      <w:r w:rsidR="00333DD6">
        <w:t>,</w:t>
      </w:r>
      <w:r w:rsidRPr="006D4F73">
        <w:t xml:space="preserve"> ou </w:t>
      </w:r>
      <w:r w:rsidR="00333DD6">
        <w:t xml:space="preserve">tout </w:t>
      </w:r>
      <w:r w:rsidRPr="006D4F73">
        <w:t xml:space="preserve">autre </w:t>
      </w:r>
      <w:r>
        <w:t>dispositif</w:t>
      </w:r>
      <w:r w:rsidRPr="006D4F73">
        <w:t xml:space="preserve"> numérique ou informatique</w:t>
      </w:r>
      <w:r>
        <w:t xml:space="preserve"> qui permet de</w:t>
      </w:r>
      <w:r w:rsidRPr="006D4F73">
        <w:t xml:space="preserve"> pré- ou post-pa</w:t>
      </w:r>
      <w:r>
        <w:t>yer</w:t>
      </w:r>
      <w:r w:rsidRPr="006D4F73">
        <w:t xml:space="preserve"> présentant des caractéristiques similaires</w:t>
      </w:r>
      <w:r w:rsidR="00333DD6">
        <w:t>,</w:t>
      </w:r>
      <w:r w:rsidRPr="006D4F73">
        <w:t xml:space="preserve"> est utilisé pour effectuer un </w:t>
      </w:r>
      <w:r>
        <w:t>transfert</w:t>
      </w:r>
      <w:r w:rsidRPr="006D4F73">
        <w:t xml:space="preserve"> de fonds entre particuliers.</w:t>
      </w:r>
    </w:p>
    <w:p w:rsidR="005447D2" w:rsidRPr="006D4F73" w:rsidRDefault="005447D2" w:rsidP="00024641">
      <w:pPr>
        <w:pStyle w:val="ManualNumPar1"/>
      </w:pPr>
      <w:r>
        <w:t>4</w:t>
      </w:r>
      <w:r w:rsidR="00A066E0">
        <w:t>.</w:t>
      </w:r>
      <w:r>
        <w:tab/>
      </w:r>
      <w:r w:rsidRPr="006D4F73">
        <w:t xml:space="preserve">Le présent règlement n'est pas applicable aux personnes </w:t>
      </w:r>
      <w:r w:rsidR="00132BE9">
        <w:t>qui ne font que</w:t>
      </w:r>
      <w:r w:rsidRPr="006D4F73">
        <w:t xml:space="preserve"> numériser des documents papier </w:t>
      </w:r>
      <w:r>
        <w:t xml:space="preserve">et qui agissent </w:t>
      </w:r>
      <w:r w:rsidR="00333DD6">
        <w:t xml:space="preserve">en vertu </w:t>
      </w:r>
      <w:r w:rsidRPr="006D4F73">
        <w:t>d'un contrat avec un prestataire de services de paiement, ni à celles dont l</w:t>
      </w:r>
      <w:r>
        <w:t xml:space="preserve">a seule </w:t>
      </w:r>
      <w:r w:rsidRPr="006D4F73">
        <w:t xml:space="preserve">activité </w:t>
      </w:r>
      <w:r>
        <w:t>est de</w:t>
      </w:r>
      <w:r w:rsidRPr="006D4F73">
        <w:t xml:space="preserve"> fournir aux prestataires de services de paiement des systèmes de messagerie ou d'autres systèmes de support pour la transmission de fonds, ou des systèmes de compensation et de règlement.</w:t>
      </w:r>
    </w:p>
    <w:p w:rsidR="005447D2" w:rsidRPr="006D4F73" w:rsidRDefault="005447D2" w:rsidP="00024641">
      <w:pPr>
        <w:pStyle w:val="Text1"/>
      </w:pPr>
      <w:r w:rsidRPr="006D4F73">
        <w:t xml:space="preserve">Le présent règlement ne s'applique pas aux </w:t>
      </w:r>
      <w:r>
        <w:t>transferts</w:t>
      </w:r>
      <w:r w:rsidRPr="006D4F73">
        <w:t xml:space="preserve"> de fonds:</w:t>
      </w:r>
    </w:p>
    <w:p w:rsidR="005447D2" w:rsidRPr="006D4F73" w:rsidRDefault="00A066E0" w:rsidP="00024641">
      <w:pPr>
        <w:pStyle w:val="Point10"/>
      </w:pPr>
      <w:r>
        <w:t>a)</w:t>
      </w:r>
      <w:r w:rsidR="00333DD6">
        <w:tab/>
      </w:r>
      <w:r w:rsidR="005447D2" w:rsidRPr="006D4F73">
        <w:t xml:space="preserve">qui </w:t>
      </w:r>
      <w:r w:rsidR="005447D2">
        <w:t>impliquent</w:t>
      </w:r>
      <w:r w:rsidR="005447D2" w:rsidRPr="006D4F73">
        <w:t xml:space="preserve"> que le donneur d'ordre retire des espèces de son propre compte</w:t>
      </w:r>
      <w:r w:rsidR="005447D2">
        <w:t xml:space="preserve"> de paiement</w:t>
      </w:r>
      <w:r w:rsidR="005447D2" w:rsidRPr="006D4F73">
        <w:t>;</w:t>
      </w:r>
    </w:p>
    <w:p w:rsidR="005447D2" w:rsidRPr="006D4F73" w:rsidRDefault="00A066E0" w:rsidP="00024641">
      <w:pPr>
        <w:pStyle w:val="Point10"/>
      </w:pPr>
      <w:r>
        <w:t>b)</w:t>
      </w:r>
      <w:r w:rsidR="00333DD6">
        <w:tab/>
      </w:r>
      <w:r w:rsidR="005447D2">
        <w:t xml:space="preserve">qui constituent des transferts de fonds </w:t>
      </w:r>
      <w:r w:rsidR="005447D2" w:rsidRPr="006D4F73">
        <w:t>au profit d'</w:t>
      </w:r>
      <w:r w:rsidR="005447D2">
        <w:t xml:space="preserve">une </w:t>
      </w:r>
      <w:r w:rsidR="005447D2" w:rsidRPr="006D4F73">
        <w:t>autorité publique pour le paiement d'impôts, d'amendes ou d'autres prélèvements</w:t>
      </w:r>
      <w:r w:rsidR="005447D2">
        <w:t xml:space="preserve"> au sein d'un État membre</w:t>
      </w:r>
      <w:r w:rsidR="005447D2" w:rsidRPr="006D4F73">
        <w:t>;</w:t>
      </w:r>
    </w:p>
    <w:p w:rsidR="005447D2" w:rsidRPr="006D4F73" w:rsidRDefault="00024641" w:rsidP="00024641">
      <w:pPr>
        <w:pStyle w:val="Point10"/>
      </w:pPr>
      <w:r>
        <w:br w:type="page"/>
      </w:r>
      <w:r w:rsidR="00A066E0">
        <w:lastRenderedPageBreak/>
        <w:t>c)</w:t>
      </w:r>
      <w:r w:rsidR="00333DD6">
        <w:tab/>
      </w:r>
      <w:r w:rsidR="005447D2" w:rsidRPr="006D4F73">
        <w:t>pour lesquels le donneur d'ordre et le bénéficiaire sont tous deux des prestataires de services de paiement agissant pour leur propre compte;</w:t>
      </w:r>
    </w:p>
    <w:p w:rsidR="005447D2" w:rsidRPr="006D4F73" w:rsidRDefault="005447D2" w:rsidP="00024641">
      <w:pPr>
        <w:pStyle w:val="Point10"/>
      </w:pPr>
      <w:r>
        <w:t>d</w:t>
      </w:r>
      <w:r w:rsidR="00A066E0">
        <w:t>)</w:t>
      </w:r>
      <w:r w:rsidR="00333DD6">
        <w:tab/>
      </w:r>
      <w:r w:rsidRPr="00C21133">
        <w:t xml:space="preserve">qui sont </w:t>
      </w:r>
      <w:r>
        <w:t>effectués</w:t>
      </w:r>
      <w:r w:rsidRPr="006D4F73">
        <w:t xml:space="preserve"> au moyen d'échanges d'images chèques</w:t>
      </w:r>
      <w:r w:rsidR="0001766D">
        <w:t>, y compris des chèques digitalisés</w:t>
      </w:r>
      <w:r w:rsidRPr="006D4F73">
        <w:t>.</w:t>
      </w:r>
    </w:p>
    <w:p w:rsidR="005447D2" w:rsidRPr="00024641" w:rsidRDefault="005447D2" w:rsidP="00024641">
      <w:pPr>
        <w:pStyle w:val="ManualNumPar1"/>
      </w:pPr>
      <w:r w:rsidRPr="00024641">
        <w:t>5.</w:t>
      </w:r>
      <w:r w:rsidRPr="00024641">
        <w:tab/>
        <w:t xml:space="preserve">Un État membre peut décider de ne pas appliquer le présent règlement aux transferts de fonds effectués, sur son territoire, sur le compte de paiement d'un bénéficiaire permettant le paiement </w:t>
      </w:r>
      <w:r w:rsidR="005A67A2" w:rsidRPr="00024641">
        <w:t xml:space="preserve">exclusivement </w:t>
      </w:r>
      <w:r w:rsidRPr="00024641">
        <w:t>pour la</w:t>
      </w:r>
      <w:r w:rsidR="00024641">
        <w:t xml:space="preserve"> </w:t>
      </w:r>
      <w:r w:rsidRPr="00024641">
        <w:t>fourniture de biens ou de services, si toutes les conditions suivantes sont réunies:</w:t>
      </w:r>
    </w:p>
    <w:p w:rsidR="005447D2" w:rsidRPr="006D4F73" w:rsidRDefault="005447D2" w:rsidP="005447D2">
      <w:pPr>
        <w:pStyle w:val="Point10"/>
      </w:pPr>
      <w:r w:rsidRPr="006D4F73">
        <w:t>a)</w:t>
      </w:r>
      <w:r>
        <w:tab/>
      </w:r>
      <w:r w:rsidRPr="006D4F73">
        <w:t xml:space="preserve">le prestataire de services de paiement du bénéficiaire est soumis </w:t>
      </w:r>
      <w:r>
        <w:t xml:space="preserve">à la directive (UE) </w:t>
      </w:r>
      <w:r w:rsidRPr="006D4F73">
        <w:t>2015</w:t>
      </w:r>
      <w:r>
        <w:t>/</w:t>
      </w:r>
      <w:r w:rsidRPr="006D4F73">
        <w:t>...</w:t>
      </w:r>
      <w:r w:rsidRPr="00B639C5">
        <w:rPr>
          <w:b/>
          <w:vertAlign w:val="superscript"/>
        </w:rPr>
        <w:footnoteReference w:customMarkFollows="1" w:id="22"/>
        <w:t>*</w:t>
      </w:r>
      <w:r w:rsidRPr="006D4F73">
        <w:t>;</w:t>
      </w:r>
    </w:p>
    <w:p w:rsidR="005447D2" w:rsidRPr="006D4F73" w:rsidRDefault="005447D2" w:rsidP="005447D2">
      <w:pPr>
        <w:pStyle w:val="Point10"/>
      </w:pPr>
      <w:r w:rsidRPr="006D4F73">
        <w:t>b)</w:t>
      </w:r>
      <w:r>
        <w:tab/>
      </w:r>
      <w:r w:rsidRPr="006D4F73">
        <w:t xml:space="preserve">le prestataire de services de paiement du bénéficiaire </w:t>
      </w:r>
      <w:r>
        <w:t>est en mesure</w:t>
      </w:r>
      <w:r w:rsidRPr="006D4F73">
        <w:t xml:space="preserve">, grâce à un identifiant de transaction unique, </w:t>
      </w:r>
      <w:r>
        <w:t xml:space="preserve">de </w:t>
      </w:r>
      <w:r w:rsidRPr="006D4F73">
        <w:t>remonter, par l'intermédiaire du bénéficiaire, jusqu'à la personne qui a un accord avec le bénéficiaire aux fins de la fourniture de biens ou de services;</w:t>
      </w:r>
    </w:p>
    <w:p w:rsidR="005447D2" w:rsidRPr="006D4F73" w:rsidRDefault="005447D2" w:rsidP="00132BE9">
      <w:pPr>
        <w:pStyle w:val="Point10"/>
      </w:pPr>
      <w:r w:rsidRPr="006D4F73">
        <w:t>c)</w:t>
      </w:r>
      <w:r>
        <w:tab/>
      </w:r>
      <w:r w:rsidRPr="006D4F73">
        <w:t>le montant d</w:t>
      </w:r>
      <w:r w:rsidR="00132BE9">
        <w:t>u transfert de fonds</w:t>
      </w:r>
      <w:r w:rsidRPr="006D4F73">
        <w:t xml:space="preserve"> </w:t>
      </w:r>
      <w:r>
        <w:t>n'excède pas</w:t>
      </w:r>
      <w:r w:rsidRPr="006D4F73">
        <w:t xml:space="preserve"> 1</w:t>
      </w:r>
      <w:r>
        <w:t> </w:t>
      </w:r>
      <w:r w:rsidRPr="006D4F73">
        <w:t>000 EUR.</w:t>
      </w:r>
    </w:p>
    <w:p w:rsidR="00DF5568" w:rsidRPr="00DF5568" w:rsidRDefault="00DF5568" w:rsidP="005447D2">
      <w:pPr>
        <w:pStyle w:val="Titrearticle"/>
      </w:pPr>
      <w:r w:rsidRPr="006D4F73">
        <w:t xml:space="preserve">Article </w:t>
      </w:r>
      <w:r w:rsidR="005447D2">
        <w:t>3</w:t>
      </w:r>
      <w:r w:rsidRPr="00DF5568">
        <w:br/>
      </w:r>
      <w:r w:rsidRPr="006D4F73">
        <w:t>Définitions</w:t>
      </w:r>
    </w:p>
    <w:p w:rsidR="00DF5568" w:rsidRPr="006D4F73" w:rsidRDefault="00DF5568" w:rsidP="00024641">
      <w:pPr>
        <w:rPr>
          <w:noProof/>
        </w:rPr>
      </w:pPr>
      <w:r w:rsidRPr="006D4F73">
        <w:t>Aux fins du présent règlement, on entend par:</w:t>
      </w:r>
    </w:p>
    <w:p w:rsidR="00DF5568" w:rsidRPr="00024641" w:rsidRDefault="00DF5568" w:rsidP="00CC1EC1">
      <w:pPr>
        <w:pStyle w:val="Point0"/>
      </w:pPr>
      <w:r w:rsidRPr="00024641">
        <w:t>1)</w:t>
      </w:r>
      <w:r w:rsidRPr="00024641">
        <w:tab/>
        <w:t>"financement du terrorisme", le financement du terrorisme au sens de l'article 1</w:t>
      </w:r>
      <w:r w:rsidRPr="00CC1EC1">
        <w:rPr>
          <w:vertAlign w:val="superscript"/>
        </w:rPr>
        <w:t>er</w:t>
      </w:r>
      <w:r w:rsidRPr="00024641">
        <w:t xml:space="preserve">, paragraphe </w:t>
      </w:r>
      <w:r w:rsidR="005447D2" w:rsidRPr="00024641">
        <w:t>5</w:t>
      </w:r>
      <w:r w:rsidRPr="00024641">
        <w:t>, de la directive (UE) 2015/...</w:t>
      </w:r>
      <w:r w:rsidR="00CC1EC1" w:rsidRPr="00B639C5">
        <w:rPr>
          <w:b/>
          <w:bCs/>
          <w:vertAlign w:val="superscript"/>
        </w:rPr>
        <w:t>*</w:t>
      </w:r>
      <w:r w:rsidRPr="00024641">
        <w:t>;</w:t>
      </w:r>
    </w:p>
    <w:p w:rsidR="00DF5568" w:rsidRPr="00CC1EC1" w:rsidRDefault="00024641" w:rsidP="00555BA8">
      <w:pPr>
        <w:pStyle w:val="Point0"/>
      </w:pPr>
      <w:r>
        <w:br w:type="page"/>
      </w:r>
      <w:r w:rsidR="00A066E0" w:rsidRPr="00CC1EC1">
        <w:lastRenderedPageBreak/>
        <w:t>2)</w:t>
      </w:r>
      <w:r w:rsidR="00DF5568" w:rsidRPr="00CC1EC1">
        <w:tab/>
        <w:t>"blanchiment de capitaux", les activités de blanchiment de capitaux visées à l'article 1</w:t>
      </w:r>
      <w:r w:rsidR="00DF5568" w:rsidRPr="00555BA8">
        <w:rPr>
          <w:vertAlign w:val="superscript"/>
        </w:rPr>
        <w:t>er</w:t>
      </w:r>
      <w:r w:rsidR="00DF5568" w:rsidRPr="00CC1EC1">
        <w:t xml:space="preserve">, paragraphes </w:t>
      </w:r>
      <w:r w:rsidR="005447D2" w:rsidRPr="00CC1EC1">
        <w:t>3</w:t>
      </w:r>
      <w:r w:rsidR="00DF5568" w:rsidRPr="00CC1EC1">
        <w:t xml:space="preserve"> et </w:t>
      </w:r>
      <w:r w:rsidR="005447D2" w:rsidRPr="00CC1EC1">
        <w:t>4</w:t>
      </w:r>
      <w:r w:rsidR="00DF5568" w:rsidRPr="00CC1EC1">
        <w:t>, de la directive (UE) 2015/...</w:t>
      </w:r>
      <w:r w:rsidR="00555BA8">
        <w:rPr>
          <w:rStyle w:val="FootnoteReference"/>
        </w:rPr>
        <w:footnoteReference w:customMarkFollows="1" w:id="23"/>
        <w:t>*</w:t>
      </w:r>
      <w:r w:rsidR="00DF5568" w:rsidRPr="00CC1EC1">
        <w:t>;</w:t>
      </w:r>
    </w:p>
    <w:p w:rsidR="00DF5568" w:rsidRPr="00CC1EC1" w:rsidRDefault="00DF5568" w:rsidP="00CC1EC1">
      <w:pPr>
        <w:pStyle w:val="Point0"/>
      </w:pPr>
      <w:r w:rsidRPr="00CC1EC1">
        <w:t>3)</w:t>
      </w:r>
      <w:r w:rsidRPr="00CC1EC1">
        <w:tab/>
        <w:t xml:space="preserve">"donneur d'ordre", une personne qui est titulaire d'un compte de paiement et qui autorise un transfert de fonds à partir de ce compte </w:t>
      </w:r>
      <w:r w:rsidR="00E64296" w:rsidRPr="00CC1EC1">
        <w:t xml:space="preserve">de paiement </w:t>
      </w:r>
      <w:r w:rsidRPr="00CC1EC1">
        <w:t xml:space="preserve">ou, en l'absence de compte de paiement, qui </w:t>
      </w:r>
      <w:r w:rsidR="00E64296" w:rsidRPr="00CC1EC1">
        <w:t xml:space="preserve">donne </w:t>
      </w:r>
      <w:r w:rsidRPr="00CC1EC1">
        <w:t>un ordre de transfert de fonds;</w:t>
      </w:r>
    </w:p>
    <w:p w:rsidR="00DF5568" w:rsidRPr="00CC1EC1" w:rsidRDefault="00DF5568" w:rsidP="00CC1EC1">
      <w:pPr>
        <w:pStyle w:val="Point0"/>
      </w:pPr>
      <w:r w:rsidRPr="00CC1EC1">
        <w:t>4)</w:t>
      </w:r>
      <w:r w:rsidRPr="00CC1EC1">
        <w:tab/>
        <w:t>"bénéficiaire", la personne qui est le destinataire prévu du transfert de fonds;</w:t>
      </w:r>
    </w:p>
    <w:p w:rsidR="00DF5568" w:rsidRPr="00CC1EC1" w:rsidRDefault="00DF5568" w:rsidP="000E0951">
      <w:pPr>
        <w:pStyle w:val="Point0"/>
      </w:pPr>
      <w:r w:rsidRPr="00CC1EC1">
        <w:t>5)</w:t>
      </w:r>
      <w:r w:rsidRPr="00CC1EC1">
        <w:tab/>
        <w:t xml:space="preserve">"prestataire de services de paiement", </w:t>
      </w:r>
      <w:r w:rsidR="00AB5D39" w:rsidRPr="00CC1EC1">
        <w:t>les catégories de prestataire de services de paiement</w:t>
      </w:r>
      <w:r w:rsidRPr="00CC1EC1">
        <w:t xml:space="preserve"> visée</w:t>
      </w:r>
      <w:r w:rsidR="00AB5D39" w:rsidRPr="00CC1EC1">
        <w:t>s</w:t>
      </w:r>
      <w:r w:rsidRPr="00CC1EC1">
        <w:t xml:space="preserve"> à l'article 1</w:t>
      </w:r>
      <w:r w:rsidRPr="00555BA8">
        <w:rPr>
          <w:vertAlign w:val="superscript"/>
        </w:rPr>
        <w:t>er</w:t>
      </w:r>
      <w:r w:rsidRPr="00CC1EC1">
        <w:t xml:space="preserve">, paragraphe 1, de la directive 2007/64/CE, </w:t>
      </w:r>
      <w:r w:rsidR="005A67A2" w:rsidRPr="00CC1EC1">
        <w:t>l</w:t>
      </w:r>
      <w:r w:rsidR="00AB5D39" w:rsidRPr="00CC1EC1">
        <w:t>es</w:t>
      </w:r>
      <w:r w:rsidRPr="00CC1EC1">
        <w:t xml:space="preserve"> personne physique</w:t>
      </w:r>
      <w:r w:rsidR="00AB5D39" w:rsidRPr="00CC1EC1">
        <w:t>s</w:t>
      </w:r>
      <w:r w:rsidRPr="00CC1EC1">
        <w:t xml:space="preserve"> ou morale</w:t>
      </w:r>
      <w:r w:rsidR="00AB5D39" w:rsidRPr="00CC1EC1">
        <w:t>s</w:t>
      </w:r>
      <w:r w:rsidRPr="00CC1EC1">
        <w:t xml:space="preserve"> bénéficiant d</w:t>
      </w:r>
      <w:r w:rsidR="00AB5D39" w:rsidRPr="00CC1EC1">
        <w:t>'un</w:t>
      </w:r>
      <w:r w:rsidRPr="00CC1EC1">
        <w:t xml:space="preserve">e dérogation </w:t>
      </w:r>
      <w:r w:rsidR="00AB5D39" w:rsidRPr="00CC1EC1">
        <w:t>en vertu de</w:t>
      </w:r>
      <w:r w:rsidRPr="00CC1EC1">
        <w:t xml:space="preserve"> </w:t>
      </w:r>
      <w:r w:rsidR="00091FA0" w:rsidRPr="00CC1EC1">
        <w:t>l'</w:t>
      </w:r>
      <w:r w:rsidRPr="00CC1EC1">
        <w:t>article 26</w:t>
      </w:r>
      <w:r w:rsidR="00091FA0" w:rsidRPr="00CC1EC1">
        <w:t xml:space="preserve"> de ladite directive</w:t>
      </w:r>
      <w:r w:rsidRPr="00CC1EC1">
        <w:t xml:space="preserve"> </w:t>
      </w:r>
      <w:r w:rsidR="005B500A" w:rsidRPr="00CC1EC1">
        <w:t>et</w:t>
      </w:r>
      <w:r w:rsidRPr="00CC1EC1">
        <w:t xml:space="preserve"> </w:t>
      </w:r>
      <w:r w:rsidR="005A67A2" w:rsidRPr="00CC1EC1">
        <w:t>l</w:t>
      </w:r>
      <w:r w:rsidR="00AB5D39" w:rsidRPr="00CC1EC1">
        <w:t>es</w:t>
      </w:r>
      <w:r w:rsidRPr="00CC1EC1">
        <w:t xml:space="preserve"> personne</w:t>
      </w:r>
      <w:r w:rsidR="00AB5D39" w:rsidRPr="00CC1EC1">
        <w:t>s</w:t>
      </w:r>
      <w:r w:rsidRPr="00CC1EC1">
        <w:t xml:space="preserve"> morale</w:t>
      </w:r>
      <w:r w:rsidR="00AB5D39" w:rsidRPr="00CC1EC1">
        <w:t>s</w:t>
      </w:r>
      <w:r w:rsidRPr="00CC1EC1">
        <w:t xml:space="preserve"> bénéficiant d</w:t>
      </w:r>
      <w:r w:rsidR="00AB5D39" w:rsidRPr="00CC1EC1">
        <w:t>'un</w:t>
      </w:r>
      <w:r w:rsidRPr="00CC1EC1">
        <w:t xml:space="preserve">e exemption </w:t>
      </w:r>
      <w:r w:rsidR="00AB5D39" w:rsidRPr="00CC1EC1">
        <w:t xml:space="preserve">en vertu de </w:t>
      </w:r>
      <w:r w:rsidRPr="00CC1EC1">
        <w:t>l'article 9 de la directive 2009/110/CE du Parlement européen et du Conseil</w:t>
      </w:r>
      <w:r w:rsidRPr="000E0951">
        <w:rPr>
          <w:rStyle w:val="FootnoteReference"/>
        </w:rPr>
        <w:footnoteReference w:id="24"/>
      </w:r>
      <w:r w:rsidRPr="00CC1EC1">
        <w:t>, qui fourni</w:t>
      </w:r>
      <w:r w:rsidR="001E5FAB" w:rsidRPr="00CC1EC1">
        <w:t>ssen</w:t>
      </w:r>
      <w:r w:rsidRPr="00CC1EC1">
        <w:t>t des services de transfert de fonds;</w:t>
      </w:r>
    </w:p>
    <w:p w:rsidR="00DF5568" w:rsidRPr="00CC1EC1" w:rsidRDefault="00DF5568" w:rsidP="00CC1EC1">
      <w:pPr>
        <w:pStyle w:val="Point0"/>
      </w:pPr>
      <w:r w:rsidRPr="00CC1EC1">
        <w:t>6)</w:t>
      </w:r>
      <w:r w:rsidRPr="00CC1EC1">
        <w:tab/>
        <w:t>"prestataire de services de paiement intermédiaire", un prestataire de services de paiement</w:t>
      </w:r>
      <w:r w:rsidR="00AB5D39" w:rsidRPr="00CC1EC1">
        <w:t xml:space="preserve"> qui n'est pas le prestataire de services de paiement</w:t>
      </w:r>
      <w:r w:rsidRPr="00CC1EC1">
        <w:t xml:space="preserve"> du donneur d'ordre</w:t>
      </w:r>
      <w:r w:rsidR="00AB5D39" w:rsidRPr="00CC1EC1">
        <w:t xml:space="preserve"> ou</w:t>
      </w:r>
      <w:r w:rsidRPr="00CC1EC1">
        <w:t xml:space="preserve"> du bénéficiaire et qui reçoit et transmet un transfert de fonds pour le compte du prestataire de services de paiement du donneur d'ordre ou du bénéficiaire ou d'un autre prestataire de services de paiement intermédiaire;</w:t>
      </w:r>
    </w:p>
    <w:p w:rsidR="00DF5568" w:rsidRPr="00CC1EC1" w:rsidRDefault="00555BA8" w:rsidP="00CC1EC1">
      <w:pPr>
        <w:pStyle w:val="Point0"/>
      </w:pPr>
      <w:r>
        <w:br w:type="page"/>
      </w:r>
      <w:r w:rsidR="00AB5D39" w:rsidRPr="00CC1EC1">
        <w:lastRenderedPageBreak/>
        <w:t>7</w:t>
      </w:r>
      <w:r w:rsidR="00DF5568" w:rsidRPr="00CC1EC1">
        <w:t>)</w:t>
      </w:r>
      <w:r w:rsidR="00DF5568" w:rsidRPr="00CC1EC1">
        <w:tab/>
        <w:t>"compte de paiement", un compte de paiement au sens de l'article 4, point 14), de la directive 2007/64/CE;</w:t>
      </w:r>
    </w:p>
    <w:p w:rsidR="00DF5568" w:rsidRPr="00CC1EC1" w:rsidRDefault="00AB5D39" w:rsidP="00CC1EC1">
      <w:pPr>
        <w:pStyle w:val="Point0"/>
      </w:pPr>
      <w:r w:rsidRPr="00CC1EC1">
        <w:t>8</w:t>
      </w:r>
      <w:r w:rsidR="00DF5568" w:rsidRPr="00CC1EC1">
        <w:t>)</w:t>
      </w:r>
      <w:r w:rsidR="00DF5568" w:rsidRPr="00CC1EC1">
        <w:tab/>
        <w:t>"fonds", des fonds au sens de l'article 4, point 15), de la directive 2007/64/CE;</w:t>
      </w:r>
    </w:p>
    <w:p w:rsidR="00DF5568" w:rsidRPr="006D4F73" w:rsidRDefault="00AB5D39" w:rsidP="00A066E0">
      <w:pPr>
        <w:pStyle w:val="Point0"/>
      </w:pPr>
      <w:r>
        <w:t>9</w:t>
      </w:r>
      <w:r w:rsidR="00DF5568" w:rsidRPr="006D4F73">
        <w:t>)</w:t>
      </w:r>
      <w:r w:rsidR="00DF5568">
        <w:tab/>
      </w:r>
      <w:r w:rsidR="00DF5568" w:rsidRPr="006D4F73">
        <w:t>"</w:t>
      </w:r>
      <w:r w:rsidR="00DF5568">
        <w:t>transfert</w:t>
      </w:r>
      <w:r w:rsidR="00555BA8">
        <w:t xml:space="preserve"> de fonds</w:t>
      </w:r>
      <w:r w:rsidR="00DF5568" w:rsidRPr="006D4F73">
        <w:t xml:space="preserve">", toute transaction </w:t>
      </w:r>
      <w:r w:rsidR="00132BE9">
        <w:t xml:space="preserve">exécutée </w:t>
      </w:r>
      <w:r w:rsidR="00DF5568" w:rsidRPr="006D4F73">
        <w:t>au moins en partie</w:t>
      </w:r>
      <w:r w:rsidR="00DF5568">
        <w:t xml:space="preserve"> par voie électronique, pour le </w:t>
      </w:r>
      <w:r w:rsidR="00DF5568" w:rsidRPr="006D4F73">
        <w:t>compte d'un donneur d'ordre, par l'intermédiaire d'un prestataire de services de</w:t>
      </w:r>
      <w:r w:rsidR="00555BA8">
        <w:t xml:space="preserve"> paiement, dans le </w:t>
      </w:r>
      <w:r w:rsidR="00DF5568" w:rsidRPr="006D4F73">
        <w:t>but de mettre des fonds à la disposition d'un bénéficiaire, par l'in</w:t>
      </w:r>
      <w:r w:rsidR="00DF5568">
        <w:t>termédiaire d'un prestataire de </w:t>
      </w:r>
      <w:r w:rsidR="00DF5568" w:rsidRPr="006D4F73">
        <w:t>services de paiement, que le donneur d'ordre et le bénéficiaire ou le prestataire de services de paiement du donneur d'ordre et celui du bénéficiaire soient ou non la même personne, y compris:</w:t>
      </w:r>
    </w:p>
    <w:p w:rsidR="00DF5568" w:rsidRPr="006D4F73" w:rsidRDefault="00A066E0" w:rsidP="00555BA8">
      <w:pPr>
        <w:pStyle w:val="Point10"/>
      </w:pPr>
      <w:r>
        <w:t>a)</w:t>
      </w:r>
      <w:r w:rsidR="005A67A2">
        <w:tab/>
      </w:r>
      <w:r w:rsidR="00AB5D39">
        <w:t>un</w:t>
      </w:r>
      <w:r w:rsidR="00DF5568" w:rsidRPr="006D4F73">
        <w:t xml:space="preserve"> virement tel qu'il </w:t>
      </w:r>
      <w:r w:rsidR="00AB5D39">
        <w:t>est</w:t>
      </w:r>
      <w:r w:rsidR="00DF5568" w:rsidRPr="006D4F73">
        <w:t xml:space="preserve"> défini à l'article 2, point 1), du règlement (UE) n° 260/2012;</w:t>
      </w:r>
    </w:p>
    <w:p w:rsidR="00DF5568" w:rsidRPr="006D4F73" w:rsidRDefault="00A066E0" w:rsidP="00555BA8">
      <w:pPr>
        <w:pStyle w:val="Point10"/>
      </w:pPr>
      <w:r>
        <w:t>b)</w:t>
      </w:r>
      <w:r w:rsidR="005A67A2">
        <w:tab/>
      </w:r>
      <w:r w:rsidR="00AB5D39">
        <w:t>un</w:t>
      </w:r>
      <w:r w:rsidR="00DF5568" w:rsidRPr="006D4F73">
        <w:t xml:space="preserve"> prélèvement tel qu'il </w:t>
      </w:r>
      <w:r w:rsidR="00AB5D39">
        <w:t>est</w:t>
      </w:r>
      <w:r w:rsidR="00DF5568" w:rsidRPr="006D4F73">
        <w:t xml:space="preserve"> défini à l'article 2, point 2), du règlement (UE) n° 260/2012;</w:t>
      </w:r>
    </w:p>
    <w:p w:rsidR="00DF5568" w:rsidRPr="006D4F73" w:rsidRDefault="00A066E0" w:rsidP="00555BA8">
      <w:pPr>
        <w:pStyle w:val="Point10"/>
      </w:pPr>
      <w:r>
        <w:t>c)</w:t>
      </w:r>
      <w:r w:rsidR="005A67A2">
        <w:tab/>
      </w:r>
      <w:r w:rsidR="00AB5D39">
        <w:t>une</w:t>
      </w:r>
      <w:r w:rsidR="00DF5568" w:rsidRPr="006D4F73">
        <w:t xml:space="preserve"> transmission de fonds telle qu'elle </w:t>
      </w:r>
      <w:r w:rsidR="00AB5D39">
        <w:t>est</w:t>
      </w:r>
      <w:r w:rsidR="00DF5568" w:rsidRPr="006D4F73">
        <w:t xml:space="preserve"> définie à l'article 4, point 13), de la directive 2007/64/CE</w:t>
      </w:r>
      <w:r w:rsidR="00AB5D39">
        <w:t>, qu'elle soit</w:t>
      </w:r>
      <w:r w:rsidR="00AB5D39" w:rsidRPr="00AB5D39">
        <w:t xml:space="preserve"> </w:t>
      </w:r>
      <w:r w:rsidR="00AB5D39" w:rsidRPr="006D4F73">
        <w:t>nationale ou transfront</w:t>
      </w:r>
      <w:r w:rsidR="00091FA0">
        <w:t>al</w:t>
      </w:r>
      <w:r w:rsidR="00AB5D39" w:rsidRPr="006D4F73">
        <w:t>ière</w:t>
      </w:r>
      <w:r w:rsidR="00DF5568" w:rsidRPr="006D4F73">
        <w:t>;</w:t>
      </w:r>
    </w:p>
    <w:p w:rsidR="00DF5568" w:rsidRPr="006D4F73" w:rsidRDefault="00A066E0" w:rsidP="00555BA8">
      <w:pPr>
        <w:pStyle w:val="Point10"/>
      </w:pPr>
      <w:r>
        <w:t>d)</w:t>
      </w:r>
      <w:r w:rsidR="005A67A2">
        <w:tab/>
      </w:r>
      <w:r w:rsidR="00AB5D39">
        <w:t>un</w:t>
      </w:r>
      <w:r w:rsidR="00DF5568" w:rsidRPr="006D4F73">
        <w:t xml:space="preserve"> </w:t>
      </w:r>
      <w:r w:rsidR="00DF5568">
        <w:t>transfert</w:t>
      </w:r>
      <w:r w:rsidR="00DF5568" w:rsidRPr="006D4F73">
        <w:t xml:space="preserve"> </w:t>
      </w:r>
      <w:r w:rsidR="005A67A2">
        <w:t>effectué</w:t>
      </w:r>
      <w:r w:rsidR="00DF5568" w:rsidRPr="006D4F73">
        <w:t xml:space="preserve"> à l'aide d'une carte de paiement, d'un instrument de monnaie électronique </w:t>
      </w:r>
      <w:r w:rsidR="00091FA0">
        <w:t xml:space="preserve">ou </w:t>
      </w:r>
      <w:r w:rsidR="00DF5568" w:rsidRPr="006D4F73">
        <w:t>d'un téléphone portable</w:t>
      </w:r>
      <w:r w:rsidR="005A67A2">
        <w:t>,</w:t>
      </w:r>
      <w:r w:rsidR="00DF5568" w:rsidRPr="006D4F73">
        <w:t xml:space="preserve"> ou </w:t>
      </w:r>
      <w:r w:rsidR="005A67A2">
        <w:t>de tout</w:t>
      </w:r>
      <w:r w:rsidR="005A67A2" w:rsidRPr="006D4F73">
        <w:t xml:space="preserve"> </w:t>
      </w:r>
      <w:r w:rsidR="00DF5568" w:rsidRPr="006D4F73">
        <w:t xml:space="preserve">autre </w:t>
      </w:r>
      <w:r w:rsidR="001E5FAB">
        <w:t>dispositif</w:t>
      </w:r>
      <w:r w:rsidR="00DF5568" w:rsidRPr="006D4F73">
        <w:t xml:space="preserve"> numérique ou informatique </w:t>
      </w:r>
      <w:r w:rsidR="001E5FAB">
        <w:t xml:space="preserve">qui permet de </w:t>
      </w:r>
      <w:r w:rsidR="00DF5568" w:rsidRPr="006D4F73">
        <w:t>pré- ou post-pa</w:t>
      </w:r>
      <w:r w:rsidR="001E5FAB">
        <w:t xml:space="preserve">yer </w:t>
      </w:r>
      <w:r w:rsidR="00DF5568" w:rsidRPr="006D4F73">
        <w:t>présentant des caractéristiques similaires;</w:t>
      </w:r>
    </w:p>
    <w:p w:rsidR="00DF5568" w:rsidRPr="006D4F73" w:rsidRDefault="00AB5D39" w:rsidP="00DF5568">
      <w:pPr>
        <w:pStyle w:val="Point0"/>
      </w:pPr>
      <w:r>
        <w:t>10</w:t>
      </w:r>
      <w:r w:rsidR="00DF5568" w:rsidRPr="006D4F73">
        <w:t>)</w:t>
      </w:r>
      <w:r w:rsidR="00DF5568">
        <w:tab/>
      </w:r>
      <w:r w:rsidR="00DF5568" w:rsidRPr="006D4F73">
        <w:t>"</w:t>
      </w:r>
      <w:r w:rsidR="00DF5568">
        <w:t>transfert</w:t>
      </w:r>
      <w:r w:rsidR="00DF5568" w:rsidRPr="006D4F73">
        <w:t xml:space="preserve"> par lots", un ensemble constitué de plusieurs </w:t>
      </w:r>
      <w:r w:rsidR="00DF5568">
        <w:t>transferts</w:t>
      </w:r>
      <w:r w:rsidR="00DF5568" w:rsidRPr="006D4F73">
        <w:t xml:space="preserve"> de fonds individuels qui sont regroupés en vue de leur transmission;</w:t>
      </w:r>
    </w:p>
    <w:p w:rsidR="00DF5568" w:rsidRPr="00555BA8" w:rsidRDefault="00DF5568" w:rsidP="00AB5D39">
      <w:pPr>
        <w:pStyle w:val="Point0"/>
      </w:pPr>
      <w:r>
        <w:br w:type="page"/>
      </w:r>
      <w:r w:rsidR="00AB5D39" w:rsidRPr="00555BA8">
        <w:lastRenderedPageBreak/>
        <w:t>11</w:t>
      </w:r>
      <w:r w:rsidRPr="00555BA8">
        <w:t>)</w:t>
      </w:r>
      <w:r w:rsidRPr="00555BA8">
        <w:tab/>
        <w:t>"identifiant de transaction unique", une combinaison de lettres, de chiffres ou de symboles qui est définie par le prestataire de services de paiement conformément aux protocoles des systèmes de paiement et de règlement ou des systèmes de messagerie utilisés pour effectuer le transfert de fonds et qui assure la traçabilité de la transaction jusqu'au donneur d'ordre et au bénéficiaire;</w:t>
      </w:r>
    </w:p>
    <w:p w:rsidR="00DF5568" w:rsidRPr="00555BA8" w:rsidRDefault="00AB5D39" w:rsidP="00091FA0">
      <w:pPr>
        <w:pStyle w:val="Point0"/>
      </w:pPr>
      <w:r w:rsidRPr="00555BA8">
        <w:t>12</w:t>
      </w:r>
      <w:r w:rsidR="00DF5568" w:rsidRPr="00555BA8">
        <w:t>)</w:t>
      </w:r>
      <w:r w:rsidR="00DF5568" w:rsidRPr="00555BA8">
        <w:tab/>
        <w:t>"transfert de fonds entre particuliers", une transaction entre personnes physiques agissant, en tant que consommateurs, à des fins autres que commerciale</w:t>
      </w:r>
      <w:r w:rsidR="00091FA0" w:rsidRPr="00555BA8">
        <w:t>s</w:t>
      </w:r>
      <w:r w:rsidR="00DF5568" w:rsidRPr="00555BA8">
        <w:t xml:space="preserve"> ou professionnelle</w:t>
      </w:r>
      <w:r w:rsidR="00091FA0" w:rsidRPr="00555BA8">
        <w:t>s</w:t>
      </w:r>
      <w:r w:rsidR="00DF5568" w:rsidRPr="00555BA8">
        <w:t>.</w:t>
      </w:r>
    </w:p>
    <w:p w:rsidR="00DF5568" w:rsidRPr="00555BA8" w:rsidRDefault="00DF5568" w:rsidP="00555BA8">
      <w:pPr>
        <w:pStyle w:val="ChapterTitle"/>
      </w:pPr>
      <w:r w:rsidRPr="00555BA8">
        <w:t>CHAPITRE II</w:t>
      </w:r>
      <w:r w:rsidRPr="00555BA8">
        <w:br/>
        <w:t>OBLIGATIONS DES PRESTATAIR</w:t>
      </w:r>
      <w:r w:rsidR="00555BA8" w:rsidRPr="00555BA8">
        <w:t>ES DE SERVICES</w:t>
      </w:r>
      <w:r w:rsidR="00555BA8" w:rsidRPr="00555BA8">
        <w:br/>
      </w:r>
      <w:r w:rsidRPr="00555BA8">
        <w:t>DE PAIEMENT</w:t>
      </w:r>
    </w:p>
    <w:p w:rsidR="00DF5568" w:rsidRPr="00555BA8" w:rsidRDefault="00555BA8" w:rsidP="00555BA8">
      <w:pPr>
        <w:pStyle w:val="SectionTitle"/>
      </w:pPr>
      <w:r>
        <w:t>Section 1</w:t>
      </w:r>
      <w:r>
        <w:br/>
        <w:t>O</w:t>
      </w:r>
      <w:r w:rsidRPr="00555BA8">
        <w:t>bligat</w:t>
      </w:r>
      <w:r>
        <w:t>ions du prestataire de services</w:t>
      </w:r>
      <w:r>
        <w:br/>
      </w:r>
      <w:r w:rsidRPr="00555BA8">
        <w:t>de paiement du donneur d'ordre</w:t>
      </w:r>
    </w:p>
    <w:p w:rsidR="00DF5568" w:rsidRPr="006D4F73" w:rsidRDefault="00DF5568" w:rsidP="00DF5568">
      <w:pPr>
        <w:pStyle w:val="Titrearticle"/>
        <w:rPr>
          <w:iCs/>
          <w:noProof/>
        </w:rPr>
      </w:pPr>
      <w:r w:rsidRPr="006D4F73">
        <w:rPr>
          <w:noProof/>
        </w:rPr>
        <w:t>Article 4</w:t>
      </w:r>
      <w:r w:rsidRPr="006D4F73">
        <w:rPr>
          <w:iCs/>
          <w:noProof/>
        </w:rPr>
        <w:br/>
      </w:r>
      <w:r w:rsidRPr="006D4F73">
        <w:rPr>
          <w:noProof/>
        </w:rPr>
        <w:t xml:space="preserve">Informations accompagnant les </w:t>
      </w:r>
      <w:r w:rsidRPr="008A0C79">
        <w:rPr>
          <w:iCs/>
        </w:rPr>
        <w:t>transferts de fonds</w:t>
      </w:r>
    </w:p>
    <w:p w:rsidR="00DF5568" w:rsidRPr="006D4F73" w:rsidRDefault="00DF5568" w:rsidP="00091FA0">
      <w:pPr>
        <w:pStyle w:val="ManualNumPar1"/>
        <w:rPr>
          <w:noProof/>
        </w:rPr>
      </w:pPr>
      <w:r w:rsidRPr="006D4F73">
        <w:t>1.</w:t>
      </w:r>
      <w:r w:rsidR="001F4331">
        <w:tab/>
      </w:r>
      <w:r w:rsidRPr="006D4F73">
        <w:t>Le prestataire de services de paiement du donneur d'ordre veille à ce que le</w:t>
      </w:r>
      <w:r>
        <w:t>s</w:t>
      </w:r>
      <w:r w:rsidRPr="006D4F73">
        <w:t xml:space="preserve"> </w:t>
      </w:r>
      <w:r>
        <w:t>transferts</w:t>
      </w:r>
      <w:r w:rsidRPr="006D4F73">
        <w:t xml:space="preserve"> de fonds soi</w:t>
      </w:r>
      <w:r>
        <w:t>en</w:t>
      </w:r>
      <w:r w:rsidRPr="006D4F73">
        <w:t>t accompagné</w:t>
      </w:r>
      <w:r>
        <w:t>s</w:t>
      </w:r>
      <w:r w:rsidRPr="006D4F73">
        <w:t xml:space="preserve"> des informations </w:t>
      </w:r>
      <w:r w:rsidR="00091FA0">
        <w:t>suivantes</w:t>
      </w:r>
      <w:r w:rsidRPr="006D4F73">
        <w:t xml:space="preserve"> </w:t>
      </w:r>
      <w:r w:rsidR="00CF4B8D">
        <w:t>sur</w:t>
      </w:r>
      <w:r w:rsidR="000E1A55">
        <w:t xml:space="preserve"> </w:t>
      </w:r>
      <w:r w:rsidR="00CF4B8D">
        <w:t>le</w:t>
      </w:r>
      <w:r w:rsidRPr="006D4F73">
        <w:t xml:space="preserve"> donneur d'ordre:</w:t>
      </w:r>
    </w:p>
    <w:p w:rsidR="00DF5568" w:rsidRPr="006D4F73" w:rsidRDefault="00DF5568" w:rsidP="001F4331">
      <w:pPr>
        <w:pStyle w:val="Point10"/>
        <w:rPr>
          <w:noProof/>
        </w:rPr>
      </w:pPr>
      <w:r w:rsidRPr="006D4F73">
        <w:t>a)</w:t>
      </w:r>
      <w:r w:rsidR="001F4331">
        <w:tab/>
      </w:r>
      <w:r w:rsidRPr="006D4F73">
        <w:t>le nom du donneur d'ordre;</w:t>
      </w:r>
    </w:p>
    <w:p w:rsidR="00DF5568" w:rsidRPr="006D4F73" w:rsidRDefault="00DF5568" w:rsidP="00CF4B8D">
      <w:pPr>
        <w:pStyle w:val="Point10"/>
        <w:rPr>
          <w:noProof/>
        </w:rPr>
      </w:pPr>
      <w:r w:rsidRPr="006D4F73">
        <w:t>b)</w:t>
      </w:r>
      <w:r w:rsidR="001F4331">
        <w:tab/>
      </w:r>
      <w:r w:rsidRPr="006D4F73">
        <w:t xml:space="preserve">le numéro de compte </w:t>
      </w:r>
      <w:r>
        <w:t xml:space="preserve">de paiement </w:t>
      </w:r>
      <w:r w:rsidRPr="006D4F73">
        <w:t>du donneur d'ordre; et</w:t>
      </w:r>
    </w:p>
    <w:p w:rsidR="00DF5568" w:rsidRPr="006D4F73" w:rsidRDefault="00555BA8" w:rsidP="00FE5FD8">
      <w:pPr>
        <w:pStyle w:val="Point10"/>
        <w:rPr>
          <w:noProof/>
        </w:rPr>
      </w:pPr>
      <w:r>
        <w:br w:type="page"/>
      </w:r>
      <w:r w:rsidR="00DF5568" w:rsidRPr="006D4F73">
        <w:lastRenderedPageBreak/>
        <w:t>c)</w:t>
      </w:r>
      <w:r w:rsidR="001F4331">
        <w:tab/>
      </w:r>
      <w:r w:rsidR="00DF5568" w:rsidRPr="006D4F73">
        <w:t xml:space="preserve">l'adresse, le numéro du document d'identité officiel, le numéro d'identification de client ou la date </w:t>
      </w:r>
      <w:r w:rsidR="00FE5FD8">
        <w:t xml:space="preserve">et le lieu </w:t>
      </w:r>
      <w:r w:rsidR="00DF5568" w:rsidRPr="006D4F73">
        <w:t>de naissance du donneur d'ordre.</w:t>
      </w:r>
    </w:p>
    <w:p w:rsidR="00DF5568" w:rsidRPr="00555BA8" w:rsidRDefault="00DF5568" w:rsidP="00555BA8">
      <w:pPr>
        <w:pStyle w:val="ManualNumPar1"/>
      </w:pPr>
      <w:r w:rsidRPr="00555BA8">
        <w:t>2.</w:t>
      </w:r>
      <w:r w:rsidR="001F4331" w:rsidRPr="00555BA8">
        <w:tab/>
      </w:r>
      <w:r w:rsidRPr="00555BA8">
        <w:t xml:space="preserve">Le prestataire de services de paiement du donneur d'ordre veille à ce que le transfert de fonds soit accompagné des informations </w:t>
      </w:r>
      <w:r w:rsidR="00091FA0" w:rsidRPr="00555BA8">
        <w:t>suivantes</w:t>
      </w:r>
      <w:r w:rsidRPr="00555BA8">
        <w:t xml:space="preserve"> </w:t>
      </w:r>
      <w:r w:rsidR="00CF4B8D" w:rsidRPr="00555BA8">
        <w:t>sur le</w:t>
      </w:r>
      <w:r w:rsidRPr="00555BA8">
        <w:t xml:space="preserve"> bénéficiaire:</w:t>
      </w:r>
    </w:p>
    <w:p w:rsidR="00DF5568" w:rsidRPr="006D4F73" w:rsidRDefault="00555BA8" w:rsidP="00555BA8">
      <w:pPr>
        <w:pStyle w:val="Point10"/>
      </w:pPr>
      <w:r>
        <w:t>a)</w:t>
      </w:r>
      <w:r w:rsidR="00B619A1">
        <w:tab/>
      </w:r>
      <w:r w:rsidR="00DF5568" w:rsidRPr="006D4F73">
        <w:t>le nom du bénéficiaire; et</w:t>
      </w:r>
    </w:p>
    <w:p w:rsidR="00DF5568" w:rsidRPr="006D4F73" w:rsidRDefault="00555BA8" w:rsidP="00555BA8">
      <w:pPr>
        <w:pStyle w:val="Point10"/>
      </w:pPr>
      <w:r>
        <w:t>b)</w:t>
      </w:r>
      <w:r w:rsidR="00B619A1">
        <w:tab/>
      </w:r>
      <w:r w:rsidR="00DF5568" w:rsidRPr="006D4F73">
        <w:t xml:space="preserve">le numéro de compte </w:t>
      </w:r>
      <w:r w:rsidR="00DF5568">
        <w:t xml:space="preserve">de paiement </w:t>
      </w:r>
      <w:r w:rsidR="00DF5568" w:rsidRPr="006D4F73">
        <w:t>du bénéficiaire.</w:t>
      </w:r>
    </w:p>
    <w:p w:rsidR="00DF5568" w:rsidRPr="006D4F73" w:rsidRDefault="00787C38" w:rsidP="00091FA0">
      <w:pPr>
        <w:pStyle w:val="ManualNumPar1"/>
      </w:pPr>
      <w:r>
        <w:t>3</w:t>
      </w:r>
      <w:r w:rsidR="00DF5568" w:rsidRPr="006D4F73">
        <w:t>.</w:t>
      </w:r>
      <w:r w:rsidR="001F4331">
        <w:tab/>
      </w:r>
      <w:r w:rsidR="00CF4B8D">
        <w:t>Par dérogation au paragraphe 1, point b), et au paragraphe 2, point b), d</w:t>
      </w:r>
      <w:r w:rsidR="00DF5568" w:rsidRPr="006D4F73">
        <w:t>ans le cas d</w:t>
      </w:r>
      <w:r w:rsidR="00DF5568">
        <w:t>'un</w:t>
      </w:r>
      <w:r w:rsidR="00DF5568" w:rsidRPr="006D4F73">
        <w:t xml:space="preserve"> </w:t>
      </w:r>
      <w:r w:rsidR="00DF5568">
        <w:t>transfert</w:t>
      </w:r>
      <w:r w:rsidR="00DF5568" w:rsidRPr="006D4F73">
        <w:t xml:space="preserve"> qui n</w:t>
      </w:r>
      <w:r w:rsidR="00DF5568">
        <w:t>'est</w:t>
      </w:r>
      <w:r w:rsidR="00DF5568" w:rsidRPr="006D4F73">
        <w:t xml:space="preserve"> pas effectué à partir o</w:t>
      </w:r>
      <w:r w:rsidR="00DF5568">
        <w:t>u à destination d'un compte de paiement, le </w:t>
      </w:r>
      <w:r w:rsidR="00DF5568" w:rsidRPr="006D4F73">
        <w:t xml:space="preserve">prestataire de services de paiement du donneur d'ordre veille à ce que le </w:t>
      </w:r>
      <w:r w:rsidR="00DF5568">
        <w:t>transfert</w:t>
      </w:r>
      <w:r w:rsidR="00DF5568" w:rsidRPr="006D4F73">
        <w:t xml:space="preserve"> de fonds soit accompagné d'un identifiant de transaction unique </w:t>
      </w:r>
      <w:r w:rsidR="00091FA0">
        <w:t>plutôt que</w:t>
      </w:r>
      <w:r w:rsidR="00DF5568" w:rsidRPr="006D4F73">
        <w:t xml:space="preserve"> du/des numéro(s) de compte</w:t>
      </w:r>
      <w:r w:rsidR="00091FA0">
        <w:t xml:space="preserve"> de paiement</w:t>
      </w:r>
      <w:r w:rsidR="00DF5568" w:rsidRPr="006D4F73">
        <w:t>.</w:t>
      </w:r>
    </w:p>
    <w:p w:rsidR="00DF5568" w:rsidRPr="006D4F73" w:rsidRDefault="00787C38" w:rsidP="001F4331">
      <w:pPr>
        <w:pStyle w:val="ManualNumPar1"/>
      </w:pPr>
      <w:r>
        <w:t>4</w:t>
      </w:r>
      <w:r w:rsidR="00DF5568" w:rsidRPr="006D4F73">
        <w:t>.</w:t>
      </w:r>
      <w:r w:rsidR="001F4331">
        <w:tab/>
      </w:r>
      <w:r w:rsidR="00DF5568" w:rsidRPr="006D4F73">
        <w:t xml:space="preserve">Avant de </w:t>
      </w:r>
      <w:r w:rsidR="00DF5568">
        <w:t>transférer</w:t>
      </w:r>
      <w:r w:rsidR="00DF5568" w:rsidRPr="006D4F73">
        <w:t xml:space="preserve"> les fonds, le prestataire de services de paiement du donneur d'ordre vérifie l'exactitude des informations visées au paragraphe 1 sur la base de documents, de données ou de renseignements obtenus d'une source fiable et indépendante.</w:t>
      </w:r>
    </w:p>
    <w:p w:rsidR="00DF5568" w:rsidRPr="006D4F73" w:rsidRDefault="00787C38" w:rsidP="00787C38">
      <w:pPr>
        <w:pStyle w:val="ManualNumPar1"/>
      </w:pPr>
      <w:r>
        <w:t>5</w:t>
      </w:r>
      <w:r w:rsidR="00DF5568" w:rsidRPr="006D4F73">
        <w:t>.</w:t>
      </w:r>
      <w:r w:rsidR="001F4331">
        <w:tab/>
      </w:r>
      <w:r w:rsidR="00DF5568" w:rsidRPr="006D4F73">
        <w:t xml:space="preserve">La vérification </w:t>
      </w:r>
      <w:r>
        <w:t>visée</w:t>
      </w:r>
      <w:r w:rsidRPr="006D4F73">
        <w:t xml:space="preserve"> </w:t>
      </w:r>
      <w:r w:rsidR="00DF5568" w:rsidRPr="006D4F73">
        <w:t>au paragraphe </w:t>
      </w:r>
      <w:r>
        <w:t>4</w:t>
      </w:r>
      <w:r w:rsidRPr="006D4F73">
        <w:t xml:space="preserve"> </w:t>
      </w:r>
      <w:r w:rsidR="00DF5568" w:rsidRPr="006D4F73">
        <w:t xml:space="preserve">est réputée avoir eu lieu </w:t>
      </w:r>
      <w:r w:rsidR="00DF5568">
        <w:t>lorsque</w:t>
      </w:r>
      <w:r w:rsidR="00DF5568" w:rsidRPr="006D4F73">
        <w:t>:</w:t>
      </w:r>
    </w:p>
    <w:p w:rsidR="00DF5568" w:rsidRPr="006D4F73" w:rsidRDefault="00DF5568" w:rsidP="0008517D">
      <w:pPr>
        <w:pStyle w:val="Point10"/>
        <w:rPr>
          <w:noProof/>
        </w:rPr>
      </w:pPr>
      <w:r w:rsidRPr="006D4F73">
        <w:t>a)</w:t>
      </w:r>
      <w:r w:rsidR="001F4331">
        <w:tab/>
      </w:r>
      <w:r w:rsidRPr="006D4F73">
        <w:t>l'identité du donneur d'ordre a été vérifiée conformément à l'article 1</w:t>
      </w:r>
      <w:r w:rsidR="0008517D">
        <w:t>3</w:t>
      </w:r>
      <w:r w:rsidRPr="006D4F73">
        <w:t xml:space="preserve"> de la directive (UE) 2015</w:t>
      </w:r>
      <w:r>
        <w:t>/</w:t>
      </w:r>
      <w:r w:rsidRPr="006D4F73">
        <w:t>...</w:t>
      </w:r>
      <w:r>
        <w:rPr>
          <w:rStyle w:val="FootnoteReference"/>
        </w:rPr>
        <w:footnoteReference w:customMarkFollows="1" w:id="25"/>
        <w:t>*</w:t>
      </w:r>
      <w:r w:rsidRPr="006D4F73">
        <w:t>, et que les informations obtenues lors de cette vérification ont été conservées conformément à l'article </w:t>
      </w:r>
      <w:r w:rsidR="0008517D">
        <w:t>40</w:t>
      </w:r>
      <w:r w:rsidR="0008517D" w:rsidRPr="006D4F73">
        <w:t xml:space="preserve"> </w:t>
      </w:r>
      <w:r w:rsidRPr="006D4F73">
        <w:t>de ladite directive;</w:t>
      </w:r>
      <w:r>
        <w:t xml:space="preserve"> ou</w:t>
      </w:r>
    </w:p>
    <w:p w:rsidR="00DF5568" w:rsidRPr="00555BA8" w:rsidRDefault="00555BA8" w:rsidP="00555BA8">
      <w:pPr>
        <w:pStyle w:val="Point10"/>
      </w:pPr>
      <w:r w:rsidRPr="00555BA8">
        <w:t>b)</w:t>
      </w:r>
      <w:r w:rsidRPr="00555BA8">
        <w:tab/>
      </w:r>
      <w:r w:rsidR="00DF5568" w:rsidRPr="00555BA8">
        <w:t>l'article </w:t>
      </w:r>
      <w:r w:rsidR="0008517D" w:rsidRPr="00555BA8">
        <w:t>14</w:t>
      </w:r>
      <w:r w:rsidR="00DF5568" w:rsidRPr="00555BA8">
        <w:t>, paragraphe 5, de la directive (UE) 2015/...</w:t>
      </w:r>
      <w:r w:rsidRPr="00555BA8">
        <w:rPr>
          <w:b/>
          <w:bCs/>
          <w:vertAlign w:val="superscript"/>
        </w:rPr>
        <w:t>*</w:t>
      </w:r>
      <w:r w:rsidRPr="00555BA8">
        <w:t xml:space="preserve"> </w:t>
      </w:r>
      <w:r w:rsidR="00DF5568" w:rsidRPr="00555BA8">
        <w:t>s'applique au donneur d'ordre.</w:t>
      </w:r>
    </w:p>
    <w:p w:rsidR="00DF5568" w:rsidRPr="006D4F73" w:rsidRDefault="00DF5568" w:rsidP="00787C38">
      <w:pPr>
        <w:pStyle w:val="ManualNumPar1"/>
        <w:rPr>
          <w:color w:val="000000"/>
        </w:rPr>
      </w:pPr>
      <w:r>
        <w:rPr>
          <w:noProof/>
          <w:color w:val="000000"/>
        </w:rPr>
        <w:br w:type="page"/>
      </w:r>
      <w:r w:rsidR="00787C38">
        <w:rPr>
          <w:noProof/>
          <w:color w:val="000000"/>
        </w:rPr>
        <w:lastRenderedPageBreak/>
        <w:t>6</w:t>
      </w:r>
      <w:r w:rsidRPr="006D4F73">
        <w:rPr>
          <w:noProof/>
          <w:color w:val="000000"/>
        </w:rPr>
        <w:t>.</w:t>
      </w:r>
      <w:r w:rsidR="001F4331">
        <w:rPr>
          <w:noProof/>
          <w:color w:val="000000"/>
        </w:rPr>
        <w:tab/>
      </w:r>
      <w:r w:rsidRPr="006D4F73">
        <w:rPr>
          <w:noProof/>
          <w:color w:val="000000"/>
        </w:rPr>
        <w:t xml:space="preserve">Sans préjudice des dérogations prévues aux articles 5 et 6, le prestataire de services de paiement du </w:t>
      </w:r>
      <w:r w:rsidRPr="001F4331">
        <w:t>donneur</w:t>
      </w:r>
      <w:r w:rsidRPr="006D4F73">
        <w:rPr>
          <w:noProof/>
          <w:color w:val="000000"/>
        </w:rPr>
        <w:t xml:space="preserve"> d'ordre n'effectue </w:t>
      </w:r>
      <w:r w:rsidR="00787C38">
        <w:rPr>
          <w:noProof/>
          <w:color w:val="000000"/>
        </w:rPr>
        <w:t>auc</w:t>
      </w:r>
      <w:r w:rsidRPr="006D4F73">
        <w:rPr>
          <w:noProof/>
          <w:color w:val="000000"/>
        </w:rPr>
        <w:t xml:space="preserve">un </w:t>
      </w:r>
      <w:r>
        <w:rPr>
          <w:noProof/>
          <w:color w:val="000000"/>
        </w:rPr>
        <w:t>transfert</w:t>
      </w:r>
      <w:r w:rsidRPr="006D4F73">
        <w:rPr>
          <w:noProof/>
          <w:color w:val="000000"/>
        </w:rPr>
        <w:t xml:space="preserve"> de fonds tant qu'il ne s'est pas assuré que le présent article </w:t>
      </w:r>
      <w:r w:rsidR="00787C38">
        <w:rPr>
          <w:noProof/>
          <w:color w:val="000000"/>
        </w:rPr>
        <w:t>est</w:t>
      </w:r>
      <w:r w:rsidR="00787C38" w:rsidRPr="006D4F73">
        <w:rPr>
          <w:noProof/>
          <w:color w:val="000000"/>
        </w:rPr>
        <w:t xml:space="preserve"> </w:t>
      </w:r>
      <w:r w:rsidRPr="006D4F73">
        <w:rPr>
          <w:noProof/>
          <w:color w:val="000000"/>
        </w:rPr>
        <w:t>pleinement respecté.</w:t>
      </w:r>
    </w:p>
    <w:p w:rsidR="00DF5568" w:rsidRPr="006D4F73" w:rsidRDefault="00DF5568" w:rsidP="00DF5568">
      <w:pPr>
        <w:pStyle w:val="Titrearticle"/>
        <w:rPr>
          <w:iCs/>
        </w:rPr>
      </w:pPr>
      <w:r w:rsidRPr="00787C38">
        <w:rPr>
          <w:noProof/>
        </w:rPr>
        <w:t xml:space="preserve">Article 5 </w:t>
      </w:r>
      <w:r w:rsidRPr="00787C38">
        <w:rPr>
          <w:iCs/>
          <w:noProof/>
        </w:rPr>
        <w:br/>
      </w:r>
      <w:r w:rsidRPr="00CA3066">
        <w:rPr>
          <w:noProof/>
        </w:rPr>
        <w:t>Transferts</w:t>
      </w:r>
      <w:r w:rsidRPr="00901B83">
        <w:rPr>
          <w:noProof/>
        </w:rPr>
        <w:t xml:space="preserve"> de fonds au sein de l'Union</w:t>
      </w:r>
    </w:p>
    <w:p w:rsidR="00DF5568" w:rsidRPr="006D4F73" w:rsidRDefault="00DF5568" w:rsidP="00DF5568">
      <w:pPr>
        <w:pStyle w:val="ManualNumPar1"/>
        <w:rPr>
          <w:noProof/>
        </w:rPr>
      </w:pPr>
      <w:r w:rsidRPr="006D4F73">
        <w:t>1.</w:t>
      </w:r>
      <w:r>
        <w:tab/>
      </w:r>
      <w:r w:rsidRPr="006D4F73">
        <w:t xml:space="preserve">Par dérogation à l'article 4, paragraphes 1 et 2, les </w:t>
      </w:r>
      <w:r>
        <w:t>transferts</w:t>
      </w:r>
      <w:r w:rsidRPr="006D4F73">
        <w:t xml:space="preserve"> de fonds pour lesquels tous les prestataires de services de paiement intervenant dans la chaîne de paiement sont établis dans l'Union sont accompagnés au moins du numéro de compte </w:t>
      </w:r>
      <w:r>
        <w:t xml:space="preserve">de paiement </w:t>
      </w:r>
      <w:r w:rsidRPr="006D4F73">
        <w:t>à la fois du donneur d'ordre et du bénéficiaire ou</w:t>
      </w:r>
      <w:r w:rsidR="00CF4B8D">
        <w:t>, lorsque l'article 4, paragraphe 3, s'applique,</w:t>
      </w:r>
      <w:r w:rsidRPr="006D4F73">
        <w:t xml:space="preserve"> de l'identifiant de transaction unique</w:t>
      </w:r>
      <w:r>
        <w:t>,</w:t>
      </w:r>
      <w:r w:rsidRPr="006D4F73">
        <w:t xml:space="preserve"> sans préjudice des exigences en matière d'informations </w:t>
      </w:r>
      <w:r w:rsidR="00B619A1">
        <w:t>prévues</w:t>
      </w:r>
      <w:r w:rsidRPr="006D4F73">
        <w:t xml:space="preserve"> dans le règlement (UE) n° 260/2012, s'il y a lieu.</w:t>
      </w:r>
    </w:p>
    <w:p w:rsidR="00DF5568" w:rsidRPr="006D4F73" w:rsidRDefault="00DF5568" w:rsidP="00091FA0">
      <w:pPr>
        <w:pStyle w:val="ManualNumPar1"/>
      </w:pPr>
      <w:r w:rsidRPr="006D4F73">
        <w:t>2.</w:t>
      </w:r>
      <w:r>
        <w:tab/>
      </w:r>
      <w:r w:rsidRPr="006D4F73">
        <w:t xml:space="preserve">Nonobstant le paragraphe 1, </w:t>
      </w:r>
      <w:r>
        <w:t>le prestataire de services de </w:t>
      </w:r>
      <w:r w:rsidRPr="006D4F73">
        <w:t>paiement du donneur d'ordre met à disposition, dans les t</w:t>
      </w:r>
      <w:r>
        <w:t xml:space="preserve">rois jours ouvrables </w:t>
      </w:r>
      <w:r w:rsidR="00091FA0">
        <w:t xml:space="preserve">à compter de </w:t>
      </w:r>
      <w:r>
        <w:t>la </w:t>
      </w:r>
      <w:r w:rsidRPr="006D4F73">
        <w:t xml:space="preserve">réception de </w:t>
      </w:r>
      <w:r w:rsidR="00787C38">
        <w:t>la</w:t>
      </w:r>
      <w:r w:rsidR="00787C38" w:rsidRPr="006D4F73">
        <w:t xml:space="preserve"> </w:t>
      </w:r>
      <w:r w:rsidRPr="006D4F73">
        <w:t>demande</w:t>
      </w:r>
      <w:r w:rsidR="00656509">
        <w:t xml:space="preserve"> d</w:t>
      </w:r>
      <w:r w:rsidR="0018449D">
        <w:t>'</w:t>
      </w:r>
      <w:r w:rsidR="00656509">
        <w:t>informations</w:t>
      </w:r>
      <w:r w:rsidR="00787C38">
        <w:t xml:space="preserve"> du </w:t>
      </w:r>
      <w:r w:rsidR="00787C38" w:rsidRPr="006D4F73">
        <w:t>prestataire de services de</w:t>
      </w:r>
      <w:r w:rsidR="00787C38">
        <w:t xml:space="preserve"> paiement du bénéficiaire ou </w:t>
      </w:r>
      <w:r w:rsidR="00091FA0">
        <w:t>du</w:t>
      </w:r>
      <w:r w:rsidR="00787C38">
        <w:t> </w:t>
      </w:r>
      <w:r w:rsidR="00787C38" w:rsidRPr="006D4F73">
        <w:t>prestataire de services de paiement intermédiaire</w:t>
      </w:r>
      <w:r>
        <w:t>, les informations suivantes</w:t>
      </w:r>
      <w:r w:rsidRPr="006D4F73">
        <w:t>:</w:t>
      </w:r>
    </w:p>
    <w:p w:rsidR="00DF5568" w:rsidRPr="00555BA8" w:rsidRDefault="00555BA8" w:rsidP="00555BA8">
      <w:pPr>
        <w:pStyle w:val="Point10"/>
      </w:pPr>
      <w:r>
        <w:t>a)</w:t>
      </w:r>
      <w:r w:rsidR="00B619A1">
        <w:tab/>
      </w:r>
      <w:r w:rsidR="00DF5568" w:rsidRPr="006D4F73">
        <w:t xml:space="preserve">pour les </w:t>
      </w:r>
      <w:r w:rsidR="00DF5568">
        <w:t>transferts</w:t>
      </w:r>
      <w:r w:rsidR="00DF5568" w:rsidRPr="006D4F73">
        <w:t xml:space="preserve"> de fonds </w:t>
      </w:r>
      <w:r w:rsidR="00CF4B8D">
        <w:t>excédant</w:t>
      </w:r>
      <w:r w:rsidR="00DF5568" w:rsidRPr="006D4F73">
        <w:t xml:space="preserve"> 1</w:t>
      </w:r>
      <w:r w:rsidR="00B619A1">
        <w:t xml:space="preserve"> </w:t>
      </w:r>
      <w:r w:rsidR="00DF5568" w:rsidRPr="006D4F73">
        <w:t>000 EUR</w:t>
      </w:r>
      <w:r w:rsidR="00DF5568">
        <w:t xml:space="preserve">, </w:t>
      </w:r>
      <w:r w:rsidR="00CF4B8D">
        <w:t xml:space="preserve">que ces transferts soient effectués en une </w:t>
      </w:r>
      <w:r w:rsidR="00B619A1">
        <w:t>transaction unique</w:t>
      </w:r>
      <w:r w:rsidR="00CF4B8D">
        <w:t xml:space="preserve"> ou en plusieurs </w:t>
      </w:r>
      <w:r w:rsidR="009D57A0">
        <w:t>transactions</w:t>
      </w:r>
      <w:r w:rsidR="00CF4B8D">
        <w:t xml:space="preserve"> </w:t>
      </w:r>
      <w:r w:rsidR="00527A3F">
        <w:t>qui semblent être liées</w:t>
      </w:r>
      <w:r w:rsidR="00CF4B8D">
        <w:t xml:space="preserve">, </w:t>
      </w:r>
      <w:r w:rsidR="00DF5568">
        <w:t xml:space="preserve">les informations </w:t>
      </w:r>
      <w:r w:rsidR="00CF4B8D">
        <w:t>sur le</w:t>
      </w:r>
      <w:r w:rsidR="00DF5568">
        <w:t xml:space="preserve"> donneur d'ordre ou </w:t>
      </w:r>
      <w:r w:rsidR="00CF4B8D">
        <w:t>le</w:t>
      </w:r>
      <w:r w:rsidR="00DF5568">
        <w:t xml:space="preserve"> bénéficiaire conformément à l'article 4</w:t>
      </w:r>
      <w:r w:rsidR="00DF5568" w:rsidRPr="006D4F73">
        <w:t>;</w:t>
      </w:r>
    </w:p>
    <w:p w:rsidR="00787C38" w:rsidRDefault="00555BA8" w:rsidP="00555BA8">
      <w:pPr>
        <w:pStyle w:val="Point10"/>
      </w:pPr>
      <w:r>
        <w:br w:type="page"/>
      </w:r>
      <w:r>
        <w:lastRenderedPageBreak/>
        <w:t>b)</w:t>
      </w:r>
      <w:r w:rsidR="00B619A1">
        <w:tab/>
      </w:r>
      <w:r w:rsidR="00DF5568" w:rsidRPr="006D4F73">
        <w:t xml:space="preserve">pour les </w:t>
      </w:r>
      <w:r w:rsidR="00DF5568">
        <w:t>transferts de </w:t>
      </w:r>
      <w:r w:rsidR="00DF5568" w:rsidRPr="006D4F73">
        <w:t xml:space="preserve">fonds </w:t>
      </w:r>
      <w:r w:rsidR="00DF5568">
        <w:t>n'</w:t>
      </w:r>
      <w:r w:rsidR="00C21133">
        <w:t>excédant pas</w:t>
      </w:r>
      <w:r w:rsidR="00DF5568" w:rsidRPr="006D4F73">
        <w:t xml:space="preserve"> 1</w:t>
      </w:r>
      <w:r w:rsidR="00B619A1">
        <w:t xml:space="preserve"> </w:t>
      </w:r>
      <w:r w:rsidR="00DF5568" w:rsidRPr="006D4F73">
        <w:t xml:space="preserve">000 EUR et </w:t>
      </w:r>
      <w:r w:rsidR="00527A3F">
        <w:t>qui ne</w:t>
      </w:r>
      <w:r w:rsidR="00DF5568" w:rsidRPr="006D4F73">
        <w:t xml:space="preserve"> </w:t>
      </w:r>
      <w:r w:rsidR="00C21133">
        <w:t>sembl</w:t>
      </w:r>
      <w:r w:rsidR="00527A3F">
        <w:t>e</w:t>
      </w:r>
      <w:r w:rsidR="00C21133">
        <w:t>nt</w:t>
      </w:r>
      <w:r w:rsidR="00DF5568" w:rsidRPr="006D4F73">
        <w:t xml:space="preserve"> pas liés à d'autres </w:t>
      </w:r>
      <w:r w:rsidR="00DF5568">
        <w:t>transferts</w:t>
      </w:r>
      <w:r w:rsidR="00DF5568" w:rsidRPr="006D4F73">
        <w:t xml:space="preserve"> de</w:t>
      </w:r>
      <w:r w:rsidR="00DF5568">
        <w:t> </w:t>
      </w:r>
      <w:r w:rsidR="00DF5568" w:rsidRPr="006D4F73">
        <w:t xml:space="preserve">fonds </w:t>
      </w:r>
      <w:r w:rsidR="00091FA0">
        <w:t>dont le montant</w:t>
      </w:r>
      <w:r w:rsidR="00845765">
        <w:t>,</w:t>
      </w:r>
      <w:r w:rsidR="00091FA0">
        <w:t xml:space="preserve"> cumulé</w:t>
      </w:r>
      <w:r w:rsidR="00845765">
        <w:t xml:space="preserve"> avec celui</w:t>
      </w:r>
      <w:r w:rsidR="00DF5568" w:rsidRPr="006D4F73">
        <w:t xml:space="preserve"> du </w:t>
      </w:r>
      <w:r w:rsidR="00DF5568">
        <w:t>transfert</w:t>
      </w:r>
      <w:r w:rsidR="00DF5568" w:rsidRPr="006D4F73">
        <w:t xml:space="preserve"> en question</w:t>
      </w:r>
      <w:r w:rsidR="00845765">
        <w:t>,</w:t>
      </w:r>
      <w:r w:rsidR="00DF5568" w:rsidRPr="006D4F73">
        <w:t xml:space="preserve"> </w:t>
      </w:r>
      <w:r w:rsidR="00C21133">
        <w:t>excède</w:t>
      </w:r>
      <w:r w:rsidR="00DF5568" w:rsidRPr="006D4F73">
        <w:t xml:space="preserve"> 1</w:t>
      </w:r>
      <w:r w:rsidR="00845765">
        <w:t> </w:t>
      </w:r>
      <w:r w:rsidR="00DF5568" w:rsidRPr="006D4F73">
        <w:t>000 EUR</w:t>
      </w:r>
      <w:r w:rsidR="00DF5568">
        <w:t xml:space="preserve">, </w:t>
      </w:r>
      <w:r w:rsidR="00DF5568" w:rsidRPr="006D4F73">
        <w:t>au moins</w:t>
      </w:r>
      <w:r w:rsidR="00787C38">
        <w:t>:</w:t>
      </w:r>
    </w:p>
    <w:p w:rsidR="00787C38" w:rsidRDefault="00787C38" w:rsidP="00555BA8">
      <w:pPr>
        <w:pStyle w:val="Point2"/>
      </w:pPr>
      <w:r>
        <w:t>i)</w:t>
      </w:r>
      <w:r w:rsidR="00EF51C3">
        <w:tab/>
      </w:r>
      <w:r w:rsidR="00DF5568" w:rsidRPr="006D4F73">
        <w:t>le</w:t>
      </w:r>
      <w:r>
        <w:t>s</w:t>
      </w:r>
      <w:r w:rsidR="00DF5568" w:rsidRPr="006D4F73">
        <w:t xml:space="preserve"> nom</w:t>
      </w:r>
      <w:r>
        <w:t>s</w:t>
      </w:r>
      <w:r w:rsidR="00DF5568" w:rsidRPr="006D4F73">
        <w:t xml:space="preserve"> du donneur d'ordre</w:t>
      </w:r>
      <w:r>
        <w:t xml:space="preserve"> et </w:t>
      </w:r>
      <w:r w:rsidR="00DF5568" w:rsidRPr="006D4F73">
        <w:t>du bénéficiaire</w:t>
      </w:r>
      <w:r>
        <w:t>;</w:t>
      </w:r>
      <w:r w:rsidR="00DF5568" w:rsidRPr="006D4F73">
        <w:t xml:space="preserve"> et</w:t>
      </w:r>
    </w:p>
    <w:p w:rsidR="00DF5568" w:rsidRPr="006D4F73" w:rsidRDefault="00787C38" w:rsidP="00555BA8">
      <w:pPr>
        <w:pStyle w:val="Point2"/>
        <w:rPr>
          <w:color w:val="243F60"/>
        </w:rPr>
      </w:pPr>
      <w:r>
        <w:t>ii)</w:t>
      </w:r>
      <w:r w:rsidR="00EF51C3">
        <w:tab/>
      </w:r>
      <w:r w:rsidR="00DF5568" w:rsidRPr="006D4F73">
        <w:t xml:space="preserve">les numéros de compte </w:t>
      </w:r>
      <w:r w:rsidR="00DF5568">
        <w:t>de paiement</w:t>
      </w:r>
      <w:r w:rsidR="00DF5568" w:rsidRPr="006D4F73">
        <w:t xml:space="preserve"> du donneur d'ordre et du bénéficiaire ou</w:t>
      </w:r>
      <w:r w:rsidR="00CF4B8D">
        <w:t>, lorsque l'article 4, paragraphe 3, s'applique,</w:t>
      </w:r>
      <w:r w:rsidR="00DF5568" w:rsidRPr="006D4F73">
        <w:t xml:space="preserve"> l'identifiant de transaction unique.</w:t>
      </w:r>
    </w:p>
    <w:p w:rsidR="00DF5568" w:rsidRPr="00555BA8" w:rsidRDefault="006318C7" w:rsidP="00CF4B8D">
      <w:pPr>
        <w:pStyle w:val="ManualNumPar1"/>
      </w:pPr>
      <w:r w:rsidRPr="00555BA8">
        <w:t>3</w:t>
      </w:r>
      <w:r w:rsidR="00555BA8" w:rsidRPr="00555BA8">
        <w:t>.</w:t>
      </w:r>
      <w:r w:rsidR="0064150D" w:rsidRPr="00555BA8">
        <w:tab/>
      </w:r>
      <w:r w:rsidR="00DF5568" w:rsidRPr="00555BA8">
        <w:t>Par dérogation à l'article 4, paragraphe </w:t>
      </w:r>
      <w:r w:rsidRPr="00555BA8">
        <w:t>4</w:t>
      </w:r>
      <w:r w:rsidR="00DF5568" w:rsidRPr="00555BA8">
        <w:t xml:space="preserve">, dans le cas des transferts de fonds visés au paragraphe 2, point b), du présent article, le prestataire de services de paiement du donneur d'ordre n'est pas tenu de vérifier les informations </w:t>
      </w:r>
      <w:r w:rsidR="00CF4B8D" w:rsidRPr="00555BA8">
        <w:t>sur le</w:t>
      </w:r>
      <w:r w:rsidR="00DF5568" w:rsidRPr="00555BA8">
        <w:t xml:space="preserve"> donneur d'ordre, à moins que le prestataire de services de paiement du donneur d'ordre:</w:t>
      </w:r>
    </w:p>
    <w:p w:rsidR="00DF5568" w:rsidRPr="00555BA8" w:rsidRDefault="00DF5568" w:rsidP="00087AC3">
      <w:pPr>
        <w:pStyle w:val="Point10"/>
      </w:pPr>
      <w:r w:rsidRPr="00555BA8">
        <w:t>a)</w:t>
      </w:r>
      <w:r w:rsidR="001F4331" w:rsidRPr="00555BA8">
        <w:tab/>
      </w:r>
      <w:r w:rsidRPr="00555BA8">
        <w:t>ait reçu les fonds à transférer en espèces ou sous forme de monnaie électronique anonyme; ou</w:t>
      </w:r>
    </w:p>
    <w:p w:rsidR="00DF5568" w:rsidRPr="00555BA8" w:rsidRDefault="00DF5568" w:rsidP="00087AC3">
      <w:pPr>
        <w:pStyle w:val="Point10"/>
      </w:pPr>
      <w:r w:rsidRPr="00555BA8">
        <w:t>b)</w:t>
      </w:r>
      <w:r w:rsidR="001F4331" w:rsidRPr="00555BA8">
        <w:tab/>
      </w:r>
      <w:r w:rsidRPr="00555BA8">
        <w:t>ait des motifs raisonnables de suspecter des actes de blanchiment de capitaux ou de financement du terrorisme.</w:t>
      </w:r>
    </w:p>
    <w:p w:rsidR="00DF5568" w:rsidRPr="006D4F73" w:rsidRDefault="00555BA8" w:rsidP="00DF5568">
      <w:pPr>
        <w:pStyle w:val="Titrearticle"/>
        <w:rPr>
          <w:iCs/>
        </w:rPr>
      </w:pPr>
      <w:r>
        <w:rPr>
          <w:noProof/>
        </w:rPr>
        <w:br w:type="page"/>
      </w:r>
      <w:r w:rsidR="00DF5568" w:rsidRPr="006318C7">
        <w:rPr>
          <w:noProof/>
        </w:rPr>
        <w:lastRenderedPageBreak/>
        <w:t>Article 6</w:t>
      </w:r>
      <w:r w:rsidR="00DF5568" w:rsidRPr="006318C7">
        <w:rPr>
          <w:iCs/>
          <w:noProof/>
        </w:rPr>
        <w:br/>
      </w:r>
      <w:r w:rsidR="00DF5568" w:rsidRPr="00CA3066">
        <w:rPr>
          <w:iCs/>
        </w:rPr>
        <w:t>Transferts</w:t>
      </w:r>
      <w:r w:rsidR="00DF5568" w:rsidRPr="00901B83">
        <w:rPr>
          <w:noProof/>
        </w:rPr>
        <w:t xml:space="preserve"> de fonds vers l'extérieur de l'Union</w:t>
      </w:r>
    </w:p>
    <w:p w:rsidR="00DF5568" w:rsidRPr="006D4F73" w:rsidRDefault="00DF5568" w:rsidP="00555BA8">
      <w:pPr>
        <w:pStyle w:val="ManualNumPar1"/>
      </w:pPr>
      <w:r w:rsidRPr="006D4F73">
        <w:t>1.</w:t>
      </w:r>
      <w:r>
        <w:tab/>
      </w:r>
      <w:r w:rsidRPr="006D4F73">
        <w:t xml:space="preserve">En cas de </w:t>
      </w:r>
      <w:r>
        <w:t>transfert</w:t>
      </w:r>
      <w:r w:rsidRPr="006D4F73">
        <w:t xml:space="preserve"> par lots </w:t>
      </w:r>
      <w:r w:rsidR="0008517D">
        <w:t>effectué</w:t>
      </w:r>
      <w:r w:rsidRPr="006D4F73">
        <w:t xml:space="preserve"> </w:t>
      </w:r>
      <w:r w:rsidR="00EF51C3">
        <w:t>depuis</w:t>
      </w:r>
      <w:r w:rsidRPr="006D4F73">
        <w:t xml:space="preserve"> un donneur d'ordre uniq</w:t>
      </w:r>
      <w:r>
        <w:t xml:space="preserve">ue à </w:t>
      </w:r>
      <w:r w:rsidR="00EF51C3">
        <w:t>destination de</w:t>
      </w:r>
      <w:r>
        <w:t xml:space="preserve"> bénéficiaires dont les </w:t>
      </w:r>
      <w:r w:rsidRPr="006D4F73">
        <w:t xml:space="preserve">prestataires de services de paiement sont établis en dehors de l'Union, l'article 4, paragraphe 1, ne s'applique pas </w:t>
      </w:r>
      <w:r>
        <w:t>aux</w:t>
      </w:r>
      <w:r w:rsidRPr="006D4F73">
        <w:t xml:space="preserve"> </w:t>
      </w:r>
      <w:r>
        <w:t>transferts individuels</w:t>
      </w:r>
      <w:r w:rsidRPr="006D4F73">
        <w:t xml:space="preserve"> </w:t>
      </w:r>
      <w:r w:rsidR="00845765">
        <w:t>regroupés</w:t>
      </w:r>
      <w:r w:rsidRPr="006D4F73">
        <w:t xml:space="preserve"> dans ces lots, dès lors que </w:t>
      </w:r>
      <w:r>
        <w:t xml:space="preserve">le </w:t>
      </w:r>
      <w:r w:rsidRPr="00F81F47">
        <w:t>lot</w:t>
      </w:r>
      <w:r w:rsidRPr="006D4F73">
        <w:t xml:space="preserve"> contient les informations visées </w:t>
      </w:r>
      <w:r w:rsidR="006318C7">
        <w:t>à l'</w:t>
      </w:r>
      <w:r w:rsidRPr="006D4F73">
        <w:t>article</w:t>
      </w:r>
      <w:r w:rsidR="006318C7">
        <w:t xml:space="preserve"> 4, paragraphes</w:t>
      </w:r>
      <w:r>
        <w:t xml:space="preserve"> 1, 2 et </w:t>
      </w:r>
      <w:r w:rsidR="006318C7">
        <w:t>3,</w:t>
      </w:r>
      <w:r w:rsidRPr="006D4F73">
        <w:t xml:space="preserve"> que ces informations ont été vérifiées conformément à l'article 4, paragraphes </w:t>
      </w:r>
      <w:r w:rsidR="006318C7">
        <w:t>4</w:t>
      </w:r>
      <w:r w:rsidR="006318C7" w:rsidRPr="006D4F73">
        <w:t xml:space="preserve"> </w:t>
      </w:r>
      <w:r w:rsidRPr="006D4F73">
        <w:t xml:space="preserve">et </w:t>
      </w:r>
      <w:r w:rsidR="006318C7">
        <w:t>5</w:t>
      </w:r>
      <w:r w:rsidRPr="006D4F73">
        <w:t xml:space="preserve">, et que </w:t>
      </w:r>
      <w:r>
        <w:t>les</w:t>
      </w:r>
      <w:r w:rsidRPr="006D4F73">
        <w:t xml:space="preserve"> </w:t>
      </w:r>
      <w:r>
        <w:t>transferts individuels</w:t>
      </w:r>
      <w:r w:rsidRPr="006D4F73">
        <w:t xml:space="preserve"> porte</w:t>
      </w:r>
      <w:r>
        <w:t>nt</w:t>
      </w:r>
      <w:r w:rsidRPr="006D4F73">
        <w:t xml:space="preserve"> le numéro </w:t>
      </w:r>
      <w:r>
        <w:t>de compte de paiement du donneur d'ordre ou</w:t>
      </w:r>
      <w:r w:rsidR="00CF4B8D">
        <w:t>, lorsque l'article 4, paragraphe 3, s'applique,</w:t>
      </w:r>
      <w:r w:rsidR="00555BA8">
        <w:t xml:space="preserve"> </w:t>
      </w:r>
      <w:r w:rsidRPr="006D4F73">
        <w:t>l'identifiant de transaction unique.</w:t>
      </w:r>
    </w:p>
    <w:p w:rsidR="00DF5568" w:rsidRPr="00953E30" w:rsidDel="00B56A05" w:rsidRDefault="00DF5568" w:rsidP="00845765">
      <w:pPr>
        <w:pStyle w:val="ManualNumPar1"/>
        <w:rPr>
          <w:noProof/>
        </w:rPr>
      </w:pPr>
      <w:r w:rsidRPr="006D4F73">
        <w:t>2.</w:t>
      </w:r>
      <w:r>
        <w:tab/>
      </w:r>
      <w:r w:rsidRPr="006D4F73">
        <w:t>Par dérogation à l'article 4, paragraphe 1, et</w:t>
      </w:r>
      <w:r w:rsidR="006318C7">
        <w:t xml:space="preserve">, </w:t>
      </w:r>
      <w:r w:rsidR="00E81EBA">
        <w:t>le cas échéant</w:t>
      </w:r>
      <w:r w:rsidR="006318C7">
        <w:t>,</w:t>
      </w:r>
      <w:r w:rsidRPr="006D4F73">
        <w:t xml:space="preserve"> sans préjudice des informations requises conformément au règlement (UE) n° 260/2012, les </w:t>
      </w:r>
      <w:r>
        <w:t>transferts</w:t>
      </w:r>
      <w:r w:rsidRPr="006D4F73">
        <w:t xml:space="preserve"> de fonds pour lesquels le prestataire de services de paiement du bénéficiaire est établi en dehors de l'Union, dont le montant </w:t>
      </w:r>
      <w:r>
        <w:t>n'</w:t>
      </w:r>
      <w:r w:rsidR="00E81EBA">
        <w:t>excède</w:t>
      </w:r>
      <w:r w:rsidRPr="006D4F73">
        <w:t xml:space="preserve"> </w:t>
      </w:r>
      <w:r>
        <w:t xml:space="preserve">pas </w:t>
      </w:r>
      <w:r w:rsidRPr="006D4F73">
        <w:t>1</w:t>
      </w:r>
      <w:r w:rsidR="00527A3F">
        <w:t xml:space="preserve"> </w:t>
      </w:r>
      <w:r w:rsidRPr="006D4F73">
        <w:t xml:space="preserve">000 EUR et </w:t>
      </w:r>
      <w:r w:rsidR="00527A3F">
        <w:t xml:space="preserve">qui </w:t>
      </w:r>
      <w:r w:rsidRPr="006D4F73">
        <w:t xml:space="preserve">ne </w:t>
      </w:r>
      <w:r w:rsidR="00E81EBA">
        <w:t>sembl</w:t>
      </w:r>
      <w:r w:rsidR="00527A3F">
        <w:t>e</w:t>
      </w:r>
      <w:r w:rsidR="00E81EBA">
        <w:t>nt</w:t>
      </w:r>
      <w:r w:rsidRPr="006D4F73">
        <w:t xml:space="preserve"> pas liés à d'autres </w:t>
      </w:r>
      <w:r>
        <w:t>transferts</w:t>
      </w:r>
      <w:r w:rsidRPr="006D4F73">
        <w:t xml:space="preserve"> de fonds </w:t>
      </w:r>
      <w:r w:rsidR="00845765">
        <w:t xml:space="preserve">dont le montant, cumulé avec celui </w:t>
      </w:r>
      <w:r w:rsidRPr="006D4F73">
        <w:t xml:space="preserve">du </w:t>
      </w:r>
      <w:r>
        <w:t>transfert</w:t>
      </w:r>
      <w:r w:rsidRPr="006D4F73">
        <w:t xml:space="preserve"> en question</w:t>
      </w:r>
      <w:r w:rsidR="00845765">
        <w:t>,</w:t>
      </w:r>
      <w:r w:rsidRPr="006D4F73">
        <w:t xml:space="preserve"> </w:t>
      </w:r>
      <w:r w:rsidR="00E81EBA">
        <w:t>excède</w:t>
      </w:r>
      <w:r w:rsidR="00E81EBA" w:rsidRPr="006D4F73">
        <w:t xml:space="preserve"> </w:t>
      </w:r>
      <w:r w:rsidRPr="006D4F73">
        <w:t>1</w:t>
      </w:r>
      <w:r w:rsidR="00845765">
        <w:t> </w:t>
      </w:r>
      <w:r w:rsidRPr="006D4F73">
        <w:t>000 EUR</w:t>
      </w:r>
      <w:r>
        <w:rPr>
          <w:noProof/>
        </w:rPr>
        <w:t xml:space="preserve"> </w:t>
      </w:r>
      <w:r w:rsidRPr="006D4F73">
        <w:t>sont au moins accompagnés des informations suivantes:</w:t>
      </w:r>
    </w:p>
    <w:p w:rsidR="00DF5568" w:rsidRPr="006D4F73" w:rsidRDefault="00DF5568" w:rsidP="006318C7">
      <w:pPr>
        <w:pStyle w:val="Point10"/>
      </w:pPr>
      <w:r w:rsidRPr="006D4F73">
        <w:t>a)</w:t>
      </w:r>
      <w:r>
        <w:tab/>
      </w:r>
      <w:r w:rsidRPr="006D4F73">
        <w:t>le</w:t>
      </w:r>
      <w:r w:rsidR="006318C7">
        <w:t>s</w:t>
      </w:r>
      <w:r w:rsidRPr="006D4F73">
        <w:t xml:space="preserve"> nom</w:t>
      </w:r>
      <w:r w:rsidR="006318C7">
        <w:t>s</w:t>
      </w:r>
      <w:r w:rsidRPr="006D4F73">
        <w:t xml:space="preserve"> du donneur d'ordre</w:t>
      </w:r>
      <w:r w:rsidR="006318C7">
        <w:t xml:space="preserve"> et du bénéficiaire</w:t>
      </w:r>
      <w:r w:rsidRPr="006D4F73">
        <w:t>; et</w:t>
      </w:r>
    </w:p>
    <w:p w:rsidR="00DF5568" w:rsidRPr="006D4F73" w:rsidRDefault="006318C7" w:rsidP="006318C7">
      <w:pPr>
        <w:pStyle w:val="Point10"/>
      </w:pPr>
      <w:r>
        <w:t>b</w:t>
      </w:r>
      <w:r w:rsidR="00DF5568" w:rsidRPr="006D4F73">
        <w:t>)</w:t>
      </w:r>
      <w:r w:rsidR="00DF5568">
        <w:tab/>
      </w:r>
      <w:r w:rsidR="00DF5568" w:rsidRPr="006D4F73">
        <w:t>le</w:t>
      </w:r>
      <w:r>
        <w:t>s</w:t>
      </w:r>
      <w:r w:rsidR="00DF5568" w:rsidRPr="006D4F73">
        <w:t xml:space="preserve"> numéro</w:t>
      </w:r>
      <w:r>
        <w:t>s</w:t>
      </w:r>
      <w:r w:rsidR="00DF5568" w:rsidRPr="006D4F73">
        <w:t xml:space="preserve"> de compte </w:t>
      </w:r>
      <w:r w:rsidR="00DF5568">
        <w:t xml:space="preserve">de paiement </w:t>
      </w:r>
      <w:r w:rsidR="00DF5568" w:rsidRPr="006D4F73">
        <w:t>du donneur d'ordre et du bénéficiaire ou</w:t>
      </w:r>
      <w:r w:rsidR="00CF4B8D">
        <w:t>, lorsque l'article 4, paragraphe 3, s'applique,</w:t>
      </w:r>
      <w:r w:rsidR="00DF5568" w:rsidRPr="006D4F73">
        <w:t xml:space="preserve"> l'identifiant de transaction unique.</w:t>
      </w:r>
    </w:p>
    <w:p w:rsidR="00DF5568" w:rsidRPr="006D4F73" w:rsidRDefault="00555BA8" w:rsidP="00555BA8">
      <w:pPr>
        <w:pStyle w:val="Text1"/>
        <w:rPr>
          <w:rFonts w:eastAsia="Calibri"/>
          <w:noProof/>
        </w:rPr>
      </w:pPr>
      <w:r>
        <w:br w:type="page"/>
      </w:r>
      <w:r w:rsidR="00DF5568">
        <w:lastRenderedPageBreak/>
        <w:t xml:space="preserve">Par dérogation à l'article 4, paragraphe </w:t>
      </w:r>
      <w:r w:rsidR="006318C7">
        <w:t>4</w:t>
      </w:r>
      <w:r w:rsidR="00DF5568">
        <w:t>, le prestataire de services de paiement du donneur d'ordre n'est pas tenu</w:t>
      </w:r>
      <w:r w:rsidR="00DF5568" w:rsidRPr="006D4F73">
        <w:t xml:space="preserve"> </w:t>
      </w:r>
      <w:r w:rsidR="00DF5568">
        <w:t xml:space="preserve">de vérifier les informations </w:t>
      </w:r>
      <w:r w:rsidR="00CF4B8D">
        <w:t>sur</w:t>
      </w:r>
      <w:r w:rsidR="00DF5568">
        <w:t xml:space="preserve"> le donneur d'ordre</w:t>
      </w:r>
      <w:r w:rsidR="006318C7">
        <w:t xml:space="preserve"> visées au présent paragraphe</w:t>
      </w:r>
      <w:r w:rsidR="00DF5568" w:rsidRPr="006D4F73">
        <w:t xml:space="preserve"> à moins que</w:t>
      </w:r>
      <w:r w:rsidR="006318C7">
        <w:t xml:space="preserve"> le prestataire de services de paiement du donneur d'ordre</w:t>
      </w:r>
      <w:r w:rsidR="00DF5568" w:rsidRPr="006D4F73">
        <w:t>:</w:t>
      </w:r>
    </w:p>
    <w:p w:rsidR="00DF5568" w:rsidRDefault="00DF5568" w:rsidP="00087AC3">
      <w:pPr>
        <w:pStyle w:val="Point10"/>
        <w:rPr>
          <w:rFonts w:eastAsia="Calibri"/>
          <w:noProof/>
        </w:rPr>
      </w:pPr>
      <w:r w:rsidRPr="006D4F73">
        <w:t>a)</w:t>
      </w:r>
      <w:r>
        <w:tab/>
      </w:r>
      <w:r w:rsidRPr="006D4F73">
        <w:t>ait reçu les fonds à transférer en espèces ou sous la forme de monnaie électronique anonyme; ou</w:t>
      </w:r>
    </w:p>
    <w:p w:rsidR="00DF5568" w:rsidRPr="006D4F73" w:rsidRDefault="00DF5568" w:rsidP="00087AC3">
      <w:pPr>
        <w:pStyle w:val="Point10"/>
        <w:rPr>
          <w:rFonts w:eastAsia="Calibri"/>
          <w:noProof/>
        </w:rPr>
      </w:pPr>
      <w:r w:rsidRPr="006D4F73">
        <w:t>b)</w:t>
      </w:r>
      <w:r>
        <w:tab/>
      </w:r>
      <w:r w:rsidRPr="006D4F73">
        <w:t xml:space="preserve">ait </w:t>
      </w:r>
      <w:r>
        <w:t>des motifs raisonnables</w:t>
      </w:r>
      <w:r w:rsidRPr="006D4F73">
        <w:t xml:space="preserve"> de suspecter des actes de blanchiment de capitaux ou de financement du terrorisme.</w:t>
      </w:r>
    </w:p>
    <w:p w:rsidR="00DF5568" w:rsidRPr="00555BA8" w:rsidRDefault="00555BA8" w:rsidP="00555BA8">
      <w:pPr>
        <w:pStyle w:val="SectionTitle"/>
      </w:pPr>
      <w:r>
        <w:t>Section 2</w:t>
      </w:r>
      <w:r>
        <w:br/>
        <w:t>O</w:t>
      </w:r>
      <w:r w:rsidRPr="00555BA8">
        <w:t>bligat</w:t>
      </w:r>
      <w:r>
        <w:t>ions du prestataire de services</w:t>
      </w:r>
      <w:r>
        <w:br/>
      </w:r>
      <w:r w:rsidRPr="00555BA8">
        <w:t>de paiement du bénéficiaire</w:t>
      </w:r>
    </w:p>
    <w:p w:rsidR="00DF5568" w:rsidRPr="001420ED" w:rsidRDefault="00DF5568" w:rsidP="00CF4B8D">
      <w:pPr>
        <w:pStyle w:val="Titrearticle"/>
        <w:rPr>
          <w:iCs/>
        </w:rPr>
      </w:pPr>
      <w:r>
        <w:t>Article 7</w:t>
      </w:r>
      <w:r>
        <w:rPr>
          <w:iCs/>
        </w:rPr>
        <w:br/>
      </w:r>
      <w:r>
        <w:t xml:space="preserve">Détection d'informations manquantes </w:t>
      </w:r>
      <w:r w:rsidR="00CF4B8D">
        <w:t>sur le</w:t>
      </w:r>
      <w:r>
        <w:t xml:space="preserve"> donneur d'ordre ou </w:t>
      </w:r>
      <w:r w:rsidR="00CF4B8D">
        <w:t>le</w:t>
      </w:r>
      <w:r>
        <w:t xml:space="preserve"> bénéficiaire</w:t>
      </w:r>
    </w:p>
    <w:p w:rsidR="00DF5568" w:rsidRPr="001420ED" w:rsidRDefault="00DF5568" w:rsidP="00087AC3">
      <w:pPr>
        <w:pStyle w:val="ManualNumPar1"/>
      </w:pPr>
      <w:r>
        <w:t>1.</w:t>
      </w:r>
      <w:r>
        <w:tab/>
        <w:t xml:space="preserve">Le prestataire de services de paiement du bénéficiaire applique des procédures efficaces pour </w:t>
      </w:r>
      <w:r w:rsidR="00E81EBA">
        <w:t xml:space="preserve">détecter </w:t>
      </w:r>
      <w:r>
        <w:t xml:space="preserve">si, dans le système de messagerie ou dans le système de paiement et de règlement utilisé pour effectuer le transfert de fonds, les champs devant contenir les informations </w:t>
      </w:r>
      <w:r w:rsidR="00CF4B8D">
        <w:t>sur le</w:t>
      </w:r>
      <w:r>
        <w:t xml:space="preserve"> donneur d'ordre et </w:t>
      </w:r>
      <w:r w:rsidR="00CF4B8D">
        <w:t>le</w:t>
      </w:r>
      <w:r>
        <w:t xml:space="preserve"> bénéficiaire ont été </w:t>
      </w:r>
      <w:r w:rsidR="00087AC3">
        <w:t>complétés</w:t>
      </w:r>
      <w:r>
        <w:t xml:space="preserve"> à l'aide de caractères ou d'éléments </w:t>
      </w:r>
      <w:r w:rsidR="00845765">
        <w:t xml:space="preserve">admissibles </w:t>
      </w:r>
      <w:r>
        <w:t>conform</w:t>
      </w:r>
      <w:r w:rsidR="00845765">
        <w:t>ément</w:t>
      </w:r>
      <w:r>
        <w:t xml:space="preserve"> aux conventions de ce système.</w:t>
      </w:r>
    </w:p>
    <w:p w:rsidR="00DF5568" w:rsidRPr="001420ED" w:rsidRDefault="00DF5568" w:rsidP="00AF49CB">
      <w:pPr>
        <w:pStyle w:val="ManualNumPar1"/>
        <w:rPr>
          <w:noProof/>
        </w:rPr>
      </w:pPr>
      <w:r>
        <w:br w:type="page"/>
      </w:r>
      <w:r>
        <w:lastRenderedPageBreak/>
        <w:t>2.</w:t>
      </w:r>
      <w:r>
        <w:tab/>
      </w:r>
      <w:r w:rsidRPr="00E81EBA">
        <w:t xml:space="preserve">Le prestataire de services de paiement du bénéficiaire applique des procédures efficaces, y compris, le cas échéant, un </w:t>
      </w:r>
      <w:r w:rsidR="00AF49CB">
        <w:t>contrôle</w:t>
      </w:r>
      <w:r w:rsidRPr="00E81EBA">
        <w:t xml:space="preserve"> </w:t>
      </w:r>
      <w:r w:rsidR="007827BA">
        <w:t>a posteriori</w:t>
      </w:r>
      <w:r w:rsidRPr="00E81EBA">
        <w:t xml:space="preserve"> ou en temps réel, pour détecter l'absence éventuelle des informations </w:t>
      </w:r>
      <w:r w:rsidR="00845765">
        <w:t>suivantes</w:t>
      </w:r>
      <w:r w:rsidRPr="007827BA">
        <w:t xml:space="preserve"> </w:t>
      </w:r>
      <w:r w:rsidR="00CF4B8D">
        <w:t>sur le</w:t>
      </w:r>
      <w:r w:rsidRPr="007827BA">
        <w:t xml:space="preserve"> donneur d'ordre ou </w:t>
      </w:r>
      <w:r w:rsidR="00CF4B8D">
        <w:t>le</w:t>
      </w:r>
      <w:r w:rsidRPr="007827BA">
        <w:t xml:space="preserve"> bénéficiaire:</w:t>
      </w:r>
    </w:p>
    <w:p w:rsidR="00DF5568" w:rsidRPr="001420ED" w:rsidRDefault="00DF5568">
      <w:pPr>
        <w:pStyle w:val="Point10"/>
      </w:pPr>
      <w:r>
        <w:t>a)</w:t>
      </w:r>
      <w:r>
        <w:tab/>
        <w:t xml:space="preserve">pour les transferts de fonds pour lesquels le prestataire de services de paiement du donneur d'ordre est établi dans l'Union, les informations </w:t>
      </w:r>
      <w:r w:rsidR="00CA3066">
        <w:t>visées à</w:t>
      </w:r>
      <w:r>
        <w:t xml:space="preserve"> l'article 5;</w:t>
      </w:r>
    </w:p>
    <w:p w:rsidR="00DF5568" w:rsidRPr="001420ED" w:rsidRDefault="00DF5568">
      <w:pPr>
        <w:pStyle w:val="Point10"/>
        <w:rPr>
          <w:noProof/>
        </w:rPr>
      </w:pPr>
      <w:r>
        <w:t>b)</w:t>
      </w:r>
      <w:r>
        <w:tab/>
        <w:t>pour les transferts de fonds pour lesquels le prestataire de services de paiement du donneur d'ordre est établi en dehors de l'Union, les informations visées à l'article 4, paragraphes 1 et 2;</w:t>
      </w:r>
    </w:p>
    <w:p w:rsidR="00DF5568" w:rsidRPr="001420ED" w:rsidRDefault="00DF5568">
      <w:pPr>
        <w:pStyle w:val="Point10"/>
      </w:pPr>
      <w:r>
        <w:t>c)</w:t>
      </w:r>
      <w:r>
        <w:tab/>
        <w:t xml:space="preserve">pour les transferts par lots pour lesquels le prestataire de services de paiement du donneur d'ordre est établi en dehors de l'Union, les informations visées à l'article 4, paragraphes 1 et 2, en ce qui concerne </w:t>
      </w:r>
      <w:r w:rsidR="00CA3066">
        <w:t>c</w:t>
      </w:r>
      <w:r>
        <w:t>e transfert par lots.</w:t>
      </w:r>
    </w:p>
    <w:p w:rsidR="00DF5568" w:rsidRPr="001420ED" w:rsidRDefault="00DF5568" w:rsidP="00845765">
      <w:pPr>
        <w:pStyle w:val="ManualNumPar1"/>
        <w:rPr>
          <w:noProof/>
        </w:rPr>
      </w:pPr>
      <w:r>
        <w:t>3.</w:t>
      </w:r>
      <w:r>
        <w:tab/>
        <w:t xml:space="preserve">Pour les transferts de fonds </w:t>
      </w:r>
      <w:r w:rsidR="00C560F6">
        <w:t>excédant</w:t>
      </w:r>
      <w:r>
        <w:t xml:space="preserve"> 1</w:t>
      </w:r>
      <w:r w:rsidR="00087AC3">
        <w:t xml:space="preserve"> </w:t>
      </w:r>
      <w:r>
        <w:t xml:space="preserve">000 EUR, </w:t>
      </w:r>
      <w:r w:rsidR="00CF4B8D">
        <w:t xml:space="preserve">que ces transferts soient effectués en une </w:t>
      </w:r>
      <w:r w:rsidR="00527A3F">
        <w:t>transaction unique</w:t>
      </w:r>
      <w:r w:rsidR="00CF4B8D">
        <w:t xml:space="preserve"> ou en plusieurs </w:t>
      </w:r>
      <w:r w:rsidR="009D57A0">
        <w:t>transactions</w:t>
      </w:r>
      <w:r w:rsidR="00CF4B8D">
        <w:t xml:space="preserve"> </w:t>
      </w:r>
      <w:r w:rsidR="00527A3F">
        <w:t>qui semblent être liées</w:t>
      </w:r>
      <w:r w:rsidR="00CF4B8D">
        <w:t xml:space="preserve">, </w:t>
      </w:r>
      <w:r>
        <w:t xml:space="preserve">le prestataire de services de paiement du bénéficiaire vérifie, avant de créditer le compte de paiement du bénéficiaire ou de mettre les fonds à sa disposition, l'exactitude des informations </w:t>
      </w:r>
      <w:r w:rsidR="00527A3F">
        <w:t xml:space="preserve">sur le bénéficiaire </w:t>
      </w:r>
      <w:r>
        <w:t xml:space="preserve">visées au paragraphe 2 </w:t>
      </w:r>
      <w:r w:rsidR="00CF4B8D">
        <w:t>du présent article</w:t>
      </w:r>
      <w:r>
        <w:t>, sur la base de documents, de données ou de renseignements obtenus d'une source fiable et indépendante, sans préjudice des exigences définies aux articles 69 et 70 de la directive 2007/64/CE.</w:t>
      </w:r>
    </w:p>
    <w:p w:rsidR="00DF5568" w:rsidRPr="001420ED" w:rsidRDefault="00DF5568" w:rsidP="00845765">
      <w:pPr>
        <w:pStyle w:val="ManualNumPar1"/>
      </w:pPr>
      <w:r>
        <w:br w:type="page"/>
      </w:r>
      <w:r>
        <w:lastRenderedPageBreak/>
        <w:t>4.</w:t>
      </w:r>
      <w:r>
        <w:tab/>
        <w:t>Pour les transferts de fonds dont le montant n'</w:t>
      </w:r>
      <w:r w:rsidR="00C560F6">
        <w:t>excède</w:t>
      </w:r>
      <w:r>
        <w:t xml:space="preserve"> pas 1</w:t>
      </w:r>
      <w:r w:rsidR="00527A3F">
        <w:t xml:space="preserve"> </w:t>
      </w:r>
      <w:r>
        <w:t xml:space="preserve">000 EUR et </w:t>
      </w:r>
      <w:r w:rsidR="00527A3F">
        <w:t xml:space="preserve">qui </w:t>
      </w:r>
      <w:r>
        <w:t xml:space="preserve">ne </w:t>
      </w:r>
      <w:r w:rsidR="00C560F6">
        <w:t>sembl</w:t>
      </w:r>
      <w:r w:rsidR="00527A3F">
        <w:t>e</w:t>
      </w:r>
      <w:r w:rsidR="00C560F6">
        <w:t>nt</w:t>
      </w:r>
      <w:r>
        <w:t xml:space="preserve"> pas liés à d'autres transferts de fonds </w:t>
      </w:r>
      <w:r w:rsidR="00845765">
        <w:t xml:space="preserve">dont le montant, cumulé avec celui </w:t>
      </w:r>
      <w:r>
        <w:t>du transfert en question</w:t>
      </w:r>
      <w:r w:rsidR="00845765">
        <w:t>,</w:t>
      </w:r>
      <w:r>
        <w:t xml:space="preserve"> </w:t>
      </w:r>
      <w:r w:rsidR="00C560F6">
        <w:t xml:space="preserve">excède </w:t>
      </w:r>
      <w:r>
        <w:t>1</w:t>
      </w:r>
      <w:r w:rsidR="00845765">
        <w:t> </w:t>
      </w:r>
      <w:r>
        <w:t xml:space="preserve">000 EUR, le prestataire de services de paiement du bénéficiaire n'est pas tenu de vérifier l'exactitude des informations </w:t>
      </w:r>
      <w:r w:rsidR="00CF4B8D">
        <w:t>sur le</w:t>
      </w:r>
      <w:r>
        <w:t xml:space="preserve"> bénéficiaire, à moins que</w:t>
      </w:r>
      <w:r w:rsidR="00CA3066" w:rsidRPr="00CA3066">
        <w:t xml:space="preserve"> </w:t>
      </w:r>
      <w:r w:rsidR="00CA3066">
        <w:t>le prestataire de services de paiement du bénéficiaire</w:t>
      </w:r>
      <w:r>
        <w:t>:</w:t>
      </w:r>
    </w:p>
    <w:p w:rsidR="00DF5568" w:rsidRPr="001420ED" w:rsidRDefault="00DF5568" w:rsidP="00087AC3">
      <w:pPr>
        <w:pStyle w:val="Point10"/>
      </w:pPr>
      <w:r>
        <w:t>a)</w:t>
      </w:r>
      <w:r>
        <w:tab/>
      </w:r>
      <w:r w:rsidR="00CA3066">
        <w:t>effectue le versement</w:t>
      </w:r>
      <w:r>
        <w:t xml:space="preserve"> </w:t>
      </w:r>
      <w:r w:rsidR="00CA3066">
        <w:t>d</w:t>
      </w:r>
      <w:r>
        <w:t>es fonds en espèces ou sous la forme de monnaie électronique anonyme; ou</w:t>
      </w:r>
    </w:p>
    <w:p w:rsidR="00DF5568" w:rsidRPr="001420ED" w:rsidRDefault="00DF5568" w:rsidP="00087AC3">
      <w:pPr>
        <w:pStyle w:val="Point10"/>
      </w:pPr>
      <w:r>
        <w:t>b)</w:t>
      </w:r>
      <w:r>
        <w:tab/>
        <w:t>ait des motifs raisonnables de suspecter des actes de blanchiment de capitaux ou de financement du terrorisme.</w:t>
      </w:r>
    </w:p>
    <w:p w:rsidR="00DF5568" w:rsidRPr="001420ED" w:rsidRDefault="00CA3066" w:rsidP="00DF5568">
      <w:pPr>
        <w:pStyle w:val="ManualNumPar1"/>
      </w:pPr>
      <w:r>
        <w:t>5</w:t>
      </w:r>
      <w:r w:rsidR="00DF5568">
        <w:t>.</w:t>
      </w:r>
      <w:r w:rsidR="00DF5568">
        <w:tab/>
        <w:t>La vérification visée aux paragraphes 3 et 4 est réputée avoir eu lieu lorsque:</w:t>
      </w:r>
    </w:p>
    <w:p w:rsidR="00DF5568" w:rsidRPr="001420ED" w:rsidRDefault="00DF5568" w:rsidP="0008517D">
      <w:pPr>
        <w:pStyle w:val="Point10"/>
        <w:rPr>
          <w:noProof/>
        </w:rPr>
      </w:pPr>
      <w:r>
        <w:t>a)</w:t>
      </w:r>
      <w:r w:rsidR="001F4331">
        <w:tab/>
      </w:r>
      <w:r>
        <w:t>l'identité du bénéficiaire a été vérifiée conformément à l'article 1</w:t>
      </w:r>
      <w:r w:rsidR="0008517D">
        <w:t>3</w:t>
      </w:r>
      <w:r>
        <w:t xml:space="preserve"> de la directive (UE) 2015/...</w:t>
      </w:r>
      <w:r>
        <w:rPr>
          <w:rStyle w:val="FootnoteReference"/>
          <w:noProof/>
        </w:rPr>
        <w:footnoteReference w:customMarkFollows="1" w:id="26"/>
        <w:t>*</w:t>
      </w:r>
      <w:r>
        <w:t>, et que les informations obtenues lors de cette vérification ont été conservées conformément à l'article </w:t>
      </w:r>
      <w:r w:rsidR="00527A3F">
        <w:t>40</w:t>
      </w:r>
      <w:r>
        <w:t xml:space="preserve"> de ladite directive; ou</w:t>
      </w:r>
    </w:p>
    <w:p w:rsidR="00DF5568" w:rsidRPr="001420ED" w:rsidRDefault="00DF5568" w:rsidP="00555BA8">
      <w:pPr>
        <w:pStyle w:val="Point10"/>
        <w:rPr>
          <w:noProof/>
        </w:rPr>
      </w:pPr>
      <w:r>
        <w:t>b)</w:t>
      </w:r>
      <w:r w:rsidR="001F4331">
        <w:tab/>
      </w:r>
      <w:r>
        <w:t>l'article 1</w:t>
      </w:r>
      <w:r w:rsidR="0008517D">
        <w:t>4</w:t>
      </w:r>
      <w:r>
        <w:t>, paragraphe 5, de la directive (UE) 2015/...</w:t>
      </w:r>
      <w:r w:rsidR="00555BA8" w:rsidRPr="00555BA8">
        <w:rPr>
          <w:b/>
          <w:bCs/>
          <w:vertAlign w:val="superscript"/>
        </w:rPr>
        <w:t>*</w:t>
      </w:r>
      <w:r>
        <w:t xml:space="preserve"> s'applique au bénéficiaire.</w:t>
      </w:r>
    </w:p>
    <w:p w:rsidR="00DF5568" w:rsidRPr="001420ED" w:rsidRDefault="00DF5568" w:rsidP="00335C7A">
      <w:pPr>
        <w:pStyle w:val="Titrearticle"/>
        <w:rPr>
          <w:iCs/>
        </w:rPr>
      </w:pPr>
      <w:r>
        <w:rPr>
          <w:noProof/>
        </w:rPr>
        <w:br w:type="page"/>
      </w:r>
      <w:r>
        <w:rPr>
          <w:noProof/>
        </w:rPr>
        <w:lastRenderedPageBreak/>
        <w:t>Article 8</w:t>
      </w:r>
      <w:r>
        <w:rPr>
          <w:iCs/>
          <w:noProof/>
        </w:rPr>
        <w:br/>
      </w:r>
      <w:r>
        <w:rPr>
          <w:noProof/>
        </w:rPr>
        <w:t xml:space="preserve">Transferts de fonds pour lesquels des informations </w:t>
      </w:r>
      <w:r w:rsidR="00335C7A">
        <w:rPr>
          <w:noProof/>
        </w:rPr>
        <w:t>sur le</w:t>
      </w:r>
      <w:r w:rsidR="00BA2895">
        <w:rPr>
          <w:noProof/>
        </w:rPr>
        <w:t xml:space="preserve"> donneur d'ordre</w:t>
      </w:r>
      <w:r w:rsidR="00BA2895">
        <w:rPr>
          <w:noProof/>
        </w:rPr>
        <w:br/>
      </w:r>
      <w:r>
        <w:rPr>
          <w:noProof/>
        </w:rPr>
        <w:t xml:space="preserve">ou </w:t>
      </w:r>
      <w:r w:rsidR="00335C7A">
        <w:rPr>
          <w:noProof/>
        </w:rPr>
        <w:t>le</w:t>
      </w:r>
      <w:r>
        <w:rPr>
          <w:noProof/>
        </w:rPr>
        <w:t xml:space="preserve"> bénéficiaire sont manquantes ou incomplètes</w:t>
      </w:r>
    </w:p>
    <w:p w:rsidR="00DF5568" w:rsidRPr="00BA2895" w:rsidRDefault="00DF5568" w:rsidP="00BA2895">
      <w:pPr>
        <w:pStyle w:val="ManualNumPar1"/>
      </w:pPr>
      <w:r w:rsidRPr="00BA2895">
        <w:t>1.</w:t>
      </w:r>
      <w:r w:rsidRPr="00BA2895">
        <w:tab/>
        <w:t xml:space="preserve">Le prestataire de services de paiement du bénéficiaire applique des procédures efficaces, fondées sur les risques, y compris des procédures </w:t>
      </w:r>
      <w:r w:rsidR="00845765" w:rsidRPr="00BA2895">
        <w:t>fondées sur</w:t>
      </w:r>
      <w:r w:rsidRPr="00BA2895">
        <w:t xml:space="preserve"> l'appréciation des risques visée à l'article 1</w:t>
      </w:r>
      <w:r w:rsidR="0008517D" w:rsidRPr="00BA2895">
        <w:t>3</w:t>
      </w:r>
      <w:r w:rsidRPr="00BA2895">
        <w:t xml:space="preserve"> de</w:t>
      </w:r>
      <w:r w:rsidR="00BA2895" w:rsidRPr="00BA2895">
        <w:t xml:space="preserve"> </w:t>
      </w:r>
      <w:r w:rsidRPr="00BA2895">
        <w:t>la</w:t>
      </w:r>
      <w:r w:rsidR="00BA2895" w:rsidRPr="00BA2895">
        <w:t xml:space="preserve"> </w:t>
      </w:r>
      <w:r w:rsidRPr="00BA2895">
        <w:t>directive (UE) 2015/...</w:t>
      </w:r>
      <w:r w:rsidR="00CA3066" w:rsidRPr="00BA2895">
        <w:rPr>
          <w:rStyle w:val="FootnoteReference"/>
          <w:bCs/>
        </w:rPr>
        <w:footnoteReference w:customMarkFollows="1" w:id="27"/>
        <w:t>*</w:t>
      </w:r>
      <w:r w:rsidRPr="00BA2895">
        <w:t>, pour déterminer s'il y a lieu d'</w:t>
      </w:r>
      <w:r w:rsidR="0093464F" w:rsidRPr="00BA2895">
        <w:t>effectuer</w:t>
      </w:r>
      <w:r w:rsidRPr="00BA2895">
        <w:t xml:space="preserve">, de rejeter ou de suspendre un transfert de fonds qui n'est pas accompagné des informations </w:t>
      </w:r>
      <w:r w:rsidR="00845765" w:rsidRPr="00BA2895">
        <w:t xml:space="preserve">complètes </w:t>
      </w:r>
      <w:r w:rsidRPr="00BA2895">
        <w:t>requises sur le donneur d'ordre et le bénéficiaire et pour prendre les mesures de suivi qui s'imposent.</w:t>
      </w:r>
    </w:p>
    <w:p w:rsidR="00DF5568" w:rsidRPr="001420ED" w:rsidRDefault="00DF5568" w:rsidP="00BA2895">
      <w:pPr>
        <w:pStyle w:val="Text1"/>
      </w:pPr>
      <w:r>
        <w:t xml:space="preserve">Lorsque le prestataire de services de paiement du bénéficiaire constate, lorsqu'il reçoit un transfert de fonds, que </w:t>
      </w:r>
      <w:r w:rsidR="00845765">
        <w:t>l</w:t>
      </w:r>
      <w:r>
        <w:t xml:space="preserve">es informations </w:t>
      </w:r>
      <w:r w:rsidR="00CA3066">
        <w:t>visées à</w:t>
      </w:r>
      <w:r>
        <w:t xml:space="preserve"> l'article 4, paragraphe 1 </w:t>
      </w:r>
      <w:r w:rsidR="00CA3066">
        <w:t>ou</w:t>
      </w:r>
      <w:r>
        <w:t xml:space="preserve"> 2, </w:t>
      </w:r>
      <w:r w:rsidR="00CA3066">
        <w:t>à</w:t>
      </w:r>
      <w:r>
        <w:t xml:space="preserve"> l'article 5, paragraphe 1, </w:t>
      </w:r>
      <w:r w:rsidR="00CA3066">
        <w:t>ou</w:t>
      </w:r>
      <w:r>
        <w:t xml:space="preserve"> </w:t>
      </w:r>
      <w:r w:rsidR="00CA3066">
        <w:t>à</w:t>
      </w:r>
      <w:r>
        <w:t xml:space="preserve"> l'article 6, sont manquantes ou incomplètes ou que les champs concernant ces informations n'ont pas été </w:t>
      </w:r>
      <w:r w:rsidR="00087AC3">
        <w:t>complétés</w:t>
      </w:r>
      <w:r>
        <w:t xml:space="preserve"> à l'aide de caractères ou d'éléments </w:t>
      </w:r>
      <w:r w:rsidR="00845765">
        <w:t xml:space="preserve">admissibles </w:t>
      </w:r>
      <w:r>
        <w:t>conform</w:t>
      </w:r>
      <w:r w:rsidR="00845765">
        <w:t>ément</w:t>
      </w:r>
      <w:r>
        <w:t xml:space="preserve"> aux conventions du système de messagerie ou du système de paiement et de règlement visé</w:t>
      </w:r>
      <w:r w:rsidR="00C03326">
        <w:t>s</w:t>
      </w:r>
      <w:r>
        <w:t xml:space="preserve"> à l'article 7, paragraphe 1, </w:t>
      </w:r>
      <w:r w:rsidR="00CA3066">
        <w:t>le prestataire de services de paiement du bénéficiaire</w:t>
      </w:r>
      <w:r>
        <w:t xml:space="preserve"> rejette le transfert ou demande </w:t>
      </w:r>
      <w:r w:rsidR="00335C7A">
        <w:t>l</w:t>
      </w:r>
      <w:r>
        <w:t xml:space="preserve">es informations </w:t>
      </w:r>
      <w:r w:rsidR="00335C7A">
        <w:t>requises</w:t>
      </w:r>
      <w:r>
        <w:t xml:space="preserve"> </w:t>
      </w:r>
      <w:r w:rsidR="00335C7A">
        <w:t>sur le</w:t>
      </w:r>
      <w:r>
        <w:t xml:space="preserve"> donneur d'ordre et </w:t>
      </w:r>
      <w:r w:rsidR="00335C7A">
        <w:t>le</w:t>
      </w:r>
      <w:r>
        <w:t xml:space="preserve"> bénéficiaire avant de créditer le compte de paiement du bénéficiaire ou de mettre les fonds à sa disposition, ou après cette opération, en fonction de l'appréciation des risques.</w:t>
      </w:r>
    </w:p>
    <w:p w:rsidR="00DF5568" w:rsidRDefault="00DF5568" w:rsidP="00845765">
      <w:pPr>
        <w:pStyle w:val="ManualNumPar1"/>
      </w:pPr>
      <w:r>
        <w:t>2.</w:t>
      </w:r>
      <w:r>
        <w:tab/>
        <w:t xml:space="preserve">Lorsqu'un prestataire de services de paiement omet de manière répétée de fournir </w:t>
      </w:r>
      <w:r w:rsidR="00845765">
        <w:t>l</w:t>
      </w:r>
      <w:r>
        <w:t xml:space="preserve">es informations requises </w:t>
      </w:r>
      <w:r w:rsidR="00335C7A">
        <w:t>sur le</w:t>
      </w:r>
      <w:r>
        <w:t xml:space="preserve"> donneur d'ordre ou </w:t>
      </w:r>
      <w:r w:rsidR="00335C7A">
        <w:t>le</w:t>
      </w:r>
      <w:r>
        <w:t xml:space="preserve"> bénéficiaire, le prestataire de services de paiement du bénéficiaire prend des dispositions qui peuvent dans un premier temps comporter l'émission d'avertissements et la fixation d'échéances, avant soit de rejeter tout nouveau transfert de fonds provenant de ce prestataire, soit de restreindre sa relation d'affaires avec celui-ci ou d'y mettre fin.</w:t>
      </w:r>
    </w:p>
    <w:p w:rsidR="00DF5568" w:rsidRPr="001420ED" w:rsidRDefault="00BA2895" w:rsidP="00BA2895">
      <w:pPr>
        <w:pStyle w:val="Text1"/>
      </w:pPr>
      <w:r>
        <w:br w:type="page"/>
      </w:r>
      <w:r w:rsidR="00DF5568">
        <w:lastRenderedPageBreak/>
        <w:t xml:space="preserve">Le prestataire de services de paiement du bénéficiaire déclare </w:t>
      </w:r>
      <w:r w:rsidR="00125B69">
        <w:t xml:space="preserve">cette </w:t>
      </w:r>
      <w:r w:rsidR="00901B83">
        <w:t xml:space="preserve">omission </w:t>
      </w:r>
      <w:r w:rsidR="00087AC3">
        <w:t xml:space="preserve">et les mesures prises </w:t>
      </w:r>
      <w:r w:rsidR="00DF5568">
        <w:t>à l'autorité compétente chargée de surveiller le respect des dispositions en matière de lutte contre le blanchiment de capitaux et le financement du terrorisme.</w:t>
      </w:r>
    </w:p>
    <w:p w:rsidR="00DF5568" w:rsidRPr="001420ED" w:rsidRDefault="00DF5568" w:rsidP="00DF5568">
      <w:pPr>
        <w:pStyle w:val="Titrearticle"/>
        <w:rPr>
          <w:iCs/>
        </w:rPr>
      </w:pPr>
      <w:r>
        <w:rPr>
          <w:noProof/>
        </w:rPr>
        <w:t>Article 9</w:t>
      </w:r>
      <w:r>
        <w:rPr>
          <w:iCs/>
          <w:noProof/>
        </w:rPr>
        <w:br/>
      </w:r>
      <w:r>
        <w:rPr>
          <w:noProof/>
        </w:rPr>
        <w:t>Évaluation et obligations de déclaration</w:t>
      </w:r>
    </w:p>
    <w:p w:rsidR="00DF5568" w:rsidRPr="001420ED" w:rsidRDefault="00DF5568" w:rsidP="00335C7A">
      <w:r>
        <w:t xml:space="preserve">Le prestataire de services de paiement du bénéficiaire </w:t>
      </w:r>
      <w:r w:rsidR="00901B83">
        <w:t xml:space="preserve">prend en compte </w:t>
      </w:r>
      <w:r>
        <w:t xml:space="preserve">les informations manquantes ou incomplètes </w:t>
      </w:r>
      <w:r w:rsidR="00335C7A">
        <w:t>sur le</w:t>
      </w:r>
      <w:r>
        <w:t xml:space="preserve"> donneur d'ordre ou </w:t>
      </w:r>
      <w:r w:rsidR="00335C7A">
        <w:t>le</w:t>
      </w:r>
      <w:r>
        <w:t xml:space="preserve"> bénéficiaire comme un facteur </w:t>
      </w:r>
      <w:r w:rsidRPr="00087AC3">
        <w:t>pour apprécier</w:t>
      </w:r>
      <w:r>
        <w:t xml:space="preserve"> si </w:t>
      </w:r>
      <w:r w:rsidR="00901B83">
        <w:t>un</w:t>
      </w:r>
      <w:r>
        <w:t xml:space="preserve"> transfert de fonds, ou toute transaction qui s'y rattache, présente un caractère suspect et doit être déclaré à la cellule de renseignement financier</w:t>
      </w:r>
      <w:r w:rsidR="00901B83">
        <w:t xml:space="preserve"> </w:t>
      </w:r>
      <w:r w:rsidR="00335C7A">
        <w:t xml:space="preserve">(CRF) </w:t>
      </w:r>
      <w:r w:rsidR="00901B83">
        <w:t>conformément à la directive (UE) 2015/…</w:t>
      </w:r>
      <w:r w:rsidR="00901B83">
        <w:rPr>
          <w:rStyle w:val="FootnoteReference"/>
        </w:rPr>
        <w:footnoteReference w:customMarkFollows="1" w:id="28"/>
        <w:t>*</w:t>
      </w:r>
      <w:r>
        <w:t>.</w:t>
      </w:r>
    </w:p>
    <w:p w:rsidR="00DF5568" w:rsidRPr="00BA2895" w:rsidRDefault="00BA2895" w:rsidP="00BA2895">
      <w:pPr>
        <w:pStyle w:val="SectionTitle"/>
      </w:pPr>
      <w:r>
        <w:t>Section 3</w:t>
      </w:r>
      <w:r>
        <w:br/>
        <w:t>O</w:t>
      </w:r>
      <w:r w:rsidRPr="00BA2895">
        <w:t>bligatio</w:t>
      </w:r>
      <w:r>
        <w:t>ns des prestataires de services</w:t>
      </w:r>
      <w:r>
        <w:br/>
      </w:r>
      <w:r w:rsidRPr="00BA2895">
        <w:t>de paiement intermédiaires</w:t>
      </w:r>
    </w:p>
    <w:p w:rsidR="00DF5568" w:rsidRPr="001420ED" w:rsidRDefault="00DF5568" w:rsidP="00087AC3">
      <w:pPr>
        <w:pStyle w:val="Titrearticle"/>
        <w:rPr>
          <w:iCs/>
          <w:noProof/>
        </w:rPr>
      </w:pPr>
      <w:r>
        <w:rPr>
          <w:noProof/>
        </w:rPr>
        <w:t>Article 10</w:t>
      </w:r>
      <w:r>
        <w:rPr>
          <w:noProof/>
        </w:rPr>
        <w:br/>
      </w:r>
      <w:r w:rsidR="00087AC3">
        <w:rPr>
          <w:noProof/>
        </w:rPr>
        <w:t>Conservation</w:t>
      </w:r>
      <w:r>
        <w:rPr>
          <w:noProof/>
        </w:rPr>
        <w:t xml:space="preserve"> </w:t>
      </w:r>
      <w:r w:rsidR="00087AC3">
        <w:rPr>
          <w:noProof/>
        </w:rPr>
        <w:t>d</w:t>
      </w:r>
      <w:r>
        <w:rPr>
          <w:noProof/>
        </w:rPr>
        <w:t>es info</w:t>
      </w:r>
      <w:r w:rsidR="000E0951">
        <w:rPr>
          <w:noProof/>
        </w:rPr>
        <w:t>rmations sur le donneur d'ordre</w:t>
      </w:r>
      <w:r w:rsidR="000E0951">
        <w:rPr>
          <w:noProof/>
        </w:rPr>
        <w:br/>
      </w:r>
      <w:r>
        <w:rPr>
          <w:noProof/>
        </w:rPr>
        <w:t xml:space="preserve">et le bénéficiaire </w:t>
      </w:r>
      <w:r w:rsidR="00C560F6">
        <w:rPr>
          <w:noProof/>
        </w:rPr>
        <w:t>avec</w:t>
      </w:r>
      <w:r>
        <w:rPr>
          <w:noProof/>
        </w:rPr>
        <w:t xml:space="preserve"> </w:t>
      </w:r>
      <w:r w:rsidR="00C560F6">
        <w:rPr>
          <w:noProof/>
        </w:rPr>
        <w:t>ce</w:t>
      </w:r>
      <w:r>
        <w:rPr>
          <w:noProof/>
        </w:rPr>
        <w:t xml:space="preserve"> transfert de fonds</w:t>
      </w:r>
    </w:p>
    <w:p w:rsidR="00DF5568" w:rsidRPr="001420ED" w:rsidRDefault="00DF5568" w:rsidP="00335C7A">
      <w:pPr>
        <w:rPr>
          <w:noProof/>
        </w:rPr>
      </w:pPr>
      <w:r>
        <w:t xml:space="preserve">Les prestataires de services de paiement intermédiaires veillent à ce que toutes les informations reçues </w:t>
      </w:r>
      <w:r w:rsidR="00335C7A">
        <w:t>sur le</w:t>
      </w:r>
      <w:r>
        <w:t xml:space="preserve"> donneur d'ordre et </w:t>
      </w:r>
      <w:r w:rsidR="00335C7A">
        <w:t>le</w:t>
      </w:r>
      <w:r>
        <w:t xml:space="preserve"> bénéficiaire qui accompagnent un transfert de fonds </w:t>
      </w:r>
      <w:r w:rsidR="00C560F6">
        <w:t>soient conservées avec ce</w:t>
      </w:r>
      <w:r>
        <w:t xml:space="preserve"> transfert.</w:t>
      </w:r>
    </w:p>
    <w:p w:rsidR="00DF5568" w:rsidRPr="001420ED" w:rsidRDefault="00BA2895" w:rsidP="00335C7A">
      <w:pPr>
        <w:pStyle w:val="Titrearticle"/>
        <w:rPr>
          <w:i w:val="0"/>
          <w:iCs/>
        </w:rPr>
      </w:pPr>
      <w:r>
        <w:rPr>
          <w:noProof/>
        </w:rPr>
        <w:br w:type="page"/>
      </w:r>
      <w:r w:rsidR="00DF5568">
        <w:rPr>
          <w:noProof/>
        </w:rPr>
        <w:lastRenderedPageBreak/>
        <w:t>Article 11</w:t>
      </w:r>
      <w:r w:rsidR="00DF5568">
        <w:rPr>
          <w:iCs/>
          <w:noProof/>
        </w:rPr>
        <w:br/>
      </w:r>
      <w:r w:rsidR="00DF5568">
        <w:rPr>
          <w:noProof/>
        </w:rPr>
        <w:t xml:space="preserve">Détection d'informations manquantes </w:t>
      </w:r>
      <w:r w:rsidR="00335C7A">
        <w:rPr>
          <w:noProof/>
        </w:rPr>
        <w:t>sur le</w:t>
      </w:r>
      <w:r w:rsidR="00DF5568">
        <w:rPr>
          <w:noProof/>
        </w:rPr>
        <w:t xml:space="preserve"> donneur d'ordre ou </w:t>
      </w:r>
      <w:r w:rsidR="00335C7A">
        <w:rPr>
          <w:noProof/>
        </w:rPr>
        <w:t>le</w:t>
      </w:r>
      <w:r w:rsidR="00DF5568">
        <w:rPr>
          <w:noProof/>
        </w:rPr>
        <w:t xml:space="preserve"> bénéficiaire</w:t>
      </w:r>
    </w:p>
    <w:p w:rsidR="00DF5568" w:rsidRPr="00BA2895" w:rsidRDefault="00DF5568" w:rsidP="00BA2895">
      <w:pPr>
        <w:pStyle w:val="ManualNumPar1"/>
      </w:pPr>
      <w:r w:rsidRPr="00BA2895">
        <w:t>1.</w:t>
      </w:r>
      <w:r w:rsidRPr="00BA2895">
        <w:tab/>
        <w:t xml:space="preserve">Le prestataire de services de paiement intermédiaire applique des procédures efficaces pour détecter si, dans le système de messagerie ou le système de paiement et de règlement utilisé pour effectuer le transfert de fonds, les champs devant contenir les informations </w:t>
      </w:r>
      <w:r w:rsidR="00335C7A" w:rsidRPr="00BA2895">
        <w:t>sur le</w:t>
      </w:r>
      <w:r w:rsidRPr="00BA2895">
        <w:t xml:space="preserve"> donneur d'ordre et </w:t>
      </w:r>
      <w:r w:rsidR="00335C7A" w:rsidRPr="00BA2895">
        <w:t>le</w:t>
      </w:r>
      <w:r w:rsidRPr="00BA2895">
        <w:t xml:space="preserve"> bénéficiaire ont été </w:t>
      </w:r>
      <w:r w:rsidR="00087AC3" w:rsidRPr="00BA2895">
        <w:t>complétés</w:t>
      </w:r>
      <w:r w:rsidRPr="00BA2895">
        <w:t xml:space="preserve"> à l'aide de caractères ou d'éléments </w:t>
      </w:r>
      <w:r w:rsidR="00845765" w:rsidRPr="00BA2895">
        <w:t xml:space="preserve">admissibles </w:t>
      </w:r>
      <w:r w:rsidRPr="00BA2895">
        <w:t>conform</w:t>
      </w:r>
      <w:r w:rsidR="00845765" w:rsidRPr="00BA2895">
        <w:t>ément</w:t>
      </w:r>
      <w:r w:rsidRPr="00BA2895">
        <w:t xml:space="preserve"> aux conventions de ce système.</w:t>
      </w:r>
    </w:p>
    <w:p w:rsidR="00DF5568" w:rsidRPr="00BA2895" w:rsidRDefault="00DF5568" w:rsidP="00BA2895">
      <w:pPr>
        <w:pStyle w:val="ManualNumPar1"/>
      </w:pPr>
      <w:r w:rsidRPr="00BA2895">
        <w:t>2.</w:t>
      </w:r>
      <w:r w:rsidRPr="00BA2895">
        <w:tab/>
        <w:t xml:space="preserve">Le prestataire de services de paiement intermédiaire applique des procédures efficaces, y compris, le cas échéant, un </w:t>
      </w:r>
      <w:r w:rsidR="00AF49CB" w:rsidRPr="00BA2895">
        <w:t>contrôle</w:t>
      </w:r>
      <w:r w:rsidRPr="00BA2895">
        <w:t xml:space="preserve"> </w:t>
      </w:r>
      <w:r w:rsidR="007827BA" w:rsidRPr="00BA2895">
        <w:t>a posteriori</w:t>
      </w:r>
      <w:r w:rsidRPr="00BA2895">
        <w:t xml:space="preserve"> ou en temps réel, pour détecter l'absence éventuelle des informations </w:t>
      </w:r>
      <w:r w:rsidR="00845765" w:rsidRPr="00BA2895">
        <w:t>suivantes</w:t>
      </w:r>
      <w:r w:rsidRPr="00BA2895">
        <w:t xml:space="preserve"> </w:t>
      </w:r>
      <w:r w:rsidR="00884D85" w:rsidRPr="00BA2895">
        <w:t>sur le</w:t>
      </w:r>
      <w:r w:rsidRPr="00BA2895">
        <w:t xml:space="preserve"> donneur d'ordre ou </w:t>
      </w:r>
      <w:r w:rsidR="00884D85" w:rsidRPr="00BA2895">
        <w:t>le</w:t>
      </w:r>
      <w:r w:rsidRPr="00BA2895">
        <w:t xml:space="preserve"> bénéficiaire:</w:t>
      </w:r>
    </w:p>
    <w:p w:rsidR="00DF5568" w:rsidRPr="001420ED" w:rsidRDefault="00DF5568" w:rsidP="008C4BED">
      <w:pPr>
        <w:pStyle w:val="Point10"/>
      </w:pPr>
      <w:r>
        <w:t>a)</w:t>
      </w:r>
      <w:r>
        <w:tab/>
        <w:t xml:space="preserve">pour les transferts de fonds pour lesquels les prestataires de services de paiement du donneur d'ordre et du bénéficiaire sont établis dans l'Union, les informations </w:t>
      </w:r>
      <w:r w:rsidR="008C4BED">
        <w:t>visées à</w:t>
      </w:r>
      <w:r>
        <w:t xml:space="preserve"> l'article 5;</w:t>
      </w:r>
    </w:p>
    <w:p w:rsidR="00DF5568" w:rsidRPr="001420ED" w:rsidRDefault="00DF5568" w:rsidP="008C4BED">
      <w:pPr>
        <w:pStyle w:val="Point10"/>
        <w:rPr>
          <w:noProof/>
        </w:rPr>
      </w:pPr>
      <w:r>
        <w:t>b)</w:t>
      </w:r>
      <w:r>
        <w:tab/>
        <w:t>pour les transferts de fonds pour lesquels le prestataire de services de paiement du donneur d'ordre ou du bénéficiaire est établi en dehors de l'Union, les informations visées à l'article 4, paragraphes 1 et 2;</w:t>
      </w:r>
    </w:p>
    <w:p w:rsidR="00DF5568" w:rsidRPr="001420ED" w:rsidRDefault="00DF5568" w:rsidP="008C4BED">
      <w:pPr>
        <w:pStyle w:val="Point10"/>
        <w:rPr>
          <w:noProof/>
        </w:rPr>
      </w:pPr>
      <w:r>
        <w:t>c)</w:t>
      </w:r>
      <w:r>
        <w:tab/>
      </w:r>
      <w:r w:rsidRPr="008C4BED">
        <w:t>pour les transferts par lots pour lesquels le prestataire de services de paiement du donneur d'ordre ou du bénéficiaire est établi en dehors de l'Union, les informations visées à l'article 4, paragraphes 1 et 2, en ce</w:t>
      </w:r>
      <w:r>
        <w:t xml:space="preserve"> qui concerne </w:t>
      </w:r>
      <w:r w:rsidR="008C4BED">
        <w:t>c</w:t>
      </w:r>
      <w:r>
        <w:t>e transfert par lots.</w:t>
      </w:r>
    </w:p>
    <w:p w:rsidR="00DF5568" w:rsidRPr="001420ED" w:rsidRDefault="00DF5568" w:rsidP="00BA2895">
      <w:pPr>
        <w:pStyle w:val="Titrearticle"/>
        <w:rPr>
          <w:i w:val="0"/>
          <w:iCs/>
        </w:rPr>
      </w:pPr>
      <w:r>
        <w:rPr>
          <w:i w:val="0"/>
          <w:noProof/>
        </w:rPr>
        <w:br w:type="page"/>
      </w:r>
      <w:r w:rsidRPr="00E27B1B">
        <w:rPr>
          <w:noProof/>
        </w:rPr>
        <w:lastRenderedPageBreak/>
        <w:t>Article 12</w:t>
      </w:r>
      <w:r w:rsidRPr="00E27B1B">
        <w:rPr>
          <w:iCs/>
          <w:noProof/>
        </w:rPr>
        <w:br/>
      </w:r>
      <w:r w:rsidRPr="00984ABE">
        <w:rPr>
          <w:iCs/>
        </w:rPr>
        <w:t>Transferts</w:t>
      </w:r>
      <w:r w:rsidRPr="00984ABE">
        <w:rPr>
          <w:noProof/>
        </w:rPr>
        <w:t xml:space="preserve"> de fonds pour lesquels des informations </w:t>
      </w:r>
      <w:r w:rsidR="00DE217B">
        <w:rPr>
          <w:noProof/>
        </w:rPr>
        <w:t>sur le</w:t>
      </w:r>
      <w:r w:rsidRPr="00984ABE">
        <w:rPr>
          <w:noProof/>
        </w:rPr>
        <w:t xml:space="preserve"> donneur d</w:t>
      </w:r>
      <w:r w:rsidR="00BA2895">
        <w:rPr>
          <w:noProof/>
        </w:rPr>
        <w:t>'ordre</w:t>
      </w:r>
      <w:r w:rsidR="00BA2895">
        <w:rPr>
          <w:noProof/>
        </w:rPr>
        <w:br/>
      </w:r>
      <w:r w:rsidRPr="00984ABE">
        <w:rPr>
          <w:noProof/>
        </w:rPr>
        <w:t xml:space="preserve">ou </w:t>
      </w:r>
      <w:r w:rsidR="00DE217B">
        <w:rPr>
          <w:noProof/>
        </w:rPr>
        <w:t>le</w:t>
      </w:r>
      <w:r w:rsidR="00BA2895">
        <w:rPr>
          <w:noProof/>
        </w:rPr>
        <w:t xml:space="preserve"> bénéficiaire </w:t>
      </w:r>
      <w:r w:rsidRPr="00984ABE">
        <w:rPr>
          <w:noProof/>
        </w:rPr>
        <w:t>sont manquantes</w:t>
      </w:r>
    </w:p>
    <w:p w:rsidR="00DF5568" w:rsidRPr="00BA2895" w:rsidRDefault="00DF5568" w:rsidP="00BA2895">
      <w:pPr>
        <w:pStyle w:val="ManualNumPar1"/>
      </w:pPr>
      <w:r w:rsidRPr="00BA2895">
        <w:t>1.</w:t>
      </w:r>
      <w:r w:rsidRPr="00BA2895">
        <w:tab/>
        <w:t>Le prestataire de services de paiement intermédiaire met en place des procédures efficaces, fondées sur les risques, pour déterminer s'il y a lieu d'</w:t>
      </w:r>
      <w:r w:rsidR="0093464F" w:rsidRPr="00BA2895">
        <w:t>effectuer</w:t>
      </w:r>
      <w:r w:rsidRPr="00BA2895">
        <w:t xml:space="preserve">, de rejeter ou de suspendre un transfert de fonds qui n'est pas accompagné des informations requises sur le donneur d'ordre </w:t>
      </w:r>
      <w:r w:rsidR="00884D85" w:rsidRPr="00BA2895">
        <w:t>et</w:t>
      </w:r>
      <w:r w:rsidRPr="00BA2895">
        <w:t> le bénéficiaire, et pour prendre les mesures de suivi qui s'imposent.</w:t>
      </w:r>
    </w:p>
    <w:p w:rsidR="00DF5568" w:rsidRPr="001420ED" w:rsidRDefault="00C03326" w:rsidP="00BA2895">
      <w:pPr>
        <w:pStyle w:val="Text1"/>
      </w:pPr>
      <w:r>
        <w:t>Lorsque</w:t>
      </w:r>
      <w:r w:rsidR="00DF5568">
        <w:t xml:space="preserve"> le prestataire de services de paiement intermédiaire constate, lors</w:t>
      </w:r>
      <w:r w:rsidR="00A81CB9">
        <w:t xml:space="preserve"> de la réception d</w:t>
      </w:r>
      <w:r w:rsidR="0018449D">
        <w:t>'</w:t>
      </w:r>
      <w:r w:rsidR="00DF5568">
        <w:t xml:space="preserve">un transfert de fonds, que </w:t>
      </w:r>
      <w:r w:rsidR="00A81CB9">
        <w:t>l</w:t>
      </w:r>
      <w:r w:rsidR="00DF5568">
        <w:t xml:space="preserve">es informations </w:t>
      </w:r>
      <w:r w:rsidR="008C4BED">
        <w:t>visées à</w:t>
      </w:r>
      <w:r w:rsidR="00DF5568">
        <w:t xml:space="preserve"> l'article 4, paragraphe 1 </w:t>
      </w:r>
      <w:r w:rsidR="00DB0E55">
        <w:t>ou</w:t>
      </w:r>
      <w:r w:rsidR="00DF5568">
        <w:t xml:space="preserve"> 2, </w:t>
      </w:r>
      <w:r w:rsidR="008C4BED">
        <w:t xml:space="preserve">à </w:t>
      </w:r>
      <w:r w:rsidR="00DF5568">
        <w:t xml:space="preserve">l'article 5, paragraphe 1, </w:t>
      </w:r>
      <w:r w:rsidR="00DB0E55">
        <w:t xml:space="preserve">ou </w:t>
      </w:r>
      <w:r w:rsidR="008C4BED">
        <w:t xml:space="preserve">à </w:t>
      </w:r>
      <w:r w:rsidR="00DF5568">
        <w:t xml:space="preserve">l'article 6, sont manquantes ou que les champs concernant ces informations n'ont pas été </w:t>
      </w:r>
      <w:r w:rsidR="00087AC3">
        <w:t>complétés</w:t>
      </w:r>
      <w:r w:rsidR="00DF5568">
        <w:t xml:space="preserve"> à l'aide de caractères ou d'éléments </w:t>
      </w:r>
      <w:r w:rsidR="00DB0E55">
        <w:t xml:space="preserve">admissibles </w:t>
      </w:r>
      <w:r w:rsidR="00DF5568">
        <w:t>conform</w:t>
      </w:r>
      <w:r w:rsidR="00DB0E55">
        <w:t>ément</w:t>
      </w:r>
      <w:r w:rsidR="00DF5568">
        <w:t xml:space="preserve"> aux conventions du système de messagerie ou du système de paiement et de règlement visés à l'article 7, paragraphe 1, il rejette le transfert ou demande les informations requises sur le donneur d'ordre et le bénéficiaire avant de transmettre le transfert de fonds, ou après cette opération, en fonction de l'appréciation des risques.</w:t>
      </w:r>
    </w:p>
    <w:p w:rsidR="00DF5568" w:rsidRPr="001420ED" w:rsidRDefault="00DF5568" w:rsidP="00884D85">
      <w:pPr>
        <w:pStyle w:val="ManualNumPar1"/>
      </w:pPr>
      <w:r>
        <w:t>2.</w:t>
      </w:r>
      <w:r>
        <w:tab/>
        <w:t xml:space="preserve">Lorsqu'un prestataire de services de paiement omet de manière répétée de fournir les informations requises </w:t>
      </w:r>
      <w:r w:rsidR="00884D85">
        <w:t>sur le</w:t>
      </w:r>
      <w:r>
        <w:t xml:space="preserve"> donneur d'ordre ou </w:t>
      </w:r>
      <w:r w:rsidR="00884D85">
        <w:t>le</w:t>
      </w:r>
      <w:r>
        <w:t xml:space="preserve"> bénéficiaire, le prestataire de services de paiement intermédiaire prend des dispositions qui peuvent, dans un premier temps, comporter l'émission d'avertissements et la fixation d'échéances, avant soit de rejeter tout nouveau transfert de fonds provenant de ce prestataire, soit de restreindre sa relation d'affaires avec celui-ci ou d'y mettre fin.</w:t>
      </w:r>
    </w:p>
    <w:p w:rsidR="00DF5568" w:rsidRPr="001420ED" w:rsidRDefault="00DF5568" w:rsidP="00BA2895">
      <w:pPr>
        <w:pStyle w:val="Text1"/>
      </w:pPr>
      <w:r>
        <w:t xml:space="preserve">Le prestataire de services de paiement intermédiaire déclare </w:t>
      </w:r>
      <w:r w:rsidR="005949F4">
        <w:t xml:space="preserve">cette </w:t>
      </w:r>
      <w:r w:rsidR="00884D85">
        <w:t>omission</w:t>
      </w:r>
      <w:r w:rsidR="005821EC">
        <w:t xml:space="preserve"> et les mesures prises</w:t>
      </w:r>
      <w:r>
        <w:t xml:space="preserve"> à l'autorité compétente chargée de surveiller le respect des dispositions en matière de lutte contre le blanchiment de capitaux et le financement du terrorisme.</w:t>
      </w:r>
    </w:p>
    <w:p w:rsidR="00DF5568" w:rsidRPr="001420ED" w:rsidRDefault="00BA2895" w:rsidP="00DB0E55">
      <w:pPr>
        <w:pStyle w:val="Titrearticle"/>
        <w:rPr>
          <w:iCs/>
          <w:noProof/>
        </w:rPr>
      </w:pPr>
      <w:r>
        <w:rPr>
          <w:noProof/>
        </w:rPr>
        <w:br w:type="page"/>
      </w:r>
      <w:r w:rsidR="00DF5568">
        <w:rPr>
          <w:noProof/>
        </w:rPr>
        <w:lastRenderedPageBreak/>
        <w:t>Article 13</w:t>
      </w:r>
      <w:r w:rsidR="00DF5568">
        <w:rPr>
          <w:iCs/>
          <w:noProof/>
        </w:rPr>
        <w:br/>
      </w:r>
      <w:r w:rsidR="00DF5568">
        <w:rPr>
          <w:noProof/>
        </w:rPr>
        <w:t>Évaluation et obligation de déclaration</w:t>
      </w:r>
    </w:p>
    <w:p w:rsidR="00DF5568" w:rsidRPr="001420ED" w:rsidRDefault="00DF5568" w:rsidP="00BA2895">
      <w:r>
        <w:t xml:space="preserve">Le prestataire de services de paiement intermédiaire </w:t>
      </w:r>
      <w:r w:rsidR="00961D11">
        <w:t xml:space="preserve">prend en compte </w:t>
      </w:r>
      <w:r>
        <w:t xml:space="preserve">les informations manquantes </w:t>
      </w:r>
      <w:r w:rsidR="00884D85">
        <w:t>sur le</w:t>
      </w:r>
      <w:r w:rsidR="00BA2895">
        <w:t xml:space="preserve"> </w:t>
      </w:r>
      <w:r>
        <w:t xml:space="preserve">donneur d'ordre ou </w:t>
      </w:r>
      <w:r w:rsidR="00884D85">
        <w:t>le</w:t>
      </w:r>
      <w:r>
        <w:t xml:space="preserve"> bénéficiaire comme un facteur pour </w:t>
      </w:r>
      <w:r w:rsidRPr="005821EC">
        <w:t>apprécier si</w:t>
      </w:r>
      <w:r w:rsidR="00BA2895">
        <w:t xml:space="preserve"> </w:t>
      </w:r>
      <w:r w:rsidR="00961D11">
        <w:t>un</w:t>
      </w:r>
      <w:r w:rsidR="00BA2895">
        <w:t xml:space="preserve"> </w:t>
      </w:r>
      <w:r>
        <w:t xml:space="preserve">transfert de fonds, ou toute transaction qui s'y rattache, présente un caractère suspect et doit être déclaré à la </w:t>
      </w:r>
      <w:r w:rsidR="00961D11">
        <w:t>CRF</w:t>
      </w:r>
      <w:r w:rsidR="00884D85">
        <w:t xml:space="preserve"> conformément à la directive (UE) 2015/…</w:t>
      </w:r>
      <w:r w:rsidR="00884D85">
        <w:rPr>
          <w:rStyle w:val="FootnoteReference"/>
        </w:rPr>
        <w:footnoteReference w:customMarkFollows="1" w:id="29"/>
        <w:t>*</w:t>
      </w:r>
      <w:r>
        <w:t>.</w:t>
      </w:r>
    </w:p>
    <w:p w:rsidR="00DF5568" w:rsidRPr="00BA2895" w:rsidRDefault="00DF5568" w:rsidP="00BA2895">
      <w:pPr>
        <w:pStyle w:val="ChapterTitle"/>
      </w:pPr>
      <w:r w:rsidRPr="00BA2895">
        <w:t>CHAPITRE III</w:t>
      </w:r>
      <w:r w:rsidRPr="00BA2895">
        <w:br/>
        <w:t>INFORMATIONS</w:t>
      </w:r>
      <w:r w:rsidR="00961D11" w:rsidRPr="00BA2895">
        <w:t xml:space="preserve">, PROTECTION </w:t>
      </w:r>
      <w:r w:rsidR="00BA2895">
        <w:t>DES DONNÉES</w:t>
      </w:r>
      <w:r w:rsidR="00BA2895">
        <w:br/>
      </w:r>
      <w:r w:rsidRPr="00BA2895">
        <w:t>ET CONSERVATION</w:t>
      </w:r>
      <w:r w:rsidR="008975B1" w:rsidRPr="00BA2895">
        <w:t xml:space="preserve"> DES </w:t>
      </w:r>
      <w:r w:rsidR="00DB0E55" w:rsidRPr="00BA2895">
        <w:t>INFORMATIONS</w:t>
      </w:r>
    </w:p>
    <w:p w:rsidR="00DF5568" w:rsidRPr="00AE32F3" w:rsidRDefault="00DF5568" w:rsidP="008975B1">
      <w:pPr>
        <w:pStyle w:val="Titrearticle"/>
        <w:rPr>
          <w:iCs/>
          <w:noProof/>
        </w:rPr>
      </w:pPr>
      <w:r w:rsidRPr="00AE32F3">
        <w:rPr>
          <w:noProof/>
        </w:rPr>
        <w:t xml:space="preserve">Article </w:t>
      </w:r>
      <w:r w:rsidR="008975B1" w:rsidRPr="00AE32F3">
        <w:rPr>
          <w:noProof/>
        </w:rPr>
        <w:t>14</w:t>
      </w:r>
      <w:r w:rsidRPr="00AE32F3">
        <w:rPr>
          <w:iCs/>
          <w:noProof/>
        </w:rPr>
        <w:br/>
      </w:r>
      <w:r w:rsidRPr="00AE32F3">
        <w:rPr>
          <w:noProof/>
        </w:rPr>
        <w:t>Communication d'informations</w:t>
      </w:r>
    </w:p>
    <w:p w:rsidR="00DF5568" w:rsidRPr="00857793" w:rsidRDefault="00DF5568" w:rsidP="00BA2895">
      <w:pPr>
        <w:rPr>
          <w:shd w:val="clear" w:color="auto" w:fill="FFFFFF"/>
          <w:lang w:val="fr-BE"/>
        </w:rPr>
      </w:pPr>
      <w:r w:rsidRPr="00AE32F3">
        <w:rPr>
          <w:lang w:val="fr-BE"/>
        </w:rPr>
        <w:t>Les prestataires de services de paiement donnent suite, de manière exhaustive et sans tarder, y compris par l'intermédiaire d'un point de contact central conformément à l'article 4</w:t>
      </w:r>
      <w:r w:rsidR="0008517D">
        <w:rPr>
          <w:lang w:val="fr-BE"/>
        </w:rPr>
        <w:t>5</w:t>
      </w:r>
      <w:r w:rsidRPr="00AE32F3">
        <w:rPr>
          <w:lang w:val="fr-BE"/>
        </w:rPr>
        <w:t>, paragraphe </w:t>
      </w:r>
      <w:r w:rsidR="0064150D">
        <w:rPr>
          <w:lang w:val="fr-BE"/>
        </w:rPr>
        <w:t>9</w:t>
      </w:r>
      <w:r w:rsidRPr="00AE32F3">
        <w:rPr>
          <w:lang w:val="fr-BE"/>
        </w:rPr>
        <w:t>, de la directive (UE) 2015/...</w:t>
      </w:r>
      <w:r w:rsidR="00BA2895" w:rsidRPr="00BA2895">
        <w:rPr>
          <w:b/>
          <w:bCs/>
          <w:vertAlign w:val="superscript"/>
          <w:lang w:val="fr-BE"/>
        </w:rPr>
        <w:t>*</w:t>
      </w:r>
      <w:r w:rsidRPr="00AE32F3">
        <w:rPr>
          <w:lang w:val="fr-BE"/>
        </w:rPr>
        <w:t xml:space="preserve">, lorsqu'un </w:t>
      </w:r>
      <w:r w:rsidR="00DB0E55">
        <w:rPr>
          <w:lang w:val="fr-BE"/>
        </w:rPr>
        <w:t xml:space="preserve">tel </w:t>
      </w:r>
      <w:r w:rsidRPr="00AE32F3">
        <w:rPr>
          <w:lang w:val="fr-BE"/>
        </w:rPr>
        <w:t>point de contact a été désigné</w:t>
      </w:r>
      <w:r w:rsidR="00A81CB9">
        <w:rPr>
          <w:lang w:val="fr-BE"/>
        </w:rPr>
        <w:t>,</w:t>
      </w:r>
      <w:r w:rsidRPr="00AE32F3">
        <w:rPr>
          <w:lang w:val="fr-BE"/>
        </w:rPr>
        <w:t xml:space="preserve"> et conformément aux exigences de procédure fixées par le droit national de l'État membre où il</w:t>
      </w:r>
      <w:r w:rsidR="00DB0E55">
        <w:rPr>
          <w:lang w:val="fr-BE"/>
        </w:rPr>
        <w:t>s</w:t>
      </w:r>
      <w:r w:rsidRPr="00AE32F3">
        <w:rPr>
          <w:lang w:val="fr-BE"/>
        </w:rPr>
        <w:t xml:space="preserve"> </w:t>
      </w:r>
      <w:r w:rsidR="00DB0E55">
        <w:rPr>
          <w:lang w:val="fr-BE"/>
        </w:rPr>
        <w:t>sont</w:t>
      </w:r>
      <w:r w:rsidRPr="00AE32F3">
        <w:rPr>
          <w:lang w:val="fr-BE"/>
        </w:rPr>
        <w:t xml:space="preserve"> établi</w:t>
      </w:r>
      <w:r w:rsidR="00DB0E55">
        <w:rPr>
          <w:lang w:val="fr-BE"/>
        </w:rPr>
        <w:t>s</w:t>
      </w:r>
      <w:r w:rsidRPr="00AE32F3">
        <w:rPr>
          <w:lang w:val="fr-BE"/>
        </w:rPr>
        <w:t xml:space="preserve">, aux demandes émanant exclusivement des autorités dudit État membre responsables de la prévention et de la lutte contre le blanchiment de capitaux </w:t>
      </w:r>
      <w:r w:rsidR="00DB0E55">
        <w:rPr>
          <w:lang w:val="fr-BE"/>
        </w:rPr>
        <w:t>ou</w:t>
      </w:r>
      <w:r w:rsidRPr="00AE32F3">
        <w:rPr>
          <w:lang w:val="fr-BE"/>
        </w:rPr>
        <w:t xml:space="preserve"> le financement du terrorisme pour ce qui est des informations requises en vertu du présent règlement.</w:t>
      </w:r>
    </w:p>
    <w:p w:rsidR="00DF5568" w:rsidRPr="001420ED" w:rsidRDefault="001F4331" w:rsidP="00BA2895">
      <w:pPr>
        <w:pStyle w:val="Titrearticle"/>
        <w:rPr>
          <w:iCs/>
        </w:rPr>
      </w:pPr>
      <w:r>
        <w:br w:type="page"/>
      </w:r>
      <w:r w:rsidR="00BA2895">
        <w:lastRenderedPageBreak/>
        <w:t>Article</w:t>
      </w:r>
      <w:r w:rsidR="00DF5568">
        <w:t xml:space="preserve"> 15 </w:t>
      </w:r>
      <w:r w:rsidR="00DF5568">
        <w:rPr>
          <w:iCs/>
        </w:rPr>
        <w:br/>
      </w:r>
      <w:r w:rsidR="00DF5568">
        <w:t>Protection des données</w:t>
      </w:r>
    </w:p>
    <w:p w:rsidR="00DF5568" w:rsidRPr="001420ED" w:rsidRDefault="00DF5568" w:rsidP="0008517D">
      <w:pPr>
        <w:pStyle w:val="ManualNumPar1"/>
      </w:pPr>
      <w:r>
        <w:t>1.</w:t>
      </w:r>
      <w:r w:rsidR="001F4331">
        <w:tab/>
      </w:r>
      <w:r w:rsidR="00DB0E55">
        <w:t xml:space="preserve">Le traitement des données à caractère personnel effectué au titre du </w:t>
      </w:r>
      <w:r>
        <w:t>présent règlement est</w:t>
      </w:r>
      <w:r w:rsidR="00DB0E55">
        <w:t xml:space="preserve"> soumis à la directive 95/46/CE, telle qu</w:t>
      </w:r>
      <w:r w:rsidR="0018449D">
        <w:t>'</w:t>
      </w:r>
      <w:r w:rsidR="00DB0E55">
        <w:t xml:space="preserve">elle a été transposée en droit national. Les données à caractère personnel qui sont traitées au titre du </w:t>
      </w:r>
      <w:r>
        <w:t>présent règlement par la Commission</w:t>
      </w:r>
      <w:r w:rsidR="008975B1">
        <w:t xml:space="preserve"> ou les AES </w:t>
      </w:r>
      <w:r>
        <w:t xml:space="preserve">sont </w:t>
      </w:r>
      <w:r w:rsidR="00DB0E55">
        <w:t>soumises au</w:t>
      </w:r>
      <w:r w:rsidR="00BA2895">
        <w:t> règlement (CE) n° </w:t>
      </w:r>
      <w:r>
        <w:t>45/2001.</w:t>
      </w:r>
    </w:p>
    <w:p w:rsidR="00DF5568" w:rsidRPr="001420ED" w:rsidRDefault="00DF5568" w:rsidP="00DB0E55">
      <w:pPr>
        <w:pStyle w:val="ManualNumPar1"/>
      </w:pPr>
      <w:r>
        <w:t>2.</w:t>
      </w:r>
      <w:r w:rsidR="001F4331">
        <w:tab/>
      </w:r>
      <w:r>
        <w:t xml:space="preserve">Les données à caractère personnel ne sont traitées par des prestataires de service de paiement sur la base du présent règlement </w:t>
      </w:r>
      <w:r w:rsidR="00DB0E55">
        <w:t>qu'</w:t>
      </w:r>
      <w:r>
        <w:t>aux fins de la prévention du blanchiment de capitaux et du financement du terrorisme et ne font pas l'objet d'un traitement ultérieur d'une manière incompatible avec lesdites finalités. Le traitement des données à caractère personnel sur la base du présent règlement à des fins commerciales est interdit.</w:t>
      </w:r>
    </w:p>
    <w:p w:rsidR="00DF5568" w:rsidRPr="001420ED" w:rsidRDefault="00BA2895" w:rsidP="00F16A01">
      <w:pPr>
        <w:pStyle w:val="ManualNumPar1"/>
      </w:pPr>
      <w:r>
        <w:t>3.</w:t>
      </w:r>
      <w:r>
        <w:tab/>
      </w:r>
      <w:r w:rsidR="00DF5568">
        <w:t xml:space="preserve">Les prestataires de services de paiement communiquent aux nouveaux clients les informations requises au titre </w:t>
      </w:r>
      <w:r>
        <w:t xml:space="preserve">de l'article 10 de la directive </w:t>
      </w:r>
      <w:r w:rsidR="00DF5568">
        <w:t>95/46/CE avant d'établir une relation d'affaires ou d'exécuter une transaction à titre occasionnel. Ces informations contiennent en particulier un avertissement général concernant les obligations légales des prestataires de services de paiement au titre du présent règlement lorsqu'ils traitent des données à caractère personnel aux fins de la prévention du blanchiment de capitaux et du financement du terrorisme.</w:t>
      </w:r>
    </w:p>
    <w:p w:rsidR="00DF5568" w:rsidRPr="001420ED" w:rsidRDefault="00DF5568" w:rsidP="008975B1">
      <w:pPr>
        <w:pStyle w:val="ManualNumPar1"/>
      </w:pPr>
      <w:r>
        <w:t>4.</w:t>
      </w:r>
      <w:r w:rsidR="001F4331">
        <w:tab/>
      </w:r>
      <w:r>
        <w:t>Les prestataires de services de paiement veillent à ce que la confidentialité des données traitées soit respectée.</w:t>
      </w:r>
    </w:p>
    <w:p w:rsidR="00DF5568" w:rsidRPr="001420ED" w:rsidRDefault="00BA2895" w:rsidP="00DB0E55">
      <w:pPr>
        <w:pStyle w:val="Titrearticle"/>
        <w:rPr>
          <w:iCs/>
          <w:noProof/>
        </w:rPr>
      </w:pPr>
      <w:r>
        <w:rPr>
          <w:noProof/>
        </w:rPr>
        <w:br w:type="page"/>
      </w:r>
      <w:r w:rsidR="00DF5568">
        <w:rPr>
          <w:noProof/>
        </w:rPr>
        <w:lastRenderedPageBreak/>
        <w:t>Article 16</w:t>
      </w:r>
      <w:r w:rsidR="00DF5568">
        <w:rPr>
          <w:iCs/>
          <w:noProof/>
        </w:rPr>
        <w:br/>
      </w:r>
      <w:r w:rsidR="00DF5568">
        <w:rPr>
          <w:noProof/>
        </w:rPr>
        <w:t xml:space="preserve">Conservation des </w:t>
      </w:r>
      <w:r w:rsidR="00DB0E55">
        <w:rPr>
          <w:noProof/>
        </w:rPr>
        <w:t>informations</w:t>
      </w:r>
    </w:p>
    <w:p w:rsidR="00DF5568" w:rsidRDefault="00DF5568" w:rsidP="0008517D">
      <w:pPr>
        <w:pStyle w:val="ManualNumPar1"/>
        <w:rPr>
          <w:shd w:val="clear" w:color="auto" w:fill="FFFFFF"/>
        </w:rPr>
      </w:pPr>
      <w:r>
        <w:rPr>
          <w:shd w:val="clear" w:color="auto" w:fill="FFFFFF"/>
        </w:rPr>
        <w:t>1.</w:t>
      </w:r>
      <w:r w:rsidR="001F4331">
        <w:rPr>
          <w:shd w:val="clear" w:color="auto" w:fill="FFFFFF"/>
        </w:rPr>
        <w:tab/>
      </w:r>
      <w:r>
        <w:rPr>
          <w:shd w:val="clear" w:color="auto" w:fill="FFFFFF"/>
        </w:rPr>
        <w:t xml:space="preserve">Les informations </w:t>
      </w:r>
      <w:r w:rsidR="00AE32F3">
        <w:rPr>
          <w:shd w:val="clear" w:color="auto" w:fill="FFFFFF"/>
        </w:rPr>
        <w:t>sur le</w:t>
      </w:r>
      <w:r>
        <w:rPr>
          <w:shd w:val="clear" w:color="auto" w:fill="FFFFFF"/>
        </w:rPr>
        <w:t xml:space="preserve"> donneur d'ordre et </w:t>
      </w:r>
      <w:r w:rsidR="00AE32F3">
        <w:rPr>
          <w:shd w:val="clear" w:color="auto" w:fill="FFFFFF"/>
        </w:rPr>
        <w:t>le</w:t>
      </w:r>
      <w:r>
        <w:rPr>
          <w:shd w:val="clear" w:color="auto" w:fill="FFFFFF"/>
        </w:rPr>
        <w:t xml:space="preserve"> bénéficiaire ne sont pas conservées au-delà de ce qui est </w:t>
      </w:r>
      <w:r w:rsidRPr="001F4331">
        <w:t>strictement</w:t>
      </w:r>
      <w:r w:rsidR="00BA2895">
        <w:rPr>
          <w:shd w:val="clear" w:color="auto" w:fill="FFFFFF"/>
        </w:rPr>
        <w:t xml:space="preserve"> nécessaire. </w:t>
      </w:r>
      <w:r>
        <w:rPr>
          <w:shd w:val="clear" w:color="auto" w:fill="FFFFFF"/>
        </w:rPr>
        <w:t>Le prestataire de services de paiement du donneur d'ordre et celui du bénéficiaire</w:t>
      </w:r>
      <w:r w:rsidR="008975B1">
        <w:rPr>
          <w:shd w:val="clear" w:color="auto" w:fill="FFFFFF"/>
        </w:rPr>
        <w:t xml:space="preserve"> </w:t>
      </w:r>
      <w:r>
        <w:rPr>
          <w:shd w:val="clear" w:color="auto" w:fill="FFFFFF"/>
        </w:rPr>
        <w:t xml:space="preserve">conservent pendant une durée de cinq ans les informations visées aux articles 4 </w:t>
      </w:r>
      <w:r w:rsidR="0008517D">
        <w:rPr>
          <w:shd w:val="clear" w:color="auto" w:fill="FFFFFF"/>
        </w:rPr>
        <w:t>à</w:t>
      </w:r>
      <w:r w:rsidR="008975B1">
        <w:rPr>
          <w:shd w:val="clear" w:color="auto" w:fill="FFFFFF"/>
        </w:rPr>
        <w:t xml:space="preserve"> 7</w:t>
      </w:r>
      <w:r w:rsidR="00BA2895">
        <w:rPr>
          <w:shd w:val="clear" w:color="auto" w:fill="FFFFFF"/>
        </w:rPr>
        <w:t>.</w:t>
      </w:r>
    </w:p>
    <w:p w:rsidR="00DF5568" w:rsidRPr="001420ED" w:rsidRDefault="008975B1" w:rsidP="00BA2895">
      <w:pPr>
        <w:pStyle w:val="ManualNumPar1"/>
      </w:pPr>
      <w:r>
        <w:t>2.</w:t>
      </w:r>
      <w:r>
        <w:tab/>
      </w:r>
      <w:r w:rsidR="00DF5568">
        <w:t>À l'issue de</w:t>
      </w:r>
      <w:r w:rsidR="00AE32F3">
        <w:t xml:space="preserve"> la </w:t>
      </w:r>
      <w:r w:rsidR="00DF5568">
        <w:t xml:space="preserve">période </w:t>
      </w:r>
      <w:r w:rsidR="00DB0E55">
        <w:t xml:space="preserve">de conservation </w:t>
      </w:r>
      <w:r w:rsidR="00DF5568">
        <w:t xml:space="preserve">visée au </w:t>
      </w:r>
      <w:r>
        <w:t>paragraphe 1</w:t>
      </w:r>
      <w:r w:rsidR="00DF5568">
        <w:t xml:space="preserve">, </w:t>
      </w:r>
      <w:r>
        <w:t xml:space="preserve">les prestataires de services de paiement veillent à ce que </w:t>
      </w:r>
      <w:r w:rsidR="00DF5568">
        <w:t>les données à caractère personnel so</w:t>
      </w:r>
      <w:r>
        <w:t>ie</w:t>
      </w:r>
      <w:r w:rsidR="00DF5568">
        <w:t xml:space="preserve">nt effacées, sauf dispositions contraires du droit national, lequel précise dans quelles circonstances les prestataires </w:t>
      </w:r>
      <w:r w:rsidR="00DF5568" w:rsidRPr="00BA2895">
        <w:rPr>
          <w:shd w:val="clear" w:color="auto" w:fill="FFFFFF"/>
        </w:rPr>
        <w:t>de</w:t>
      </w:r>
      <w:r w:rsidR="00DF5568">
        <w:t xml:space="preserve"> services de paiement peuvent ou doivent prolonger la période de conservation des données.</w:t>
      </w:r>
      <w:r w:rsidR="00DF5568">
        <w:rPr>
          <w:shd w:val="clear" w:color="auto" w:fill="FFFFFF"/>
        </w:rPr>
        <w:t xml:space="preserve"> </w:t>
      </w:r>
      <w:r w:rsidR="00DF5568">
        <w:t xml:space="preserve">Les États membres </w:t>
      </w:r>
      <w:r w:rsidR="009F2E32">
        <w:t xml:space="preserve">ne </w:t>
      </w:r>
      <w:r w:rsidR="00DF5568">
        <w:t xml:space="preserve">peuvent permettre ou exiger que les informations soient conservées plus longtemps </w:t>
      </w:r>
      <w:r w:rsidR="009F2E32">
        <w:t xml:space="preserve">que </w:t>
      </w:r>
      <w:r w:rsidR="00DF5568">
        <w:t>s</w:t>
      </w:r>
      <w:r w:rsidR="0008517D">
        <w:t>'</w:t>
      </w:r>
      <w:r w:rsidR="00DB0E55">
        <w:t>ils</w:t>
      </w:r>
      <w:r w:rsidR="00DF5568">
        <w:t xml:space="preserve"> ont au préalable procédé à une évaluation approfondie de la nécessité et de la proportionnalité de cette conservation prolongée et </w:t>
      </w:r>
      <w:r w:rsidR="009F2E32">
        <w:t>qu</w:t>
      </w:r>
      <w:r w:rsidR="00DB0E55">
        <w:t>'ils l'ont</w:t>
      </w:r>
      <w:r w:rsidR="00DF5568">
        <w:t xml:space="preserve"> jugée </w:t>
      </w:r>
      <w:r w:rsidR="00DB0E55">
        <w:t>justifiée en raison de la nécessité</w:t>
      </w:r>
      <w:r w:rsidR="00DF5568">
        <w:t xml:space="preserve"> de prévenir ou de détecter des actes de blanchiment de capitaux ou de financement du terrorisme ou d'enquêter </w:t>
      </w:r>
      <w:r w:rsidR="00DB0E55">
        <w:t>en la matière</w:t>
      </w:r>
      <w:r w:rsidR="00DF5568">
        <w:t>.</w:t>
      </w:r>
      <w:r w:rsidR="00DF5568">
        <w:rPr>
          <w:shd w:val="clear" w:color="auto" w:fill="FFFFFF"/>
        </w:rPr>
        <w:t xml:space="preserve"> </w:t>
      </w:r>
      <w:r>
        <w:rPr>
          <w:shd w:val="clear" w:color="auto" w:fill="FFFFFF"/>
        </w:rPr>
        <w:t xml:space="preserve">Cette </w:t>
      </w:r>
      <w:r w:rsidR="00BA2895">
        <w:rPr>
          <w:shd w:val="clear" w:color="auto" w:fill="FFFFFF"/>
        </w:rPr>
        <w:t xml:space="preserve">période de </w:t>
      </w:r>
      <w:r w:rsidR="00DF5568">
        <w:rPr>
          <w:shd w:val="clear" w:color="auto" w:fill="FFFFFF"/>
        </w:rPr>
        <w:t xml:space="preserve">conservation </w:t>
      </w:r>
      <w:r>
        <w:rPr>
          <w:shd w:val="clear" w:color="auto" w:fill="FFFFFF"/>
        </w:rPr>
        <w:t>prolongée</w:t>
      </w:r>
      <w:r w:rsidR="00DF5568">
        <w:rPr>
          <w:shd w:val="clear" w:color="auto" w:fill="FFFFFF"/>
        </w:rPr>
        <w:t xml:space="preserve"> ne dépasse pas </w:t>
      </w:r>
      <w:r w:rsidR="00BA2895">
        <w:rPr>
          <w:shd w:val="clear" w:color="auto" w:fill="FFFFFF"/>
        </w:rPr>
        <w:t xml:space="preserve">cinq </w:t>
      </w:r>
      <w:r w:rsidR="00DF5568">
        <w:rPr>
          <w:shd w:val="clear" w:color="auto" w:fill="FFFFFF"/>
        </w:rPr>
        <w:t>ans.</w:t>
      </w:r>
    </w:p>
    <w:p w:rsidR="00DF5568" w:rsidRPr="00BA2895" w:rsidRDefault="00BA2895" w:rsidP="00DB0E55">
      <w:pPr>
        <w:pStyle w:val="ManualNumPar1"/>
      </w:pPr>
      <w:r>
        <w:br w:type="page"/>
      </w:r>
      <w:r w:rsidR="008975B1" w:rsidRPr="00BA2895">
        <w:lastRenderedPageBreak/>
        <w:t>3</w:t>
      </w:r>
      <w:r w:rsidR="00DF5568" w:rsidRPr="00BA2895">
        <w:t>.</w:t>
      </w:r>
      <w:r w:rsidR="001F4331" w:rsidRPr="00BA2895">
        <w:tab/>
      </w:r>
      <w:r w:rsidR="00DF5568" w:rsidRPr="00BA2895">
        <w:t xml:space="preserve">Si, </w:t>
      </w:r>
      <w:r w:rsidR="00DB0E55" w:rsidRPr="00BA2895">
        <w:t>au</w:t>
      </w:r>
      <w:r w:rsidR="008975B1" w:rsidRPr="00BA2895">
        <w:t xml:space="preserve"> …</w:t>
      </w:r>
      <w:r w:rsidR="008975B1" w:rsidRPr="00BA2895">
        <w:rPr>
          <w:b/>
          <w:bCs/>
          <w:vertAlign w:val="superscript"/>
        </w:rPr>
        <w:footnoteReference w:customMarkFollows="1" w:id="30"/>
        <w:t>*</w:t>
      </w:r>
      <w:r w:rsidR="00DF5568" w:rsidRPr="00BA2895">
        <w:t xml:space="preserve">, des procédures judiciaires sont en cours dans un État membre concernant la prévention ou la détection de cas présumés de blanchiment de capitaux ou de financement du terrorisme ou des enquêtes ou poursuites à ce </w:t>
      </w:r>
      <w:r w:rsidR="00DB0E55" w:rsidRPr="00BA2895">
        <w:t xml:space="preserve">sujet </w:t>
      </w:r>
      <w:r w:rsidR="00DF5568" w:rsidRPr="00BA2895">
        <w:t xml:space="preserve">et qu'un prestataire de services de paiement détient des informations ou des documents relatifs à ces procédures en cours, </w:t>
      </w:r>
      <w:r w:rsidR="008975B1" w:rsidRPr="00BA2895">
        <w:t xml:space="preserve">le prestataire de services de paiement peut conserver </w:t>
      </w:r>
      <w:r w:rsidR="00DF5568" w:rsidRPr="00BA2895">
        <w:t xml:space="preserve">ces informations ou ces documents conformément au droit national pendant une période de cinq ans à compter </w:t>
      </w:r>
      <w:r w:rsidR="008975B1" w:rsidRPr="00BA2895">
        <w:t>du…</w:t>
      </w:r>
      <w:r w:rsidR="008975B1" w:rsidRPr="00BA2895">
        <w:rPr>
          <w:b/>
          <w:bCs/>
          <w:vertAlign w:val="superscript"/>
        </w:rPr>
        <w:t>*</w:t>
      </w:r>
      <w:r w:rsidR="00DF5568" w:rsidRPr="00BA2895">
        <w:t xml:space="preserve">. Les États membres peuvent, sans préjudice du droit pénal national </w:t>
      </w:r>
      <w:r w:rsidR="00DB0E55" w:rsidRPr="00BA2895">
        <w:t>en matière</w:t>
      </w:r>
      <w:r w:rsidR="00DF5568" w:rsidRPr="00BA2895">
        <w:t xml:space="preserve"> de preuve applicable aux enquêtes criminelles et aux procédures judiciaires en cours, permettre ou exiger que ces informations ou documents soient conservés pendant une période supplémentaire de cinq ans, lorsque la nécessité et la proportionnalité de cette conservation prolongée a été établie aux fins de prévenir ou de détecter des cas présumés de bla</w:t>
      </w:r>
      <w:r>
        <w:t xml:space="preserve">nchiment de </w:t>
      </w:r>
      <w:r w:rsidR="00DF5568" w:rsidRPr="00BA2895">
        <w:t xml:space="preserve">capitaux ou de financement du terrorisme ou de mener des enquêtes ou des poursuites à </w:t>
      </w:r>
      <w:r w:rsidR="00DB0E55" w:rsidRPr="00BA2895">
        <w:t>ce sujet</w:t>
      </w:r>
      <w:r w:rsidR="00DF5568" w:rsidRPr="00BA2895">
        <w:t>.</w:t>
      </w:r>
    </w:p>
    <w:p w:rsidR="00DF5568" w:rsidRDefault="00DF5568" w:rsidP="00AF49CB">
      <w:pPr>
        <w:pStyle w:val="ChapterTitle"/>
      </w:pPr>
      <w:r>
        <w:br w:type="page"/>
      </w:r>
      <w:r>
        <w:lastRenderedPageBreak/>
        <w:t>CHAPITRE IV</w:t>
      </w:r>
      <w:r w:rsidR="001F4331">
        <w:br/>
      </w:r>
      <w:r>
        <w:t xml:space="preserve">SANCTIONS ET </w:t>
      </w:r>
      <w:r w:rsidR="00AF49CB">
        <w:t>CONTRÔLE</w:t>
      </w:r>
    </w:p>
    <w:p w:rsidR="00DF5568" w:rsidRPr="001420ED" w:rsidRDefault="00DF5568" w:rsidP="001F4331">
      <w:pPr>
        <w:pStyle w:val="Titrearticle"/>
        <w:rPr>
          <w:iCs/>
          <w:noProof/>
        </w:rPr>
      </w:pPr>
      <w:r>
        <w:rPr>
          <w:noProof/>
        </w:rPr>
        <w:t>Article 17</w:t>
      </w:r>
      <w:r w:rsidR="001F4331">
        <w:rPr>
          <w:noProof/>
        </w:rPr>
        <w:br/>
      </w:r>
      <w:r>
        <w:rPr>
          <w:noProof/>
        </w:rPr>
        <w:t>Sanctions</w:t>
      </w:r>
      <w:r w:rsidR="008975B1">
        <w:rPr>
          <w:noProof/>
        </w:rPr>
        <w:t xml:space="preserve"> et mesures administratives</w:t>
      </w:r>
    </w:p>
    <w:p w:rsidR="00DF5568" w:rsidRPr="00BA2895" w:rsidRDefault="00DF5568" w:rsidP="00DB0E55">
      <w:pPr>
        <w:pStyle w:val="ManualNumPar1"/>
      </w:pPr>
      <w:r w:rsidRPr="00BA2895">
        <w:t>1.</w:t>
      </w:r>
      <w:r w:rsidR="001F4331" w:rsidRPr="00BA2895">
        <w:tab/>
      </w:r>
      <w:r w:rsidRPr="00BA2895">
        <w:t xml:space="preserve">Sans préjudice du droit de prévoir et d'imposer des sanctions pénales, les États membres arrêtent le régime de </w:t>
      </w:r>
      <w:r w:rsidR="00962434" w:rsidRPr="00BA2895">
        <w:t xml:space="preserve">sanctions </w:t>
      </w:r>
      <w:r w:rsidRPr="00BA2895">
        <w:t xml:space="preserve">et de </w:t>
      </w:r>
      <w:r w:rsidR="00962434" w:rsidRPr="00BA2895">
        <w:t>mesures</w:t>
      </w:r>
      <w:r w:rsidR="00962434" w:rsidRPr="00BA2895" w:rsidDel="00962434">
        <w:t xml:space="preserve"> </w:t>
      </w:r>
      <w:r w:rsidRPr="00BA2895">
        <w:t>administratives appli</w:t>
      </w:r>
      <w:r w:rsidR="00DB0E55" w:rsidRPr="00BA2895">
        <w:t>cables</w:t>
      </w:r>
      <w:r w:rsidRPr="00BA2895">
        <w:t xml:space="preserve"> en cas d'infraction aux dispositions du présent règlement et prennent toutes les mesures nécessaires pour garantir sa mise en œuvre. Les sanctions </w:t>
      </w:r>
      <w:r w:rsidR="00962434" w:rsidRPr="00BA2895">
        <w:t xml:space="preserve">et mesures </w:t>
      </w:r>
      <w:r w:rsidRPr="00BA2895">
        <w:t>prévues sont effectives, proportionnées et dissuasives, et en adéquation avec celles qui sont fixées en application du chapitre VI, section 4, de la directive (UE) 2015/...</w:t>
      </w:r>
      <w:r w:rsidRPr="00BA2895">
        <w:rPr>
          <w:b/>
          <w:bCs/>
          <w:vertAlign w:val="superscript"/>
        </w:rPr>
        <w:footnoteReference w:customMarkFollows="1" w:id="31"/>
        <w:t>*</w:t>
      </w:r>
      <w:r w:rsidRPr="00BA2895">
        <w:t>.</w:t>
      </w:r>
    </w:p>
    <w:p w:rsidR="00DF5568" w:rsidRPr="001420ED" w:rsidRDefault="00DF5568" w:rsidP="00BA2895">
      <w:pPr>
        <w:pStyle w:val="Text1"/>
      </w:pPr>
      <w:r>
        <w:t xml:space="preserve">Les États membres peuvent décider de ne pas fixer de régime de </w:t>
      </w:r>
      <w:r w:rsidR="00962434">
        <w:t xml:space="preserve">sanctions </w:t>
      </w:r>
      <w:r w:rsidR="00AE32F3">
        <w:t>ou</w:t>
      </w:r>
      <w:r>
        <w:t xml:space="preserve"> de </w:t>
      </w:r>
      <w:r w:rsidR="00962434">
        <w:t xml:space="preserve">mesures </w:t>
      </w:r>
      <w:r>
        <w:t xml:space="preserve">administratives pour les infractions aux dispositions du présent règlement qui sont déjà passibles de sanctions pénales dans leur droit national. </w:t>
      </w:r>
      <w:r w:rsidR="00962434">
        <w:t>Dans ce cas</w:t>
      </w:r>
      <w:r>
        <w:t>, les États membres communiquent à</w:t>
      </w:r>
      <w:r w:rsidR="00BA2895">
        <w:t xml:space="preserve"> </w:t>
      </w:r>
      <w:r>
        <w:t>la</w:t>
      </w:r>
      <w:r w:rsidR="00BA2895">
        <w:t xml:space="preserve"> </w:t>
      </w:r>
      <w:r>
        <w:t>Commission les dispositions pertinentes de leur droit pénal.</w:t>
      </w:r>
    </w:p>
    <w:p w:rsidR="00DF5568" w:rsidRPr="001420ED" w:rsidRDefault="00DF5568" w:rsidP="00DB0E55">
      <w:pPr>
        <w:pStyle w:val="ManualNumPar1"/>
      </w:pPr>
      <w:r>
        <w:t>2.</w:t>
      </w:r>
      <w:r w:rsidR="001F4331">
        <w:tab/>
      </w:r>
      <w:r>
        <w:t xml:space="preserve">En cas d'infraction aux dispositions du présent règlement, les États membres s'assurent que, lorsque les prestataires de services de paiement sont soumis à des obligations, des </w:t>
      </w:r>
      <w:r w:rsidR="00962434">
        <w:t xml:space="preserve">sanctions </w:t>
      </w:r>
      <w:r w:rsidR="00AE32F3">
        <w:t>ou</w:t>
      </w:r>
      <w:r>
        <w:t xml:space="preserve"> des </w:t>
      </w:r>
      <w:r w:rsidR="00962434">
        <w:t xml:space="preserve">mesures </w:t>
      </w:r>
      <w:r>
        <w:t xml:space="preserve">puissent être appliquées, sous réserve </w:t>
      </w:r>
      <w:r w:rsidR="00962434">
        <w:t>du</w:t>
      </w:r>
      <w:r>
        <w:t xml:space="preserve"> droit national, aux membres de la direction </w:t>
      </w:r>
      <w:r w:rsidR="00DB0E55">
        <w:t xml:space="preserve">et </w:t>
      </w:r>
      <w:r>
        <w:t>à toute autre personne physique responsable de l'infraction en vertu du droit national.</w:t>
      </w:r>
    </w:p>
    <w:p w:rsidR="00DF5568" w:rsidRPr="001420ED" w:rsidRDefault="00BA2895" w:rsidP="00BA2895">
      <w:pPr>
        <w:pStyle w:val="ManualNumPar1"/>
        <w:rPr>
          <w:noProof/>
        </w:rPr>
      </w:pPr>
      <w:r>
        <w:br w:type="page"/>
      </w:r>
      <w:r w:rsidR="00DF5568">
        <w:lastRenderedPageBreak/>
        <w:t>3.</w:t>
      </w:r>
      <w:r w:rsidR="001F4331">
        <w:tab/>
      </w:r>
      <w:r w:rsidR="00DF5568">
        <w:t>Au plus tard le ...</w:t>
      </w:r>
      <w:r>
        <w:rPr>
          <w:rStyle w:val="FootnoteReference"/>
        </w:rPr>
        <w:footnoteReference w:customMarkFollows="1" w:id="32"/>
        <w:t>*</w:t>
      </w:r>
      <w:r>
        <w:t>,</w:t>
      </w:r>
      <w:r w:rsidR="00DF5568">
        <w:t xml:space="preserve"> les États membres notifient le régime visé au paragraphe 1 à la Commission et au comité </w:t>
      </w:r>
      <w:r w:rsidR="00DB0E55">
        <w:t xml:space="preserve">mixte </w:t>
      </w:r>
      <w:r w:rsidR="00DF5568">
        <w:t>de</w:t>
      </w:r>
      <w:r w:rsidR="00962434">
        <w:t>s AES</w:t>
      </w:r>
      <w:r w:rsidR="00DF5568">
        <w:t xml:space="preserve">. Ils notifient sans tarder </w:t>
      </w:r>
      <w:r w:rsidR="00DB0E55">
        <w:t xml:space="preserve">à </w:t>
      </w:r>
      <w:r w:rsidR="00DF5568">
        <w:t xml:space="preserve">la Commission et </w:t>
      </w:r>
      <w:r w:rsidR="00DB0E55">
        <w:t>au</w:t>
      </w:r>
      <w:r w:rsidR="00DF5568">
        <w:t xml:space="preserve"> comité </w:t>
      </w:r>
      <w:r w:rsidR="00DB0E55">
        <w:t>mixte</w:t>
      </w:r>
      <w:r w:rsidR="00DF5568">
        <w:t xml:space="preserve"> de</w:t>
      </w:r>
      <w:r w:rsidR="00962434">
        <w:t>s AES</w:t>
      </w:r>
      <w:r w:rsidR="00DF5568">
        <w:t xml:space="preserve"> toute modification ultérieure qui y est apportée.</w:t>
      </w:r>
    </w:p>
    <w:p w:rsidR="00DF5568" w:rsidRPr="001420ED" w:rsidRDefault="00DF5568" w:rsidP="00BA2895">
      <w:pPr>
        <w:pStyle w:val="ManualNumPar1"/>
      </w:pPr>
      <w:r>
        <w:t>4.</w:t>
      </w:r>
      <w:r w:rsidR="001F4331">
        <w:tab/>
      </w:r>
      <w:r>
        <w:t>Conformément à l'article 5</w:t>
      </w:r>
      <w:r w:rsidR="0008517D">
        <w:t>8</w:t>
      </w:r>
      <w:r>
        <w:t>, paragraphe 4, de la directive (UE) 2015/...</w:t>
      </w:r>
      <w:r w:rsidR="00BA2895">
        <w:rPr>
          <w:rStyle w:val="FootnoteReference"/>
        </w:rPr>
        <w:footnoteReference w:customMarkFollows="1" w:id="33"/>
        <w:t>**</w:t>
      </w:r>
      <w:r w:rsidR="00BA2895">
        <w:t>,</w:t>
      </w:r>
      <w:r>
        <w:t xml:space="preserve"> les autorités compétentes sont investies de tous les pouvoirs de surveillance et d'enquête nécessaires à l'exercice de leurs fonctions. Lorsqu'elles exercent leur pouvoir </w:t>
      </w:r>
      <w:r w:rsidR="00AE32F3">
        <w:t xml:space="preserve">d'imposer </w:t>
      </w:r>
      <w:r>
        <w:t>de</w:t>
      </w:r>
      <w:r w:rsidR="00AE32F3">
        <w:t>s</w:t>
      </w:r>
      <w:r>
        <w:t xml:space="preserve"> sanction</w:t>
      </w:r>
      <w:r w:rsidR="00AE32F3">
        <w:t>s et des mesures administratives</w:t>
      </w:r>
      <w:r>
        <w:t xml:space="preserve">, </w:t>
      </w:r>
      <w:r w:rsidR="006446BF">
        <w:t>les autorités compétentes</w:t>
      </w:r>
      <w:r>
        <w:t xml:space="preserve"> coopèrent étroitement pour que </w:t>
      </w:r>
      <w:r w:rsidR="00AE32F3">
        <w:t>c</w:t>
      </w:r>
      <w:r>
        <w:t xml:space="preserve">es sanctions et </w:t>
      </w:r>
      <w:r w:rsidR="00AE32F3">
        <w:t>c</w:t>
      </w:r>
      <w:r>
        <w:t xml:space="preserve">es mesures </w:t>
      </w:r>
      <w:r w:rsidR="00962434">
        <w:t xml:space="preserve">administratives </w:t>
      </w:r>
      <w:r>
        <w:t>produisent les résultats escomptés et elles coordonnent leur action dans les affaires transfront</w:t>
      </w:r>
      <w:r w:rsidR="006446BF">
        <w:t>al</w:t>
      </w:r>
      <w:r>
        <w:t>ières.</w:t>
      </w:r>
    </w:p>
    <w:p w:rsidR="00DF5568" w:rsidRPr="001420ED" w:rsidRDefault="00962434" w:rsidP="006446BF">
      <w:pPr>
        <w:pStyle w:val="ManualNumPar1"/>
      </w:pPr>
      <w:r>
        <w:t>5</w:t>
      </w:r>
      <w:r w:rsidR="00DF5568">
        <w:t>.</w:t>
      </w:r>
      <w:r w:rsidR="001F4331">
        <w:tab/>
      </w:r>
      <w:r w:rsidR="00DF5568">
        <w:t>Les États membres veillent à ce que des personnes morales puissent être tenues responsables des infractions visées à l'article 18, commises pour leur compte par toute personne agissant individuellement ou en qualité de membre d'un organe de ladite personne morale</w:t>
      </w:r>
      <w:r w:rsidR="00AE32F3">
        <w:t>,</w:t>
      </w:r>
      <w:r>
        <w:t xml:space="preserve"> et</w:t>
      </w:r>
      <w:r w:rsidR="00DF5568">
        <w:t xml:space="preserve"> occup</w:t>
      </w:r>
      <w:r w:rsidR="006446BF">
        <w:t>ant</w:t>
      </w:r>
      <w:r w:rsidR="00DF5568">
        <w:t xml:space="preserve"> une position dirigeante au sein de cette personne morale, sur l'une des bases suivantes:</w:t>
      </w:r>
    </w:p>
    <w:p w:rsidR="00DF5568" w:rsidRPr="00BA2895" w:rsidRDefault="00DF5568" w:rsidP="00962434">
      <w:pPr>
        <w:pStyle w:val="Point10"/>
      </w:pPr>
      <w:r w:rsidRPr="00BA2895">
        <w:t>a)</w:t>
      </w:r>
      <w:r w:rsidR="001F4331" w:rsidRPr="00BA2895">
        <w:tab/>
      </w:r>
      <w:r w:rsidR="00962434" w:rsidRPr="00BA2895">
        <w:t xml:space="preserve">le </w:t>
      </w:r>
      <w:r w:rsidRPr="00BA2895">
        <w:t>pouvoir de représent</w:t>
      </w:r>
      <w:r w:rsidR="00962434" w:rsidRPr="00BA2895">
        <w:t>er</w:t>
      </w:r>
      <w:r w:rsidRPr="00BA2895">
        <w:t xml:space="preserve"> la personne morale;</w:t>
      </w:r>
    </w:p>
    <w:p w:rsidR="00DF5568" w:rsidRPr="00BA2895" w:rsidRDefault="00DF5568" w:rsidP="00962434">
      <w:pPr>
        <w:pStyle w:val="Point10"/>
      </w:pPr>
      <w:r w:rsidRPr="00BA2895">
        <w:t>b)</w:t>
      </w:r>
      <w:r w:rsidR="001F4331" w:rsidRPr="00BA2895">
        <w:tab/>
      </w:r>
      <w:r w:rsidR="00962434" w:rsidRPr="00BA2895">
        <w:t>l'</w:t>
      </w:r>
      <w:r w:rsidRPr="00BA2895">
        <w:t>autorité pour prendre des décisions au nom de la personne morale</w:t>
      </w:r>
      <w:r w:rsidR="00962434" w:rsidRPr="00BA2895">
        <w:t>;</w:t>
      </w:r>
      <w:r w:rsidRPr="00BA2895">
        <w:t xml:space="preserve"> ou</w:t>
      </w:r>
    </w:p>
    <w:p w:rsidR="00DF5568" w:rsidRPr="00BA2895" w:rsidRDefault="00DF5568" w:rsidP="00962434">
      <w:pPr>
        <w:pStyle w:val="Point10"/>
      </w:pPr>
      <w:r w:rsidRPr="00BA2895">
        <w:t>c)</w:t>
      </w:r>
      <w:r w:rsidR="001F4331" w:rsidRPr="00BA2895">
        <w:tab/>
      </w:r>
      <w:r w:rsidR="00962434" w:rsidRPr="00BA2895">
        <w:t>l'</w:t>
      </w:r>
      <w:r w:rsidRPr="00BA2895">
        <w:t>autorité pour exercer un contrôle au sein de la personne morale.</w:t>
      </w:r>
    </w:p>
    <w:p w:rsidR="00DF5568" w:rsidRPr="001420ED" w:rsidRDefault="00BA2895" w:rsidP="005821EC">
      <w:pPr>
        <w:pStyle w:val="ManualNumPar1"/>
      </w:pPr>
      <w:r>
        <w:br w:type="page"/>
      </w:r>
      <w:r w:rsidR="00962434">
        <w:lastRenderedPageBreak/>
        <w:t>6</w:t>
      </w:r>
      <w:r w:rsidR="001F4331">
        <w:t>.</w:t>
      </w:r>
      <w:r w:rsidR="001F4331">
        <w:tab/>
      </w:r>
      <w:r w:rsidR="005821EC">
        <w:t>L</w:t>
      </w:r>
      <w:r w:rsidR="00DF5568">
        <w:t xml:space="preserve">es États membres veillent également à ce que des personnes morales puissent être tenues pour responsables lorsque le défaut de surveillance ou de contrôle de </w:t>
      </w:r>
      <w:r>
        <w:t xml:space="preserve">la part d'une personne visée au </w:t>
      </w:r>
      <w:r w:rsidR="00DF5568">
        <w:t xml:space="preserve">paragraphe 5 </w:t>
      </w:r>
      <w:r w:rsidR="00962434">
        <w:t xml:space="preserve">du présent article </w:t>
      </w:r>
      <w:r w:rsidR="00DF5568">
        <w:t>a rendu possible la commission d</w:t>
      </w:r>
      <w:r w:rsidR="00962434">
        <w:t>'une d</w:t>
      </w:r>
      <w:r w:rsidR="00DF5568">
        <w:t xml:space="preserve">es infractions visées à l'article 18 </w:t>
      </w:r>
      <w:r w:rsidR="006446BF">
        <w:t>au bénéfice</w:t>
      </w:r>
      <w:r w:rsidR="00DF5568">
        <w:t xml:space="preserve"> de </w:t>
      </w:r>
      <w:r w:rsidR="00962434">
        <w:t xml:space="preserve">cette </w:t>
      </w:r>
      <w:r w:rsidR="00DF5568">
        <w:t>personne morale par une personne soumise à son autorité.</w:t>
      </w:r>
    </w:p>
    <w:p w:rsidR="00DF5568" w:rsidRPr="001420ED" w:rsidRDefault="00962434" w:rsidP="00FE5FD8">
      <w:pPr>
        <w:pStyle w:val="ManualNumPar1"/>
      </w:pPr>
      <w:r>
        <w:t>7</w:t>
      </w:r>
      <w:r w:rsidR="00DF5568">
        <w:t>.</w:t>
      </w:r>
      <w:r w:rsidR="001F4331">
        <w:tab/>
      </w:r>
      <w:r w:rsidR="00DF5568">
        <w:t xml:space="preserve">Les autorités compétentes exercent leurs pouvoirs </w:t>
      </w:r>
      <w:r w:rsidR="006446BF">
        <w:t>d'</w:t>
      </w:r>
      <w:r w:rsidR="00DF5568">
        <w:t xml:space="preserve">imposer les </w:t>
      </w:r>
      <w:r>
        <w:t xml:space="preserve">sanctions et </w:t>
      </w:r>
      <w:r w:rsidR="00DF5568">
        <w:t xml:space="preserve">mesures administratives </w:t>
      </w:r>
      <w:r>
        <w:t>conformément au</w:t>
      </w:r>
      <w:r w:rsidR="00DF5568">
        <w:t xml:space="preserve"> présent règlement </w:t>
      </w:r>
      <w:r w:rsidR="00FE5FD8">
        <w:t>de l'une</w:t>
      </w:r>
      <w:r w:rsidR="00DF5568">
        <w:t xml:space="preserve"> </w:t>
      </w:r>
      <w:r w:rsidR="0041513E">
        <w:t>ou l</w:t>
      </w:r>
      <w:r w:rsidR="0018449D">
        <w:t>'</w:t>
      </w:r>
      <w:r w:rsidR="0041513E">
        <w:t xml:space="preserve">autre </w:t>
      </w:r>
      <w:r w:rsidR="00DF5568">
        <w:t>des manières suivantes:</w:t>
      </w:r>
    </w:p>
    <w:p w:rsidR="00DF5568" w:rsidRPr="001420ED" w:rsidRDefault="00DF5568" w:rsidP="001F4331">
      <w:pPr>
        <w:pStyle w:val="Point10"/>
      </w:pPr>
      <w:r>
        <w:t>a)</w:t>
      </w:r>
      <w:r w:rsidR="001F4331">
        <w:tab/>
      </w:r>
      <w:r>
        <w:t>directement;</w:t>
      </w:r>
    </w:p>
    <w:p w:rsidR="00DF5568" w:rsidRPr="001420ED" w:rsidRDefault="00DF5568" w:rsidP="001F4331">
      <w:pPr>
        <w:pStyle w:val="Point10"/>
      </w:pPr>
      <w:r>
        <w:t>b)</w:t>
      </w:r>
      <w:r w:rsidR="001F4331">
        <w:tab/>
      </w:r>
      <w:r>
        <w:t>en coopération avec d'autres autorités;</w:t>
      </w:r>
    </w:p>
    <w:p w:rsidR="00DF5568" w:rsidRPr="001420ED" w:rsidRDefault="00DF5568" w:rsidP="00962434">
      <w:pPr>
        <w:pStyle w:val="Point10"/>
      </w:pPr>
      <w:r>
        <w:t>c)</w:t>
      </w:r>
      <w:r w:rsidR="001F4331">
        <w:tab/>
      </w:r>
      <w:r>
        <w:t xml:space="preserve">sous leur responsabilité par délégation à </w:t>
      </w:r>
      <w:r w:rsidR="00962434">
        <w:t>ces autres</w:t>
      </w:r>
      <w:r>
        <w:t xml:space="preserve"> autorités;</w:t>
      </w:r>
    </w:p>
    <w:p w:rsidR="00DF5568" w:rsidRPr="001420ED" w:rsidRDefault="00DF5568" w:rsidP="001F4331">
      <w:pPr>
        <w:pStyle w:val="Point10"/>
      </w:pPr>
      <w:r>
        <w:t>d)</w:t>
      </w:r>
      <w:r w:rsidR="001F4331">
        <w:tab/>
      </w:r>
      <w:r>
        <w:t>en adressant une demande aux autorités judiciaires compétentes.</w:t>
      </w:r>
    </w:p>
    <w:p w:rsidR="00DF5568" w:rsidRPr="001420ED" w:rsidRDefault="00DF5568" w:rsidP="00BA2895">
      <w:pPr>
        <w:pStyle w:val="Text1"/>
      </w:pPr>
      <w:r>
        <w:t xml:space="preserve">Lorsqu'elles exercent leur pouvoir d'imposer des </w:t>
      </w:r>
      <w:r w:rsidR="000828C2">
        <w:t xml:space="preserve">sanctions </w:t>
      </w:r>
      <w:r>
        <w:t xml:space="preserve">et des </w:t>
      </w:r>
      <w:r w:rsidR="000828C2">
        <w:t>mesures</w:t>
      </w:r>
      <w:r w:rsidR="000828C2" w:rsidDel="000828C2">
        <w:t xml:space="preserve"> </w:t>
      </w:r>
      <w:r>
        <w:t xml:space="preserve">administratives, les autorités compétentes coopèrent étroitement pour que </w:t>
      </w:r>
      <w:r w:rsidR="000828C2">
        <w:t>c</w:t>
      </w:r>
      <w:r>
        <w:t xml:space="preserve">es </w:t>
      </w:r>
      <w:r w:rsidR="006446BF">
        <w:t xml:space="preserve">sanctions </w:t>
      </w:r>
      <w:r w:rsidR="0041513E">
        <w:t>ou</w:t>
      </w:r>
      <w:r w:rsidR="006446BF">
        <w:t xml:space="preserve"> </w:t>
      </w:r>
      <w:r>
        <w:t xml:space="preserve">mesures </w:t>
      </w:r>
      <w:r w:rsidR="006446BF">
        <w:t xml:space="preserve">administratives </w:t>
      </w:r>
      <w:r w:rsidR="00BA2895">
        <w:t xml:space="preserve">produisent les </w:t>
      </w:r>
      <w:r>
        <w:t>résultats escomptés, et elles coordonnent leur action dans les affaires transfront</w:t>
      </w:r>
      <w:r w:rsidR="006446BF">
        <w:t>al</w:t>
      </w:r>
      <w:r>
        <w:t>ières.</w:t>
      </w:r>
    </w:p>
    <w:p w:rsidR="00DF5568" w:rsidRPr="001420ED" w:rsidRDefault="00DF5568" w:rsidP="001F4331">
      <w:pPr>
        <w:pStyle w:val="Titrearticle"/>
        <w:rPr>
          <w:noProof/>
        </w:rPr>
      </w:pPr>
      <w:r>
        <w:br w:type="page"/>
      </w:r>
      <w:r>
        <w:rPr>
          <w:noProof/>
        </w:rPr>
        <w:lastRenderedPageBreak/>
        <w:t>Article 18</w:t>
      </w:r>
      <w:r>
        <w:rPr>
          <w:noProof/>
        </w:rPr>
        <w:br/>
        <w:t>Dispositions spécifiques</w:t>
      </w:r>
    </w:p>
    <w:p w:rsidR="00DF5568" w:rsidRPr="001420ED" w:rsidRDefault="000828C2" w:rsidP="002A3656">
      <w:r>
        <w:t>Les États membres veillent à ce que le</w:t>
      </w:r>
      <w:r w:rsidR="00AE32F3">
        <w:t>ur</w:t>
      </w:r>
      <w:r>
        <w:t>s sanctions et mesures administratives comprennent au moins celles figurant à l'article 5</w:t>
      </w:r>
      <w:r w:rsidR="0008517D">
        <w:t>9</w:t>
      </w:r>
      <w:r>
        <w:t xml:space="preserve">, paragraphes 2 et </w:t>
      </w:r>
      <w:r w:rsidR="0008517D">
        <w:t>3</w:t>
      </w:r>
      <w:r w:rsidRPr="00F81F47">
        <w:t>,</w:t>
      </w:r>
      <w:r>
        <w:t xml:space="preserve"> de la directive (UE) 2015/…</w:t>
      </w:r>
      <w:r>
        <w:rPr>
          <w:rStyle w:val="FootnoteReference"/>
        </w:rPr>
        <w:footnoteReference w:customMarkFollows="1" w:id="34"/>
        <w:t>*</w:t>
      </w:r>
      <w:r>
        <w:t xml:space="preserve"> </w:t>
      </w:r>
      <w:r w:rsidR="006446BF">
        <w:t>lorsque</w:t>
      </w:r>
      <w:r>
        <w:t xml:space="preserve"> les infractions </w:t>
      </w:r>
      <w:r w:rsidR="006446BF">
        <w:t>suivantes</w:t>
      </w:r>
      <w:r w:rsidR="00C731C7">
        <w:t xml:space="preserve"> </w:t>
      </w:r>
      <w:r>
        <w:t xml:space="preserve">au présent règlement </w:t>
      </w:r>
      <w:r w:rsidR="00FE5FD8">
        <w:t>se produisent</w:t>
      </w:r>
      <w:r>
        <w:t>:</w:t>
      </w:r>
    </w:p>
    <w:p w:rsidR="00DF5568" w:rsidRPr="001420ED" w:rsidRDefault="00DF5568" w:rsidP="002A3656">
      <w:pPr>
        <w:pStyle w:val="Point0"/>
      </w:pPr>
      <w:r>
        <w:t>a)</w:t>
      </w:r>
      <w:r w:rsidR="001F4331">
        <w:tab/>
      </w:r>
      <w:r>
        <w:t xml:space="preserve">manquement répété ou systématique du prestataire de services de paiement à </w:t>
      </w:r>
      <w:r w:rsidRPr="000828C2">
        <w:t>l'obligation</w:t>
      </w:r>
      <w:r w:rsidR="002A3656">
        <w:t xml:space="preserve"> de </w:t>
      </w:r>
      <w:r>
        <w:t xml:space="preserve">fournir les informations requises </w:t>
      </w:r>
      <w:r w:rsidR="00AE32F3">
        <w:t>sur le</w:t>
      </w:r>
      <w:r>
        <w:t xml:space="preserve"> donneur d'ordre ou </w:t>
      </w:r>
      <w:r w:rsidR="00AE32F3">
        <w:t>le</w:t>
      </w:r>
      <w:r w:rsidR="002A3656">
        <w:t xml:space="preserve"> bénéficiaire, en violation de </w:t>
      </w:r>
      <w:r w:rsidR="000828C2">
        <w:t>l'</w:t>
      </w:r>
      <w:r w:rsidR="002A3656">
        <w:t xml:space="preserve">article 4, 5 ou </w:t>
      </w:r>
      <w:r>
        <w:t>6;</w:t>
      </w:r>
    </w:p>
    <w:p w:rsidR="00DF5568" w:rsidRPr="001420ED" w:rsidRDefault="00DF5568" w:rsidP="002A3656">
      <w:pPr>
        <w:pStyle w:val="Point0"/>
      </w:pPr>
      <w:r>
        <w:t>b)</w:t>
      </w:r>
      <w:r w:rsidR="001F4331">
        <w:tab/>
      </w:r>
      <w:r>
        <w:t xml:space="preserve">manquement répété, systématique ou grave du prestataire de services de paiement </w:t>
      </w:r>
      <w:r w:rsidRPr="000828C2">
        <w:t>à</w:t>
      </w:r>
      <w:r w:rsidR="002A3656">
        <w:t xml:space="preserve"> </w:t>
      </w:r>
      <w:r w:rsidRPr="000828C2">
        <w:t>l'obligation</w:t>
      </w:r>
      <w:r>
        <w:t xml:space="preserve"> de </w:t>
      </w:r>
      <w:r w:rsidRPr="000828C2">
        <w:t>conservation des informations</w:t>
      </w:r>
      <w:r w:rsidR="000828C2">
        <w:t>, en violation de</w:t>
      </w:r>
      <w:r>
        <w:t xml:space="preserve"> l'article 16;</w:t>
      </w:r>
    </w:p>
    <w:p w:rsidR="00DF5568" w:rsidRPr="001420ED" w:rsidRDefault="00DF5568" w:rsidP="002A3656">
      <w:pPr>
        <w:pStyle w:val="Point0"/>
      </w:pPr>
      <w:r>
        <w:t>c)</w:t>
      </w:r>
      <w:r w:rsidR="001F4331">
        <w:tab/>
      </w:r>
      <w:r>
        <w:t xml:space="preserve">manquement du prestataire de services de paiement à </w:t>
      </w:r>
      <w:r w:rsidRPr="000828C2">
        <w:t>l'obligation</w:t>
      </w:r>
      <w:r>
        <w:t xml:space="preserve"> </w:t>
      </w:r>
      <w:r w:rsidR="005821EC">
        <w:t xml:space="preserve">de mettre en </w:t>
      </w:r>
      <w:r w:rsidR="002A3656">
        <w:t>œuvre</w:t>
      </w:r>
      <w:r>
        <w:t xml:space="preserve"> les procédures efficaces, fondées sur les risques, en </w:t>
      </w:r>
      <w:r w:rsidR="000828C2">
        <w:t>violation d</w:t>
      </w:r>
      <w:r>
        <w:t xml:space="preserve">e </w:t>
      </w:r>
      <w:r w:rsidR="000828C2">
        <w:t>l'</w:t>
      </w:r>
      <w:r>
        <w:t xml:space="preserve">article 8 </w:t>
      </w:r>
      <w:r w:rsidR="000828C2">
        <w:t>ou</w:t>
      </w:r>
      <w:r>
        <w:t xml:space="preserve"> 12;</w:t>
      </w:r>
    </w:p>
    <w:p w:rsidR="002A3656" w:rsidRDefault="00AE32F3" w:rsidP="002A3656">
      <w:pPr>
        <w:pStyle w:val="Point0"/>
      </w:pPr>
      <w:r w:rsidRPr="00CC6FAE">
        <w:rPr>
          <w:iCs/>
        </w:rPr>
        <w:t>d</w:t>
      </w:r>
      <w:r w:rsidR="00DF5568">
        <w:t>)</w:t>
      </w:r>
      <w:r w:rsidR="001F4331">
        <w:tab/>
      </w:r>
      <w:r w:rsidR="00DF5568">
        <w:t xml:space="preserve">manquement grave </w:t>
      </w:r>
      <w:r w:rsidR="000828C2">
        <w:t>à l'</w:t>
      </w:r>
      <w:r w:rsidR="00DF5568">
        <w:t>article 11 ou 12 de la part d</w:t>
      </w:r>
      <w:r w:rsidR="006446BF">
        <w:t>'un</w:t>
      </w:r>
      <w:r w:rsidR="00DF5568">
        <w:t xml:space="preserve"> prestataire de services de paiement intermédiaire.</w:t>
      </w:r>
    </w:p>
    <w:p w:rsidR="00DF5568" w:rsidRPr="001420ED" w:rsidRDefault="002A3656" w:rsidP="002A3656">
      <w:pPr>
        <w:pStyle w:val="Titrearticle"/>
      </w:pPr>
      <w:r>
        <w:rPr>
          <w:noProof/>
        </w:rPr>
        <w:t xml:space="preserve">Article </w:t>
      </w:r>
      <w:r w:rsidR="00DF5568">
        <w:rPr>
          <w:noProof/>
        </w:rPr>
        <w:t>19</w:t>
      </w:r>
      <w:r w:rsidR="00DF5568">
        <w:rPr>
          <w:noProof/>
        </w:rPr>
        <w:br/>
        <w:t>Publication des sanctions</w:t>
      </w:r>
      <w:r w:rsidR="00AE32F3">
        <w:rPr>
          <w:noProof/>
        </w:rPr>
        <w:t xml:space="preserve"> et des mesures</w:t>
      </w:r>
    </w:p>
    <w:p w:rsidR="00DF5568" w:rsidRPr="001420ED" w:rsidRDefault="00AE32F3" w:rsidP="002A3656">
      <w:pPr>
        <w:rPr>
          <w:noProof/>
        </w:rPr>
      </w:pPr>
      <w:r>
        <w:t xml:space="preserve">Conformément à l'article </w:t>
      </w:r>
      <w:r w:rsidR="0008517D">
        <w:t>60</w:t>
      </w:r>
      <w:r>
        <w:t xml:space="preserve">, paragraphes 1, </w:t>
      </w:r>
      <w:r w:rsidR="0008517D">
        <w:t>2</w:t>
      </w:r>
      <w:r>
        <w:t xml:space="preserve"> et </w:t>
      </w:r>
      <w:r w:rsidR="0008517D">
        <w:t>3</w:t>
      </w:r>
      <w:r>
        <w:t>, de la directive (UE) 2015/…</w:t>
      </w:r>
      <w:r w:rsidR="002A3656" w:rsidRPr="002A3656">
        <w:rPr>
          <w:b/>
          <w:bCs/>
          <w:vertAlign w:val="superscript"/>
        </w:rPr>
        <w:t>*</w:t>
      </w:r>
      <w:r w:rsidR="002A3656">
        <w:t>,</w:t>
      </w:r>
      <w:r>
        <w:t xml:space="preserve"> l</w:t>
      </w:r>
      <w:r w:rsidR="00DF5568">
        <w:t xml:space="preserve">es autorités compétentes publient, sans tarder indûment, les mesures et sanctions administratives </w:t>
      </w:r>
      <w:r w:rsidR="006446BF">
        <w:t>imposées</w:t>
      </w:r>
      <w:r w:rsidR="00DF5568">
        <w:t xml:space="preserve"> dans les cas visés </w:t>
      </w:r>
      <w:r w:rsidR="006446BF">
        <w:t xml:space="preserve">aux </w:t>
      </w:r>
      <w:r w:rsidR="00DF5568">
        <w:t>article</w:t>
      </w:r>
      <w:r w:rsidR="006446BF">
        <w:t>s</w:t>
      </w:r>
      <w:r w:rsidR="00DF5568">
        <w:t> 17 et 18</w:t>
      </w:r>
      <w:r>
        <w:t xml:space="preserve"> du présent règlement</w:t>
      </w:r>
      <w:r w:rsidR="0041513E">
        <w:t>,</w:t>
      </w:r>
      <w:r w:rsidR="00DF5568">
        <w:t xml:space="preserve"> en incluant des informations sur le type et la nature de l'infraction et sur l'identité des personnes responsables, si </w:t>
      </w:r>
      <w:r w:rsidR="006446BF">
        <w:t>cela est</w:t>
      </w:r>
      <w:r w:rsidR="00DF5568">
        <w:t xml:space="preserve"> nécessaire et</w:t>
      </w:r>
      <w:r w:rsidR="006446BF">
        <w:t xml:space="preserve"> </w:t>
      </w:r>
      <w:r w:rsidR="00DF5568">
        <w:t>proportionné à l'issue d'une évaluation au cas par cas.</w:t>
      </w:r>
    </w:p>
    <w:p w:rsidR="00DF5568" w:rsidRPr="001420ED" w:rsidRDefault="001F4331" w:rsidP="001F4331">
      <w:pPr>
        <w:pStyle w:val="Titrearticle"/>
        <w:rPr>
          <w:iCs/>
        </w:rPr>
      </w:pPr>
      <w:r>
        <w:br w:type="page"/>
      </w:r>
      <w:r w:rsidR="00DF5568">
        <w:lastRenderedPageBreak/>
        <w:t>Article 20</w:t>
      </w:r>
      <w:r>
        <w:br/>
      </w:r>
      <w:r w:rsidR="00DF5568">
        <w:t xml:space="preserve">Application de sanctions </w:t>
      </w:r>
      <w:r w:rsidR="00AE32F3">
        <w:t xml:space="preserve">et de mesures </w:t>
      </w:r>
      <w:r w:rsidR="00DF5568">
        <w:t>par les autorités compétentes</w:t>
      </w:r>
    </w:p>
    <w:p w:rsidR="00DF5568" w:rsidRPr="001420ED" w:rsidRDefault="00DF5568" w:rsidP="007F5A68">
      <w:pPr>
        <w:pStyle w:val="ManualNumPar1"/>
      </w:pPr>
      <w:r>
        <w:t>1.</w:t>
      </w:r>
      <w:r w:rsidR="001F4331">
        <w:tab/>
      </w:r>
      <w:r>
        <w:t xml:space="preserve">Lorsqu'elles déterminent le type de </w:t>
      </w:r>
      <w:r w:rsidR="000828C2">
        <w:t xml:space="preserve">sanctions </w:t>
      </w:r>
      <w:r>
        <w:t xml:space="preserve">ou de </w:t>
      </w:r>
      <w:r w:rsidR="000828C2">
        <w:t>mesures</w:t>
      </w:r>
      <w:r w:rsidR="000828C2" w:rsidDel="000828C2">
        <w:t xml:space="preserve"> </w:t>
      </w:r>
      <w:r>
        <w:t>ad</w:t>
      </w:r>
      <w:r w:rsidR="007F5A68">
        <w:t xml:space="preserve">ministratives et le montant des </w:t>
      </w:r>
      <w:r w:rsidR="00AE32F3">
        <w:t>sanctions administratives pécuniaires</w:t>
      </w:r>
      <w:r>
        <w:t>, les autorités compétente</w:t>
      </w:r>
      <w:r w:rsidR="007F5A68">
        <w:t xml:space="preserve">s tiennent compte de toutes les </w:t>
      </w:r>
      <w:r>
        <w:t>circonstances pertinentes, et notamment de celles qui sont énumérées à l'article </w:t>
      </w:r>
      <w:r w:rsidR="0008517D">
        <w:t>60</w:t>
      </w:r>
      <w:r>
        <w:t>, paragraphe </w:t>
      </w:r>
      <w:r w:rsidR="0008517D">
        <w:t>4</w:t>
      </w:r>
      <w:r>
        <w:t>, de la directive (UE) 2015/...</w:t>
      </w:r>
      <w:r>
        <w:rPr>
          <w:rStyle w:val="FootnoteReference"/>
          <w:noProof/>
        </w:rPr>
        <w:footnoteReference w:customMarkFollows="1" w:id="35"/>
        <w:t>*</w:t>
      </w:r>
      <w:r>
        <w:t>.</w:t>
      </w:r>
    </w:p>
    <w:p w:rsidR="00DF5568" w:rsidRPr="001420ED" w:rsidRDefault="000828C2" w:rsidP="007F5A68">
      <w:pPr>
        <w:pStyle w:val="ManualNumPar1"/>
      </w:pPr>
      <w:r>
        <w:t>2</w:t>
      </w:r>
      <w:r w:rsidR="007F5A68">
        <w:t>.</w:t>
      </w:r>
      <w:r w:rsidR="0041513E">
        <w:tab/>
      </w:r>
      <w:r w:rsidR="00DF5568">
        <w:t xml:space="preserve">En ce qui concerne les </w:t>
      </w:r>
      <w:r>
        <w:t xml:space="preserve">sanctions </w:t>
      </w:r>
      <w:r w:rsidR="00DF5568">
        <w:t xml:space="preserve">et </w:t>
      </w:r>
      <w:r>
        <w:t xml:space="preserve">mesures </w:t>
      </w:r>
      <w:r w:rsidR="00DF5568">
        <w:t xml:space="preserve">administratives </w:t>
      </w:r>
      <w:r w:rsidR="006446BF">
        <w:t>imposées</w:t>
      </w:r>
      <w:r w:rsidR="00DF5568">
        <w:t xml:space="preserve"> </w:t>
      </w:r>
      <w:r>
        <w:t>conformément au</w:t>
      </w:r>
      <w:r w:rsidR="00DF5568">
        <w:t xml:space="preserve"> présent règlement, l'article </w:t>
      </w:r>
      <w:r w:rsidR="0008517D" w:rsidRPr="00CC6FAE">
        <w:rPr>
          <w:iCs/>
        </w:rPr>
        <w:t>62</w:t>
      </w:r>
      <w:r w:rsidR="00DF5568">
        <w:t xml:space="preserve"> de la directive (UE) 2015/...</w:t>
      </w:r>
      <w:r w:rsidR="007F5A68" w:rsidRPr="007F5A68">
        <w:rPr>
          <w:b/>
          <w:bCs/>
          <w:vertAlign w:val="superscript"/>
        </w:rPr>
        <w:t>*</w:t>
      </w:r>
      <w:r w:rsidR="00DF5568">
        <w:t xml:space="preserve"> est applicable.</w:t>
      </w:r>
    </w:p>
    <w:p w:rsidR="00DF5568" w:rsidRPr="007F5A68" w:rsidRDefault="007F5A68" w:rsidP="001F4331">
      <w:pPr>
        <w:pStyle w:val="Titrearticle"/>
      </w:pPr>
      <w:r w:rsidRPr="007F5A68">
        <w:t xml:space="preserve">Article </w:t>
      </w:r>
      <w:r w:rsidR="00DF5568" w:rsidRPr="007F5A68">
        <w:t>21</w:t>
      </w:r>
      <w:r w:rsidR="00DF5568" w:rsidRPr="007F5A68">
        <w:br/>
        <w:t>Signalement des infractions</w:t>
      </w:r>
    </w:p>
    <w:p w:rsidR="00DF5568" w:rsidRPr="001420ED" w:rsidRDefault="00DF5568" w:rsidP="003033A8">
      <w:pPr>
        <w:pStyle w:val="ManualNumPar1"/>
      </w:pPr>
      <w:r>
        <w:t>1.</w:t>
      </w:r>
      <w:r w:rsidR="001F4331">
        <w:tab/>
      </w:r>
      <w:r>
        <w:t xml:space="preserve">Les États membres mettent en place des mécanismes efficaces pour encourager le signalement aux autorités compétentes des infractions </w:t>
      </w:r>
      <w:r w:rsidR="003033A8">
        <w:t>au</w:t>
      </w:r>
      <w:r>
        <w:t xml:space="preserve"> présent règlement.</w:t>
      </w:r>
    </w:p>
    <w:p w:rsidR="00DF5568" w:rsidRPr="001420ED" w:rsidRDefault="003033A8" w:rsidP="007F5A68">
      <w:pPr>
        <w:pStyle w:val="Text1"/>
      </w:pPr>
      <w:r>
        <w:t>C</w:t>
      </w:r>
      <w:r w:rsidR="00DF5568">
        <w:t>es mécanismes comprennent au moins ceux qui sont visés à l'article </w:t>
      </w:r>
      <w:r w:rsidR="0008517D">
        <w:t>61</w:t>
      </w:r>
      <w:r w:rsidR="00DF5568">
        <w:t>, paragraphe 2, de la directive (UE) 2015/...</w:t>
      </w:r>
      <w:r w:rsidR="007F5A68" w:rsidRPr="007F5A68">
        <w:rPr>
          <w:b/>
          <w:bCs/>
          <w:vertAlign w:val="superscript"/>
        </w:rPr>
        <w:t>*</w:t>
      </w:r>
      <w:r w:rsidR="007F5A68">
        <w:t>.</w:t>
      </w:r>
    </w:p>
    <w:p w:rsidR="00DF5568" w:rsidRPr="008865D0" w:rsidRDefault="003033A8" w:rsidP="00C03326">
      <w:pPr>
        <w:pStyle w:val="ManualNumPar1"/>
      </w:pPr>
      <w:r>
        <w:t>2.</w:t>
      </w:r>
      <w:r w:rsidR="001F4331">
        <w:tab/>
      </w:r>
      <w:r w:rsidR="00DF5568">
        <w:t xml:space="preserve">Les prestataires de services de paiement mettent en place, en coopération avec les autorités compétentes, des procédures internes appropriées permettant à leurs employés ou aux personnes ayant un statut comparable de signaler en interne les infractions par une voie </w:t>
      </w:r>
      <w:r w:rsidR="00C03326">
        <w:t xml:space="preserve">sécurisée, indépendante, </w:t>
      </w:r>
      <w:r w:rsidR="00DF5568">
        <w:t>spécifique</w:t>
      </w:r>
      <w:r w:rsidR="00C03326">
        <w:t xml:space="preserve"> et</w:t>
      </w:r>
      <w:r w:rsidR="00DF5568">
        <w:t xml:space="preserve"> anonyme, </w:t>
      </w:r>
      <w:r w:rsidR="00C03326">
        <w:t xml:space="preserve">proportionnée </w:t>
      </w:r>
      <w:r w:rsidR="00DF5568">
        <w:t>à la nature et à la taille du prestataire de services de paiement concerné.</w:t>
      </w:r>
    </w:p>
    <w:p w:rsidR="00DF5568" w:rsidRPr="001420ED" w:rsidRDefault="001F4331" w:rsidP="005821EC">
      <w:pPr>
        <w:pStyle w:val="Titrearticle"/>
        <w:rPr>
          <w:iCs/>
        </w:rPr>
      </w:pPr>
      <w:r>
        <w:rPr>
          <w:noProof/>
        </w:rPr>
        <w:br w:type="page"/>
      </w:r>
      <w:r w:rsidR="00DF5568">
        <w:rPr>
          <w:noProof/>
        </w:rPr>
        <w:lastRenderedPageBreak/>
        <w:t>Article 22</w:t>
      </w:r>
      <w:r w:rsidR="00DF5568">
        <w:rPr>
          <w:iCs/>
          <w:noProof/>
        </w:rPr>
        <w:br/>
      </w:r>
      <w:r w:rsidR="005821EC">
        <w:rPr>
          <w:noProof/>
        </w:rPr>
        <w:t>Contrôle</w:t>
      </w:r>
    </w:p>
    <w:p w:rsidR="00DF5568" w:rsidRPr="001420ED" w:rsidRDefault="00DF5568" w:rsidP="005821EC">
      <w:pPr>
        <w:pStyle w:val="ManualNumPar1"/>
        <w:rPr>
          <w:noProof/>
          <w:spacing w:val="-4"/>
        </w:rPr>
      </w:pPr>
      <w:r>
        <w:t>1.</w:t>
      </w:r>
      <w:r w:rsidR="001F4331">
        <w:tab/>
      </w:r>
      <w:r>
        <w:t xml:space="preserve">Les États membres exigent des autorités compétentes qu'elles assurent un </w:t>
      </w:r>
      <w:r w:rsidR="005821EC">
        <w:t>contrôle</w:t>
      </w:r>
      <w:r>
        <w:t xml:space="preserve"> effecti</w:t>
      </w:r>
      <w:r w:rsidR="005821EC">
        <w:t>f</w:t>
      </w:r>
      <w:r>
        <w:t xml:space="preserve"> du respect du présent règlement et qu'elles prennent les mesures nécessaires </w:t>
      </w:r>
      <w:r w:rsidR="006446BF">
        <w:t>pour assurer ce respect</w:t>
      </w:r>
      <w:r>
        <w:t xml:space="preserve">, et </w:t>
      </w:r>
      <w:r w:rsidR="006446BF">
        <w:t>qu'elles</w:t>
      </w:r>
      <w:r>
        <w:t xml:space="preserve"> encouragent, par des mécanismes efficaces, le signalement aux autorités compétentes des infractions aux dispositions du présent règlement.</w:t>
      </w:r>
    </w:p>
    <w:p w:rsidR="00DF5568" w:rsidRPr="001420ED" w:rsidRDefault="003033A8" w:rsidP="006446BF">
      <w:pPr>
        <w:pStyle w:val="ManualNumPar1"/>
      </w:pPr>
      <w:r>
        <w:t>2</w:t>
      </w:r>
      <w:r w:rsidR="00DF5568">
        <w:t>.</w:t>
      </w:r>
      <w:r w:rsidR="001F4331">
        <w:tab/>
      </w:r>
      <w:r w:rsidR="00DF5568">
        <w:t xml:space="preserve">Après </w:t>
      </w:r>
      <w:r w:rsidR="00C82526">
        <w:t xml:space="preserve">que les </w:t>
      </w:r>
      <w:r w:rsidR="00DF5568">
        <w:t xml:space="preserve">États membres </w:t>
      </w:r>
      <w:r w:rsidR="00C82526">
        <w:t>aient notifié à la Commission et au comité mixte des AES, conformément à l'article 17, paragraphe 3, le</w:t>
      </w:r>
      <w:r w:rsidR="00DF5568">
        <w:t xml:space="preserve"> régime visé au paragraphe 1</w:t>
      </w:r>
      <w:r w:rsidR="006446BF">
        <w:t xml:space="preserve"> du présent article</w:t>
      </w:r>
      <w:r w:rsidR="00C82526">
        <w:t>,</w:t>
      </w:r>
      <w:r w:rsidR="00DF5568">
        <w:t xml:space="preserve"> la Commission présente un rapport au P</w:t>
      </w:r>
      <w:r w:rsidR="007F5A68">
        <w:t xml:space="preserve">arlement européen et au Conseil </w:t>
      </w:r>
      <w:r w:rsidR="00DF5568">
        <w:t>sur l'application du chapitre IV, en accordant une attention particulière aux affaires transfront</w:t>
      </w:r>
      <w:r w:rsidR="006446BF">
        <w:t>al</w:t>
      </w:r>
      <w:r w:rsidR="00DF5568">
        <w:t>ières.</w:t>
      </w:r>
    </w:p>
    <w:p w:rsidR="00DF5568" w:rsidRPr="001420ED" w:rsidRDefault="00DF5568" w:rsidP="001F4331">
      <w:pPr>
        <w:pStyle w:val="ChapterTitle"/>
        <w:rPr>
          <w:noProof/>
        </w:rPr>
      </w:pPr>
      <w:r>
        <w:t>CHAPITRE V</w:t>
      </w:r>
      <w:r w:rsidR="001F4331">
        <w:br/>
      </w:r>
      <w:r>
        <w:t>POUVOIRS D'EXÉCUTION</w:t>
      </w:r>
    </w:p>
    <w:p w:rsidR="00DF5568" w:rsidRPr="007F5A68" w:rsidRDefault="00DF5568" w:rsidP="007F5A68">
      <w:pPr>
        <w:pStyle w:val="Titrearticle"/>
        <w:rPr>
          <w:noProof/>
        </w:rPr>
      </w:pPr>
      <w:r w:rsidRPr="007F5A68">
        <w:rPr>
          <w:noProof/>
        </w:rPr>
        <w:t>Article 23</w:t>
      </w:r>
      <w:r w:rsidRPr="007F5A68">
        <w:rPr>
          <w:noProof/>
        </w:rPr>
        <w:br/>
        <w:t>Comité</w:t>
      </w:r>
    </w:p>
    <w:p w:rsidR="00DF5568" w:rsidRPr="001420ED" w:rsidRDefault="00DF5568" w:rsidP="007F5A68">
      <w:pPr>
        <w:pStyle w:val="ManualNumPar1"/>
      </w:pPr>
      <w:r>
        <w:t>1.</w:t>
      </w:r>
      <w:r w:rsidR="001F4331">
        <w:tab/>
      </w:r>
      <w:r>
        <w:t>La Commission est assistée par le comité sur la prévention du blanchiment de capitaux et du</w:t>
      </w:r>
      <w:r w:rsidR="007F5A68">
        <w:t xml:space="preserve"> </w:t>
      </w:r>
      <w:r>
        <w:t>financement du terrorisme (ci-après dénommé "comité"). Ledit comité est un comité au sens du règlement (UE) n° 182/2011.</w:t>
      </w:r>
    </w:p>
    <w:p w:rsidR="00DF5568" w:rsidRPr="001420ED" w:rsidRDefault="007F5A68" w:rsidP="001F4331">
      <w:pPr>
        <w:pStyle w:val="ManualNumPar1"/>
        <w:rPr>
          <w:noProof/>
        </w:rPr>
      </w:pPr>
      <w:r>
        <w:br w:type="page"/>
      </w:r>
      <w:r w:rsidR="00DF5568">
        <w:lastRenderedPageBreak/>
        <w:t>2.</w:t>
      </w:r>
      <w:r w:rsidR="001F4331">
        <w:tab/>
      </w:r>
      <w:r w:rsidR="00DF5568">
        <w:t xml:space="preserve">Lorsqu'il est fait référence au présent paragraphe, l'article </w:t>
      </w:r>
      <w:r w:rsidR="007C7752">
        <w:t xml:space="preserve">5 du règlement (UE) n° 182/2011 </w:t>
      </w:r>
      <w:r w:rsidR="00DF5568">
        <w:t>s'applique.</w:t>
      </w:r>
    </w:p>
    <w:p w:rsidR="00DF5568" w:rsidRPr="001420ED" w:rsidRDefault="00DF5568" w:rsidP="001F4331">
      <w:pPr>
        <w:pStyle w:val="ChapterTitle"/>
        <w:rPr>
          <w:noProof/>
        </w:rPr>
      </w:pPr>
      <w:r>
        <w:t>CHAPITRE VI</w:t>
      </w:r>
      <w:r w:rsidR="001F4331">
        <w:br/>
      </w:r>
      <w:r>
        <w:t>DÉROGATIONS</w:t>
      </w:r>
    </w:p>
    <w:p w:rsidR="00DF5568" w:rsidRPr="001420ED" w:rsidRDefault="00DF5568" w:rsidP="003033A8">
      <w:pPr>
        <w:pStyle w:val="Titrearticle"/>
        <w:rPr>
          <w:iCs/>
        </w:rPr>
      </w:pPr>
      <w:r>
        <w:rPr>
          <w:noProof/>
        </w:rPr>
        <w:t>Article 24</w:t>
      </w:r>
      <w:r>
        <w:rPr>
          <w:iCs/>
          <w:noProof/>
        </w:rPr>
        <w:br/>
      </w:r>
      <w:r>
        <w:rPr>
          <w:noProof/>
        </w:rPr>
        <w:t xml:space="preserve">Accords avec des pays </w:t>
      </w:r>
      <w:r w:rsidR="003033A8">
        <w:rPr>
          <w:noProof/>
        </w:rPr>
        <w:t xml:space="preserve">et </w:t>
      </w:r>
      <w:r>
        <w:rPr>
          <w:noProof/>
        </w:rPr>
        <w:t>des territoires</w:t>
      </w:r>
      <w:r w:rsidDel="00F964A1">
        <w:rPr>
          <w:noProof/>
        </w:rPr>
        <w:t xml:space="preserve"> </w:t>
      </w:r>
      <w:r w:rsidR="007C7752">
        <w:rPr>
          <w:noProof/>
        </w:rPr>
        <w:t>ne faisant pas partie</w:t>
      </w:r>
      <w:r w:rsidR="007C7752">
        <w:rPr>
          <w:noProof/>
        </w:rPr>
        <w:br/>
      </w:r>
      <w:r>
        <w:rPr>
          <w:noProof/>
        </w:rPr>
        <w:t>du territoire de l'Union</w:t>
      </w:r>
    </w:p>
    <w:p w:rsidR="00DF5568" w:rsidRPr="007C7752" w:rsidRDefault="00DF5568" w:rsidP="007C7752">
      <w:pPr>
        <w:pStyle w:val="ManualNumPar1"/>
      </w:pPr>
      <w:r w:rsidRPr="007C7752">
        <w:t>1.</w:t>
      </w:r>
      <w:r w:rsidR="001F4331" w:rsidRPr="007C7752">
        <w:tab/>
      </w:r>
      <w:r w:rsidRPr="007C7752">
        <w:t xml:space="preserve">La Commission peut autoriser tout État membre à conclure </w:t>
      </w:r>
      <w:r w:rsidR="003033A8" w:rsidRPr="007C7752">
        <w:t xml:space="preserve">un accord </w:t>
      </w:r>
      <w:r w:rsidRPr="007C7752">
        <w:t xml:space="preserve">avec un pays </w:t>
      </w:r>
      <w:r w:rsidR="003033A8" w:rsidRPr="007C7752">
        <w:t xml:space="preserve">tiers </w:t>
      </w:r>
      <w:r w:rsidRPr="007C7752">
        <w:t xml:space="preserve">ou un territoire ne </w:t>
      </w:r>
      <w:r w:rsidR="005821EC" w:rsidRPr="007C7752">
        <w:t>relevant pas</w:t>
      </w:r>
      <w:r w:rsidRPr="007C7752">
        <w:t xml:space="preserve"> du </w:t>
      </w:r>
      <w:r w:rsidR="00AE32F3" w:rsidRPr="007C7752">
        <w:t xml:space="preserve">champ d'application </w:t>
      </w:r>
      <w:r w:rsidR="00F16A01" w:rsidRPr="007C7752">
        <w:t>territoriale du traité instituant l'Union européenne et du traité sur le fonctionnement de l'Union européenne</w:t>
      </w:r>
      <w:r w:rsidRPr="007C7752">
        <w:t xml:space="preserve"> </w:t>
      </w:r>
      <w:r w:rsidR="00C82526" w:rsidRPr="007C7752">
        <w:t>tel qu</w:t>
      </w:r>
      <w:r w:rsidR="0018449D" w:rsidRPr="007C7752">
        <w:t>'</w:t>
      </w:r>
      <w:r w:rsidR="00C82526" w:rsidRPr="007C7752">
        <w:t>il est visé à</w:t>
      </w:r>
      <w:r w:rsidRPr="007C7752">
        <w:t xml:space="preserve"> l'article 355 du traité sur le fonctionnement de l'Union européenne (ci-après dénommé "pays ou territoire concerné")</w:t>
      </w:r>
      <w:r w:rsidR="003033A8" w:rsidRPr="007C7752">
        <w:t>, qui</w:t>
      </w:r>
      <w:r w:rsidRPr="007C7752">
        <w:t xml:space="preserve"> cont</w:t>
      </w:r>
      <w:r w:rsidR="003033A8" w:rsidRPr="007C7752">
        <w:t>i</w:t>
      </w:r>
      <w:r w:rsidRPr="007C7752">
        <w:t>ent des dérogations au présent règlement, afin de permettre que les transferts de fonds entre ce pays ou territoire et l'État membre concerné soient traités comme des transferts de fonds effectués à l'intérieur de cet État membre.</w:t>
      </w:r>
    </w:p>
    <w:p w:rsidR="00DF5568" w:rsidRPr="001420ED" w:rsidRDefault="00DF5568" w:rsidP="007C7752">
      <w:pPr>
        <w:pStyle w:val="Text1"/>
        <w:rPr>
          <w:noProof/>
        </w:rPr>
      </w:pPr>
      <w:r>
        <w:t xml:space="preserve">Un tel accord ne peut être autorisé que si toutes les conditions </w:t>
      </w:r>
      <w:r w:rsidR="006446BF">
        <w:t>suivantes</w:t>
      </w:r>
      <w:r>
        <w:t xml:space="preserve"> sont remplies:</w:t>
      </w:r>
    </w:p>
    <w:p w:rsidR="00DF5568" w:rsidRPr="001420ED" w:rsidRDefault="00DF5568" w:rsidP="001F4331">
      <w:pPr>
        <w:pStyle w:val="Point10"/>
        <w:rPr>
          <w:noProof/>
        </w:rPr>
      </w:pPr>
      <w:r>
        <w:t>a)</w:t>
      </w:r>
      <w:r w:rsidR="001F4331">
        <w:tab/>
      </w:r>
      <w:r>
        <w:t>le pays ou le territoire concerné est lié à l'État membre concerné par une union monétaire, fait partie de la zone monétaire de cet État membre ou a signé une convention monétaire avec l'Union représentée par un État membre;</w:t>
      </w:r>
    </w:p>
    <w:p w:rsidR="00DF5568" w:rsidRPr="001420ED" w:rsidRDefault="00DF5568" w:rsidP="001F4331">
      <w:pPr>
        <w:pStyle w:val="Point10"/>
        <w:rPr>
          <w:noProof/>
        </w:rPr>
      </w:pPr>
      <w:r>
        <w:t>b)</w:t>
      </w:r>
      <w:r w:rsidR="001F4331">
        <w:tab/>
      </w:r>
      <w:r>
        <w:t>des prestataires de services de paiement du pays ou du territoire concerné participent, directement ou indirectement, aux systèmes de paiement et de règlement de cet État membre; et</w:t>
      </w:r>
    </w:p>
    <w:p w:rsidR="00DF5568" w:rsidRPr="001420ED" w:rsidRDefault="007C7752" w:rsidP="001F4331">
      <w:pPr>
        <w:pStyle w:val="Point10"/>
        <w:rPr>
          <w:noProof/>
        </w:rPr>
      </w:pPr>
      <w:r>
        <w:br w:type="page"/>
      </w:r>
      <w:r w:rsidR="00DF5568">
        <w:lastRenderedPageBreak/>
        <w:t>c)</w:t>
      </w:r>
      <w:r w:rsidR="001F4331">
        <w:tab/>
      </w:r>
      <w:r w:rsidR="00DF5568">
        <w:t>le pays ou le territoire concerné impose aux prestataires de services de paiement de son ressort l'application de règles identiques à celles qui sont instituées par le présent règlement.</w:t>
      </w:r>
    </w:p>
    <w:p w:rsidR="00DF5568" w:rsidRPr="001420ED" w:rsidRDefault="00DF5568" w:rsidP="003033A8">
      <w:pPr>
        <w:pStyle w:val="ManualNumPar1"/>
      </w:pPr>
      <w:r>
        <w:t>2.</w:t>
      </w:r>
      <w:r w:rsidR="001F4331">
        <w:tab/>
      </w:r>
      <w:r w:rsidR="003033A8">
        <w:t xml:space="preserve">Un </w:t>
      </w:r>
      <w:r>
        <w:t>État membre qui souhaiterait conclure un accord au sens du paragraphe 1 adresse une demande en ce sens à la Commission en lui communiquant toutes les informations nécessaires pour apprécier la demande.</w:t>
      </w:r>
    </w:p>
    <w:p w:rsidR="00DF5568" w:rsidRDefault="003033A8" w:rsidP="007C7752">
      <w:pPr>
        <w:pStyle w:val="ManualNumPar1"/>
      </w:pPr>
      <w:r>
        <w:t>3.</w:t>
      </w:r>
      <w:r>
        <w:tab/>
      </w:r>
      <w:r w:rsidR="00DF5568">
        <w:t xml:space="preserve">Dès réception </w:t>
      </w:r>
      <w:r>
        <w:t>d'une telle</w:t>
      </w:r>
      <w:r w:rsidR="00DF5568">
        <w:t xml:space="preserve"> demande par la Commission, le</w:t>
      </w:r>
      <w:r w:rsidR="007C7752">
        <w:t xml:space="preserve">s transferts de fonds entre cet </w:t>
      </w:r>
      <w:r w:rsidR="00DF5568">
        <w:t>État membre et le pays ou territoire concerné sont provisoirement traités comme des transferts de fonds effectués à l'intérieur de cet État membre, jusqu'à ce qu'une décision soit arrêtée conformément au présent article.</w:t>
      </w:r>
    </w:p>
    <w:p w:rsidR="00DF5568" w:rsidRDefault="003033A8" w:rsidP="007C7752">
      <w:pPr>
        <w:pStyle w:val="ManualNumPar1"/>
      </w:pPr>
      <w:r>
        <w:t>4.</w:t>
      </w:r>
      <w:r>
        <w:tab/>
      </w:r>
      <w:r w:rsidR="00DF5568">
        <w:t>Si</w:t>
      </w:r>
      <w:r>
        <w:t>,</w:t>
      </w:r>
      <w:r w:rsidR="00DF5568">
        <w:t xml:space="preserve"> </w:t>
      </w:r>
      <w:r>
        <w:t xml:space="preserve">dans les deux mois </w:t>
      </w:r>
      <w:r w:rsidR="006446BF">
        <w:t>à compter de</w:t>
      </w:r>
      <w:r>
        <w:t xml:space="preserve"> la réception de la demande, </w:t>
      </w:r>
      <w:r w:rsidR="00DF5568">
        <w:t>elle estime ne pas disposer de toutes les informations nécessaires pour apprécier la demande, la Commission contacte l'État membre concerné en précisant les informations supplémentaires dont elle a besoin.</w:t>
      </w:r>
    </w:p>
    <w:p w:rsidR="00DF5568" w:rsidRPr="001420ED" w:rsidRDefault="003033A8" w:rsidP="007C7752">
      <w:pPr>
        <w:pStyle w:val="ManualNumPar1"/>
      </w:pPr>
      <w:r>
        <w:t>5.</w:t>
      </w:r>
      <w:r>
        <w:tab/>
        <w:t xml:space="preserve">Dans un délai d'un mois </w:t>
      </w:r>
      <w:r w:rsidR="006446BF">
        <w:t xml:space="preserve">à compter de </w:t>
      </w:r>
      <w:r>
        <w:t xml:space="preserve">la réception </w:t>
      </w:r>
      <w:r w:rsidR="00DF5568">
        <w:t xml:space="preserve">de toutes les informations qu'elle juge nécessaires </w:t>
      </w:r>
      <w:r w:rsidR="007C7752">
        <w:t xml:space="preserve">pour apprécier la demande, la </w:t>
      </w:r>
      <w:r w:rsidR="00DF5568">
        <w:t xml:space="preserve">Commission </w:t>
      </w:r>
      <w:r w:rsidR="005821EC">
        <w:t>adresse une notification</w:t>
      </w:r>
      <w:r w:rsidR="00DF5568">
        <w:t xml:space="preserve"> à l'État membre requérant et transmet </w:t>
      </w:r>
      <w:r>
        <w:t xml:space="preserve">des copies de </w:t>
      </w:r>
      <w:r w:rsidR="00DF5568">
        <w:t>la demande aux autres États membres.</w:t>
      </w:r>
    </w:p>
    <w:p w:rsidR="00DF5568" w:rsidRPr="001420ED" w:rsidRDefault="003033A8" w:rsidP="00314FF7">
      <w:pPr>
        <w:pStyle w:val="ManualNumPar1"/>
        <w:rPr>
          <w:noProof/>
        </w:rPr>
      </w:pPr>
      <w:r>
        <w:t>6</w:t>
      </w:r>
      <w:r w:rsidR="00DF5568">
        <w:t>.</w:t>
      </w:r>
      <w:r w:rsidR="001F4331">
        <w:tab/>
      </w:r>
      <w:r w:rsidR="00DF5568">
        <w:t>Dans un délai de trois mois à compter de la notification visée au paragraphe </w:t>
      </w:r>
      <w:r>
        <w:t>5</w:t>
      </w:r>
      <w:r w:rsidR="00DF5568">
        <w:t xml:space="preserve"> du présent article, la Commission décide, conformément à l'article 23, paragraphe 2, d'autoriser ou non l'État membre concerné à conclure l'accord </w:t>
      </w:r>
      <w:r>
        <w:t>qui fait l'objet de la demande</w:t>
      </w:r>
      <w:r w:rsidR="00DF5568">
        <w:t>.</w:t>
      </w:r>
    </w:p>
    <w:p w:rsidR="00DF5568" w:rsidRPr="001420ED" w:rsidRDefault="00DF5568" w:rsidP="007C7752">
      <w:pPr>
        <w:pStyle w:val="Text1"/>
        <w:rPr>
          <w:noProof/>
        </w:rPr>
      </w:pPr>
      <w:r>
        <w:t>L</w:t>
      </w:r>
      <w:r w:rsidR="003033A8">
        <w:t xml:space="preserve">a Commission </w:t>
      </w:r>
      <w:r w:rsidR="005821EC">
        <w:t>adopte</w:t>
      </w:r>
      <w:r w:rsidR="003033A8">
        <w:t xml:space="preserve">, dans tous les cas, </w:t>
      </w:r>
      <w:r w:rsidR="0010744A">
        <w:t>une</w:t>
      </w:r>
      <w:r w:rsidRPr="0010744A">
        <w:t xml:space="preserve"> décision</w:t>
      </w:r>
      <w:r w:rsidR="003033A8" w:rsidRPr="0010744A">
        <w:t xml:space="preserve"> </w:t>
      </w:r>
      <w:r w:rsidR="0010744A">
        <w:t>telle que</w:t>
      </w:r>
      <w:r>
        <w:t xml:space="preserve"> visée au premier alinéa dans les dix-huit mois </w:t>
      </w:r>
      <w:r w:rsidR="006446BF">
        <w:t xml:space="preserve">à compter de </w:t>
      </w:r>
      <w:r>
        <w:t>la réception de la demande.</w:t>
      </w:r>
    </w:p>
    <w:p w:rsidR="00DF5568" w:rsidRPr="007C7752" w:rsidRDefault="001F4331" w:rsidP="007C7752">
      <w:pPr>
        <w:pStyle w:val="ManualNumPar1"/>
      </w:pPr>
      <w:r>
        <w:br w:type="page"/>
      </w:r>
      <w:r w:rsidR="00314FF7" w:rsidRPr="007C7752">
        <w:lastRenderedPageBreak/>
        <w:t>7</w:t>
      </w:r>
      <w:r w:rsidR="007C7752" w:rsidRPr="007C7752">
        <w:t>.</w:t>
      </w:r>
      <w:r w:rsidR="000A2334" w:rsidRPr="007C7752">
        <w:tab/>
      </w:r>
      <w:r w:rsidR="006446BF" w:rsidRPr="007C7752">
        <w:t>Au plus tard le …</w:t>
      </w:r>
      <w:r w:rsidR="006446BF" w:rsidRPr="007C7752">
        <w:rPr>
          <w:rStyle w:val="FootnoteReference"/>
          <w:bCs/>
        </w:rPr>
        <w:footnoteReference w:customMarkFollows="1" w:id="36"/>
        <w:t>*</w:t>
      </w:r>
      <w:r w:rsidR="006446BF" w:rsidRPr="007C7752">
        <w:t>, les</w:t>
      </w:r>
      <w:r w:rsidR="00DF5568" w:rsidRPr="007C7752">
        <w:t xml:space="preserve"> États membres </w:t>
      </w:r>
      <w:r w:rsidR="00082EF8" w:rsidRPr="007C7752">
        <w:t xml:space="preserve">qui ont été </w:t>
      </w:r>
      <w:r w:rsidR="00DF5568" w:rsidRPr="007C7752">
        <w:t>autorisés, en vertu de la décision d'exécution 2012/43/UE de la Commission</w:t>
      </w:r>
      <w:r w:rsidR="00314FF7" w:rsidRPr="007C7752">
        <w:rPr>
          <w:rStyle w:val="FootnoteReference"/>
          <w:bCs/>
        </w:rPr>
        <w:footnoteReference w:id="37"/>
      </w:r>
      <w:r w:rsidR="00DF5568" w:rsidRPr="007C7752">
        <w:t>, de la décision 2010/259/</w:t>
      </w:r>
      <w:r w:rsidR="00DA1E45" w:rsidRPr="007C7752">
        <w:t>U</w:t>
      </w:r>
      <w:r w:rsidR="00DF5568" w:rsidRPr="007C7752">
        <w:t>E de la Commission</w:t>
      </w:r>
      <w:r w:rsidR="00314FF7" w:rsidRPr="007C7752">
        <w:rPr>
          <w:rStyle w:val="FootnoteReference"/>
          <w:bCs/>
        </w:rPr>
        <w:footnoteReference w:id="38"/>
      </w:r>
      <w:r w:rsidR="00DF5568" w:rsidRPr="007C7752">
        <w:t>, de la décision 2009/853/CE de la Commission</w:t>
      </w:r>
      <w:r w:rsidR="00314FF7" w:rsidRPr="007C7752">
        <w:rPr>
          <w:rStyle w:val="FootnoteReference"/>
          <w:bCs/>
        </w:rPr>
        <w:footnoteReference w:id="39"/>
      </w:r>
      <w:r w:rsidR="00DF5568" w:rsidRPr="007C7752">
        <w:t xml:space="preserve"> ou de la décision 2008/982/CE de la Commission</w:t>
      </w:r>
      <w:r w:rsidR="00314FF7" w:rsidRPr="007C7752">
        <w:rPr>
          <w:rStyle w:val="FootnoteReference"/>
          <w:bCs/>
        </w:rPr>
        <w:footnoteReference w:id="40"/>
      </w:r>
      <w:r w:rsidR="00DF5568" w:rsidRPr="007C7752">
        <w:t>, à conclure des accords avec un pays ou un territoire concerné fournissent à la Commission les informations actualisées nécessaires pour</w:t>
      </w:r>
      <w:r w:rsidR="00314FF7" w:rsidRPr="007C7752">
        <w:t xml:space="preserve"> un</w:t>
      </w:r>
      <w:r w:rsidR="00082EF8" w:rsidRPr="007C7752">
        <w:t>e</w:t>
      </w:r>
      <w:r w:rsidR="00314FF7" w:rsidRPr="007C7752">
        <w:t xml:space="preserve"> </w:t>
      </w:r>
      <w:r w:rsidR="00082EF8" w:rsidRPr="007C7752">
        <w:t xml:space="preserve">appréciation de la demande </w:t>
      </w:r>
      <w:r w:rsidR="00314FF7" w:rsidRPr="007C7752">
        <w:t>en vertu d</w:t>
      </w:r>
      <w:r w:rsidR="00DF5568" w:rsidRPr="007C7752">
        <w:t xml:space="preserve">u paragraphe 1, </w:t>
      </w:r>
      <w:r w:rsidR="00314FF7" w:rsidRPr="007C7752">
        <w:t xml:space="preserve">second alinéa, </w:t>
      </w:r>
      <w:r w:rsidR="00DF5568" w:rsidRPr="007C7752">
        <w:t>point c).</w:t>
      </w:r>
    </w:p>
    <w:p w:rsidR="00DF5568" w:rsidRPr="001420ED" w:rsidRDefault="007C7752" w:rsidP="007C7752">
      <w:pPr>
        <w:pStyle w:val="Text1"/>
        <w:rPr>
          <w:noProof/>
        </w:rPr>
      </w:pPr>
      <w:r>
        <w:br w:type="page"/>
      </w:r>
      <w:r w:rsidR="00DF5568">
        <w:lastRenderedPageBreak/>
        <w:t xml:space="preserve">La Commission examine les informations fournies dans les trois mois de leur réception </w:t>
      </w:r>
      <w:r w:rsidR="00082EF8">
        <w:t xml:space="preserve">en vue de </w:t>
      </w:r>
      <w:r w:rsidR="00DF5568">
        <w:t xml:space="preserve">s'assurer que le pays ou le territoire concerné impose aux prestataires de services de paiement de son ressort l'application de règles identiques à celles qui sont instituées par le présent règlement. Si, au terme de cet examen, la Commission estime que la condition énoncée au paragraphe 1, </w:t>
      </w:r>
      <w:r w:rsidR="00AB410D">
        <w:t xml:space="preserve">second alinéa, </w:t>
      </w:r>
      <w:r w:rsidR="00DF5568">
        <w:t>point c), n'est plus remplie, elle abroge la décision de la Commission</w:t>
      </w:r>
      <w:r w:rsidR="00AB410D">
        <w:t xml:space="preserve"> ou la décision d'exécution de la Commission</w:t>
      </w:r>
      <w:r w:rsidR="00AB410D" w:rsidRPr="00AB410D">
        <w:t xml:space="preserve"> </w:t>
      </w:r>
      <w:r w:rsidR="00AB410D">
        <w:t>concernée</w:t>
      </w:r>
      <w:r w:rsidR="00DF5568">
        <w:t>.</w:t>
      </w:r>
    </w:p>
    <w:p w:rsidR="00DF5568" w:rsidRPr="001420ED" w:rsidRDefault="00DF5568" w:rsidP="0008517D">
      <w:pPr>
        <w:pStyle w:val="Titrearticle"/>
        <w:rPr>
          <w:iCs/>
          <w:noProof/>
        </w:rPr>
      </w:pPr>
      <w:r>
        <w:rPr>
          <w:noProof/>
        </w:rPr>
        <w:t>Article 2</w:t>
      </w:r>
      <w:r w:rsidR="0008517D">
        <w:rPr>
          <w:noProof/>
        </w:rPr>
        <w:t>5</w:t>
      </w:r>
      <w:r>
        <w:rPr>
          <w:iCs/>
          <w:noProof/>
        </w:rPr>
        <w:br/>
      </w:r>
      <w:r>
        <w:rPr>
          <w:noProof/>
        </w:rPr>
        <w:t>Orientations</w:t>
      </w:r>
    </w:p>
    <w:p w:rsidR="00DF5568" w:rsidRDefault="00AB410D" w:rsidP="00997EA2">
      <w:r>
        <w:t>Au plus tard le …</w:t>
      </w:r>
      <w:r>
        <w:rPr>
          <w:rStyle w:val="FootnoteReference"/>
        </w:rPr>
        <w:footnoteReference w:customMarkFollows="1" w:id="41"/>
        <w:t>*</w:t>
      </w:r>
      <w:r>
        <w:t xml:space="preserve">, les AES </w:t>
      </w:r>
      <w:r w:rsidR="00DF5568">
        <w:t>émettent</w:t>
      </w:r>
      <w:r w:rsidR="00082EF8">
        <w:t>,</w:t>
      </w:r>
      <w:r w:rsidR="00DF5568">
        <w:t xml:space="preserve"> </w:t>
      </w:r>
      <w:r w:rsidR="00082EF8">
        <w:t xml:space="preserve">conformément à l'article 16 des règlements (UE) n° 1093/2010, (UE) n° 1094/2010 et (UE) n° 1095/2010, </w:t>
      </w:r>
      <w:r w:rsidR="00DF5568">
        <w:t>des orientations à l'intention des autorités compétentes et des prestataires de services de paiement sur les mesures à prendre conformément au présent règlement, en particulier en ce qui concerne la mise en œuvre des articles 7, 8, 11 et 12.</w:t>
      </w:r>
    </w:p>
    <w:p w:rsidR="00DF5568" w:rsidRPr="00997EA2" w:rsidRDefault="00DF5568" w:rsidP="001F4331">
      <w:pPr>
        <w:pStyle w:val="ChapterTitle"/>
      </w:pPr>
      <w:r w:rsidRPr="00997EA2">
        <w:t>CHAPITRE VII</w:t>
      </w:r>
      <w:r w:rsidR="001F4331" w:rsidRPr="00997EA2">
        <w:br/>
      </w:r>
      <w:r w:rsidRPr="00997EA2">
        <w:t>DISPOSITIONS FINALES</w:t>
      </w:r>
    </w:p>
    <w:p w:rsidR="00DF5568" w:rsidRPr="001420ED" w:rsidRDefault="00DF5568" w:rsidP="0008517D">
      <w:pPr>
        <w:pStyle w:val="Titrearticle"/>
        <w:rPr>
          <w:iCs/>
          <w:noProof/>
        </w:rPr>
      </w:pPr>
      <w:r>
        <w:rPr>
          <w:noProof/>
        </w:rPr>
        <w:t>Article 2</w:t>
      </w:r>
      <w:r w:rsidR="0008517D">
        <w:rPr>
          <w:noProof/>
        </w:rPr>
        <w:t>6</w:t>
      </w:r>
      <w:r>
        <w:rPr>
          <w:iCs/>
          <w:noProof/>
        </w:rPr>
        <w:br/>
      </w:r>
      <w:r>
        <w:rPr>
          <w:noProof/>
        </w:rPr>
        <w:t>Abrogation</w:t>
      </w:r>
      <w:r w:rsidR="00AB410D">
        <w:rPr>
          <w:noProof/>
        </w:rPr>
        <w:t xml:space="preserve"> du règlement (CE) n° 1781/2006</w:t>
      </w:r>
    </w:p>
    <w:p w:rsidR="00DF5568" w:rsidRPr="001420ED" w:rsidRDefault="00DF5568" w:rsidP="001F4331">
      <w:pPr>
        <w:rPr>
          <w:noProof/>
        </w:rPr>
      </w:pPr>
      <w:r>
        <w:t>Le règlement (CE) n° 1781/2006 est abrogé.</w:t>
      </w:r>
    </w:p>
    <w:p w:rsidR="00DF5568" w:rsidRPr="001420ED" w:rsidRDefault="00997EA2" w:rsidP="00AB410D">
      <w:pPr>
        <w:rPr>
          <w:noProof/>
        </w:rPr>
      </w:pPr>
      <w:r>
        <w:br w:type="page"/>
      </w:r>
      <w:r w:rsidR="00DF5568">
        <w:lastRenderedPageBreak/>
        <w:t>Les références faites au règlement abrogé s'entendent comme faites au présent règlement et sont à lire selon le tableau de correspondance figurant à l'annexe.</w:t>
      </w:r>
    </w:p>
    <w:p w:rsidR="00DF5568" w:rsidRPr="001F4331" w:rsidRDefault="00DF5568" w:rsidP="0008517D">
      <w:pPr>
        <w:pStyle w:val="Titrearticle"/>
        <w:rPr>
          <w:noProof/>
        </w:rPr>
      </w:pPr>
      <w:r>
        <w:rPr>
          <w:noProof/>
        </w:rPr>
        <w:t>Article 2</w:t>
      </w:r>
      <w:r w:rsidR="0008517D">
        <w:rPr>
          <w:noProof/>
        </w:rPr>
        <w:t>7</w:t>
      </w:r>
      <w:r w:rsidR="001F4331" w:rsidRPr="001F4331">
        <w:rPr>
          <w:noProof/>
        </w:rPr>
        <w:br/>
      </w:r>
      <w:r>
        <w:rPr>
          <w:noProof/>
        </w:rPr>
        <w:t>Entrée en vigueur</w:t>
      </w:r>
    </w:p>
    <w:p w:rsidR="00DF5568" w:rsidRPr="001420ED" w:rsidRDefault="00DF5568" w:rsidP="001F4331">
      <w:pPr>
        <w:rPr>
          <w:noProof/>
        </w:rPr>
      </w:pPr>
      <w:r>
        <w:t xml:space="preserve">Le présent règlement entre en vigueur le vingtième jour suivant celui de sa publication au </w:t>
      </w:r>
      <w:r w:rsidRPr="00F81F47">
        <w:rPr>
          <w:i/>
          <w:iCs/>
        </w:rPr>
        <w:t>Journal officiel de l'Union européenne</w:t>
      </w:r>
      <w:r>
        <w:t>.</w:t>
      </w:r>
    </w:p>
    <w:p w:rsidR="00DF5568" w:rsidRPr="00D46334" w:rsidRDefault="00DF5568" w:rsidP="00997EA2">
      <w:pPr>
        <w:rPr>
          <w:noProof/>
        </w:rPr>
      </w:pPr>
      <w:r>
        <w:t>Il est applicable à partir du …</w:t>
      </w:r>
      <w:r w:rsidR="00997EA2">
        <w:rPr>
          <w:rStyle w:val="FootnoteReference"/>
        </w:rPr>
        <w:footnoteReference w:customMarkFollows="1" w:id="42"/>
        <w:t>*</w:t>
      </w:r>
      <w:r w:rsidR="00997EA2">
        <w:t>.</w:t>
      </w:r>
    </w:p>
    <w:p w:rsidR="00DF5568" w:rsidRDefault="00997EA2" w:rsidP="00997EA2">
      <w:pPr>
        <w:pStyle w:val="Applicationdirecte"/>
      </w:pPr>
      <w:r>
        <w:t xml:space="preserve">Le </w:t>
      </w:r>
      <w:r w:rsidR="00DF5568">
        <w:t>présent règlement est obligatoire dans tous ses éléments et directement ap</w:t>
      </w:r>
      <w:r>
        <w:t>plicable dans tout État </w:t>
      </w:r>
      <w:r w:rsidR="00DF5568">
        <w:t>membre.</w:t>
      </w:r>
    </w:p>
    <w:p w:rsidR="00AB410D" w:rsidRDefault="00AB410D" w:rsidP="00997EA2">
      <w:pPr>
        <w:pStyle w:val="Fait"/>
      </w:pPr>
      <w:r>
        <w:t xml:space="preserve">Fait à </w:t>
      </w:r>
      <w:r w:rsidR="00997EA2">
        <w:t>…,</w:t>
      </w:r>
    </w:p>
    <w:p w:rsidR="00AB410D" w:rsidRDefault="00997EA2" w:rsidP="00997EA2">
      <w:pPr>
        <w:pStyle w:val="Institutionquisigne"/>
      </w:pPr>
      <w:r>
        <w:t>Par le Parlement européen</w:t>
      </w:r>
      <w:r>
        <w:tab/>
      </w:r>
      <w:r w:rsidR="00AB410D">
        <w:t>Par le Conseil</w:t>
      </w:r>
    </w:p>
    <w:p w:rsidR="00AB410D" w:rsidRDefault="00997EA2" w:rsidP="00997EA2">
      <w:pPr>
        <w:pStyle w:val="Personnequisigne"/>
      </w:pPr>
      <w:r>
        <w:t>Le président</w:t>
      </w:r>
      <w:r>
        <w:tab/>
      </w:r>
      <w:r w:rsidR="00AB410D">
        <w:t>Le président</w:t>
      </w:r>
    </w:p>
    <w:p w:rsidR="001F4331" w:rsidRPr="001420ED" w:rsidRDefault="00997EA2" w:rsidP="00997EA2">
      <w:pPr>
        <w:pStyle w:val="Personnequisigne"/>
        <w:rPr>
          <w:noProof/>
        </w:rPr>
      </w:pPr>
      <w:r>
        <w:rPr>
          <w:noProof/>
        </w:rPr>
        <w:t>…</w:t>
      </w:r>
      <w:r>
        <w:rPr>
          <w:noProof/>
        </w:rPr>
        <w:tab/>
        <w:t>…</w:t>
      </w:r>
    </w:p>
    <w:p w:rsidR="001F4331" w:rsidRDefault="001F4331" w:rsidP="001F4331">
      <w:pPr>
        <w:pStyle w:val="Lignefinal"/>
        <w:rPr>
          <w:noProof/>
        </w:rPr>
      </w:pPr>
    </w:p>
    <w:p w:rsidR="001F4331" w:rsidRDefault="001F4331" w:rsidP="000E0951">
      <w:pPr>
        <w:pStyle w:val="Annexetitreacte"/>
        <w:rPr>
          <w:noProof/>
        </w:rPr>
        <w:sectPr w:rsidR="001F4331" w:rsidSect="00D6477B">
          <w:headerReference w:type="default" r:id="rId16"/>
          <w:footerReference w:type="first" r:id="rId17"/>
          <w:footnotePr>
            <w:numRestart w:val="eachPage"/>
          </w:footnotePr>
          <w:pgSz w:w="11907" w:h="16840" w:code="9"/>
          <w:pgMar w:top="1134" w:right="1134" w:bottom="1134" w:left="1134" w:header="567" w:footer="567" w:gutter="0"/>
          <w:cols w:space="708"/>
          <w:docGrid w:linePitch="360"/>
        </w:sectPr>
      </w:pPr>
    </w:p>
    <w:p w:rsidR="00DF5568" w:rsidRPr="001420ED" w:rsidRDefault="00DF5568" w:rsidP="000E0951">
      <w:pPr>
        <w:pStyle w:val="Annexetitreacte"/>
        <w:rPr>
          <w:noProof/>
        </w:rPr>
      </w:pPr>
      <w:r>
        <w:rPr>
          <w:noProof/>
        </w:rPr>
        <w:lastRenderedPageBreak/>
        <w:t>ANNEXE</w:t>
      </w:r>
    </w:p>
    <w:p w:rsidR="00DF5568" w:rsidRPr="001420ED" w:rsidRDefault="00DF5568" w:rsidP="00997EA2">
      <w:pPr>
        <w:pStyle w:val="NormalCentered"/>
        <w:rPr>
          <w:noProof/>
        </w:rPr>
      </w:pPr>
      <w:r>
        <w:t>Tableau de correspondance</w:t>
      </w:r>
    </w:p>
    <w:tbl>
      <w:tblPr>
        <w:tblW w:w="0" w:type="auto"/>
        <w:tblLook w:val="04A0" w:firstRow="1" w:lastRow="0" w:firstColumn="1" w:lastColumn="0" w:noHBand="0" w:noVBand="1"/>
      </w:tblPr>
      <w:tblGrid>
        <w:gridCol w:w="4924"/>
        <w:gridCol w:w="4927"/>
      </w:tblGrid>
      <w:tr w:rsidR="00DF5568" w:rsidRPr="001420ED" w:rsidTr="00997EA2">
        <w:tc>
          <w:tcPr>
            <w:tcW w:w="4924" w:type="dxa"/>
            <w:tcBorders>
              <w:top w:val="single" w:sz="4" w:space="0" w:color="auto"/>
              <w:bottom w:val="single" w:sz="4" w:space="0" w:color="auto"/>
              <w:right w:val="single" w:sz="4" w:space="0" w:color="auto"/>
            </w:tcBorders>
            <w:shd w:val="clear" w:color="auto" w:fill="auto"/>
            <w:vAlign w:val="center"/>
          </w:tcPr>
          <w:p w:rsidR="00DF5568" w:rsidRPr="001420ED" w:rsidRDefault="00DF5568" w:rsidP="00997EA2">
            <w:pPr>
              <w:spacing w:before="60" w:after="60" w:line="240" w:lineRule="auto"/>
              <w:jc w:val="center"/>
              <w:rPr>
                <w:noProof/>
              </w:rPr>
            </w:pPr>
            <w:r>
              <w:t>Règlement (CE) n° 1781/2006</w:t>
            </w:r>
          </w:p>
        </w:tc>
        <w:tc>
          <w:tcPr>
            <w:tcW w:w="4927" w:type="dxa"/>
            <w:tcBorders>
              <w:top w:val="single" w:sz="4" w:space="0" w:color="auto"/>
              <w:left w:val="single" w:sz="4" w:space="0" w:color="auto"/>
              <w:bottom w:val="single" w:sz="4" w:space="0" w:color="auto"/>
            </w:tcBorders>
            <w:shd w:val="clear" w:color="auto" w:fill="auto"/>
            <w:vAlign w:val="center"/>
          </w:tcPr>
          <w:p w:rsidR="00DF5568" w:rsidRPr="001420ED" w:rsidRDefault="00DF5568" w:rsidP="00997EA2">
            <w:pPr>
              <w:spacing w:before="60" w:after="60" w:line="240" w:lineRule="auto"/>
              <w:jc w:val="center"/>
              <w:rPr>
                <w:noProof/>
              </w:rPr>
            </w:pPr>
            <w:r>
              <w:t>Présent règlement</w:t>
            </w:r>
          </w:p>
        </w:tc>
      </w:tr>
      <w:tr w:rsidR="00DF5568" w:rsidRPr="001420ED" w:rsidTr="00997EA2">
        <w:tc>
          <w:tcPr>
            <w:tcW w:w="4924" w:type="dxa"/>
            <w:tcBorders>
              <w:top w:val="single" w:sz="4" w:space="0" w:color="auto"/>
              <w:right w:val="single" w:sz="4" w:space="0" w:color="auto"/>
            </w:tcBorders>
            <w:shd w:val="clear" w:color="auto" w:fill="auto"/>
          </w:tcPr>
          <w:p w:rsidR="00DF5568" w:rsidRPr="001420ED" w:rsidRDefault="00DF5568" w:rsidP="00997EA2">
            <w:pPr>
              <w:spacing w:before="60" w:after="60" w:line="240" w:lineRule="auto"/>
              <w:rPr>
                <w:noProof/>
              </w:rPr>
            </w:pPr>
            <w:r>
              <w:t>Article 1</w:t>
            </w:r>
            <w:r>
              <w:rPr>
                <w:vertAlign w:val="superscript"/>
              </w:rPr>
              <w:t>er</w:t>
            </w:r>
          </w:p>
        </w:tc>
        <w:tc>
          <w:tcPr>
            <w:tcW w:w="4927" w:type="dxa"/>
            <w:tcBorders>
              <w:top w:val="single" w:sz="4" w:space="0" w:color="auto"/>
              <w:left w:val="single" w:sz="4" w:space="0" w:color="auto"/>
            </w:tcBorders>
            <w:shd w:val="clear" w:color="auto" w:fill="auto"/>
          </w:tcPr>
          <w:p w:rsidR="00DF5568" w:rsidRPr="001420ED" w:rsidRDefault="00DF5568" w:rsidP="00997EA2">
            <w:pPr>
              <w:spacing w:before="60" w:after="60" w:line="240" w:lineRule="auto"/>
              <w:rPr>
                <w:noProof/>
              </w:rPr>
            </w:pPr>
            <w:r>
              <w:t>Article 1</w:t>
            </w:r>
            <w:r>
              <w:rPr>
                <w:vertAlign w:val="superscript"/>
              </w:rPr>
              <w:t>er</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2</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 xml:space="preserve">Article </w:t>
            </w:r>
            <w:r w:rsidR="0008517D">
              <w:t>3</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3</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 xml:space="preserve">Article </w:t>
            </w:r>
            <w:r w:rsidR="0008517D">
              <w:t>2</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4</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4, paragraphe 1</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5</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4</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6</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5</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 xml:space="preserve">Article 7 </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7</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8</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7</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9</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8</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10</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9</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11</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16</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 xml:space="preserve">Article 12 </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10</w:t>
            </w:r>
          </w:p>
        </w:tc>
      </w:tr>
      <w:tr w:rsidR="00DF5568" w:rsidRPr="001420ED" w:rsidTr="00997EA2">
        <w:tc>
          <w:tcPr>
            <w:tcW w:w="4924" w:type="dxa"/>
            <w:tcBorders>
              <w:right w:val="single" w:sz="4" w:space="0" w:color="auto"/>
            </w:tcBorders>
            <w:shd w:val="clear" w:color="auto" w:fill="auto"/>
          </w:tcPr>
          <w:p w:rsidR="00DF5568" w:rsidRPr="001420ED" w:rsidRDefault="00997EA2" w:rsidP="00997EA2">
            <w:pPr>
              <w:spacing w:before="60" w:after="60" w:line="240" w:lineRule="auto"/>
              <w:rPr>
                <w:noProof/>
              </w:rPr>
            </w:pPr>
            <w:r>
              <w:rPr>
                <w:noProof/>
              </w:rPr>
              <w:t>–</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11</w:t>
            </w:r>
          </w:p>
        </w:tc>
      </w:tr>
      <w:tr w:rsidR="00DF5568" w:rsidRPr="001420ED" w:rsidTr="00997EA2">
        <w:tc>
          <w:tcPr>
            <w:tcW w:w="4924" w:type="dxa"/>
            <w:tcBorders>
              <w:right w:val="single" w:sz="4" w:space="0" w:color="auto"/>
            </w:tcBorders>
            <w:shd w:val="clear" w:color="auto" w:fill="auto"/>
          </w:tcPr>
          <w:p w:rsidR="00DF5568" w:rsidRPr="001420ED" w:rsidRDefault="00997EA2" w:rsidP="00997EA2">
            <w:pPr>
              <w:spacing w:before="60" w:after="60" w:line="240" w:lineRule="auto"/>
              <w:rPr>
                <w:noProof/>
              </w:rPr>
            </w:pPr>
            <w:r>
              <w:rPr>
                <w:noProof/>
              </w:rPr>
              <w:t>–</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12</w:t>
            </w:r>
          </w:p>
        </w:tc>
      </w:tr>
      <w:tr w:rsidR="00DF5568" w:rsidRPr="001420ED" w:rsidTr="00997EA2">
        <w:tc>
          <w:tcPr>
            <w:tcW w:w="4924" w:type="dxa"/>
            <w:tcBorders>
              <w:right w:val="single" w:sz="4" w:space="0" w:color="auto"/>
            </w:tcBorders>
            <w:shd w:val="clear" w:color="auto" w:fill="auto"/>
          </w:tcPr>
          <w:p w:rsidR="00DF5568" w:rsidRPr="001420ED" w:rsidRDefault="00997EA2" w:rsidP="00997EA2">
            <w:pPr>
              <w:spacing w:before="60" w:after="60" w:line="240" w:lineRule="auto"/>
              <w:rPr>
                <w:noProof/>
              </w:rPr>
            </w:pPr>
            <w:r>
              <w:rPr>
                <w:noProof/>
              </w:rPr>
              <w:t>–</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13</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br w:type="page"/>
              <w:t>Article 13</w:t>
            </w:r>
          </w:p>
        </w:tc>
        <w:tc>
          <w:tcPr>
            <w:tcW w:w="4927" w:type="dxa"/>
            <w:tcBorders>
              <w:left w:val="single" w:sz="4" w:space="0" w:color="auto"/>
            </w:tcBorders>
            <w:shd w:val="clear" w:color="auto" w:fill="auto"/>
          </w:tcPr>
          <w:p w:rsidR="00DF5568" w:rsidRPr="001420ED" w:rsidRDefault="00997EA2" w:rsidP="00997EA2">
            <w:pPr>
              <w:spacing w:before="60" w:after="60" w:line="240" w:lineRule="auto"/>
              <w:rPr>
                <w:noProof/>
              </w:rPr>
            </w:pPr>
            <w:r>
              <w:t>–</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 xml:space="preserve">Article 14 </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15</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15</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Articles 17 à 22</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16</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23</w:t>
            </w:r>
          </w:p>
        </w:tc>
      </w:tr>
      <w:tr w:rsidR="00DF5568" w:rsidRPr="001420ED" w:rsidTr="00997EA2">
        <w:trPr>
          <w:trHeight w:val="20"/>
        </w:trPr>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17</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24</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18</w:t>
            </w:r>
          </w:p>
        </w:tc>
        <w:tc>
          <w:tcPr>
            <w:tcW w:w="4927" w:type="dxa"/>
            <w:tcBorders>
              <w:left w:val="single" w:sz="4" w:space="0" w:color="auto"/>
            </w:tcBorders>
            <w:shd w:val="clear" w:color="auto" w:fill="auto"/>
          </w:tcPr>
          <w:p w:rsidR="00DF5568" w:rsidRPr="001420ED" w:rsidRDefault="00997EA2" w:rsidP="00997EA2">
            <w:pPr>
              <w:spacing w:before="60" w:after="60" w:line="240" w:lineRule="auto"/>
              <w:rPr>
                <w:noProof/>
              </w:rPr>
            </w:pPr>
            <w:r>
              <w:t>–</w:t>
            </w:r>
          </w:p>
        </w:tc>
      </w:tr>
      <w:tr w:rsidR="00DF5568" w:rsidRPr="001420ED" w:rsidTr="00997EA2">
        <w:tc>
          <w:tcPr>
            <w:tcW w:w="4924" w:type="dxa"/>
            <w:tcBorders>
              <w:right w:val="single" w:sz="4" w:space="0" w:color="auto"/>
            </w:tcBorders>
            <w:shd w:val="clear" w:color="auto" w:fill="auto"/>
          </w:tcPr>
          <w:p w:rsidR="00DF5568" w:rsidRPr="001420ED" w:rsidRDefault="00DF5568" w:rsidP="00997EA2">
            <w:pPr>
              <w:spacing w:before="60" w:after="60" w:line="240" w:lineRule="auto"/>
              <w:rPr>
                <w:noProof/>
              </w:rPr>
            </w:pPr>
            <w:r>
              <w:t>Article 19</w:t>
            </w:r>
          </w:p>
        </w:tc>
        <w:tc>
          <w:tcPr>
            <w:tcW w:w="4927" w:type="dxa"/>
            <w:tcBorders>
              <w:left w:val="single" w:sz="4" w:space="0" w:color="auto"/>
            </w:tcBorders>
            <w:shd w:val="clear" w:color="auto" w:fill="auto"/>
          </w:tcPr>
          <w:p w:rsidR="00DF5568" w:rsidRPr="001420ED" w:rsidRDefault="00997EA2" w:rsidP="00997EA2">
            <w:pPr>
              <w:spacing w:before="60" w:after="60" w:line="240" w:lineRule="auto"/>
              <w:rPr>
                <w:noProof/>
              </w:rPr>
            </w:pPr>
            <w:r>
              <w:t>–</w:t>
            </w:r>
          </w:p>
        </w:tc>
      </w:tr>
      <w:tr w:rsidR="00DF5568" w:rsidRPr="001420ED" w:rsidTr="00997EA2">
        <w:tc>
          <w:tcPr>
            <w:tcW w:w="4924" w:type="dxa"/>
            <w:tcBorders>
              <w:right w:val="single" w:sz="4" w:space="0" w:color="auto"/>
            </w:tcBorders>
            <w:shd w:val="clear" w:color="auto" w:fill="auto"/>
          </w:tcPr>
          <w:p w:rsidR="00DF5568" w:rsidRPr="001420ED" w:rsidRDefault="00997EA2" w:rsidP="00997EA2">
            <w:pPr>
              <w:spacing w:before="60" w:after="60" w:line="240" w:lineRule="auto"/>
              <w:rPr>
                <w:noProof/>
              </w:rPr>
            </w:pPr>
            <w:r>
              <w:rPr>
                <w:noProof/>
              </w:rPr>
              <w:t>–</w:t>
            </w:r>
          </w:p>
        </w:tc>
        <w:tc>
          <w:tcPr>
            <w:tcW w:w="4927" w:type="dxa"/>
            <w:tcBorders>
              <w:left w:val="single" w:sz="4" w:space="0" w:color="auto"/>
            </w:tcBorders>
            <w:shd w:val="clear" w:color="auto" w:fill="auto"/>
          </w:tcPr>
          <w:p w:rsidR="00DF5568" w:rsidRPr="001420ED" w:rsidRDefault="00DF5568" w:rsidP="00997EA2">
            <w:pPr>
              <w:spacing w:before="60" w:after="60" w:line="240" w:lineRule="auto"/>
              <w:rPr>
                <w:noProof/>
              </w:rPr>
            </w:pPr>
            <w:r>
              <w:t>Article 2</w:t>
            </w:r>
            <w:r w:rsidR="0008517D">
              <w:t>6</w:t>
            </w:r>
          </w:p>
        </w:tc>
      </w:tr>
      <w:tr w:rsidR="00DF5568" w:rsidRPr="001420ED" w:rsidTr="00997EA2">
        <w:tc>
          <w:tcPr>
            <w:tcW w:w="4924" w:type="dxa"/>
            <w:tcBorders>
              <w:bottom w:val="single" w:sz="4" w:space="0" w:color="auto"/>
              <w:right w:val="single" w:sz="4" w:space="0" w:color="auto"/>
            </w:tcBorders>
            <w:shd w:val="clear" w:color="auto" w:fill="auto"/>
          </w:tcPr>
          <w:p w:rsidR="00DF5568" w:rsidRPr="001420ED" w:rsidRDefault="00DF5568" w:rsidP="00997EA2">
            <w:pPr>
              <w:spacing w:before="60" w:after="60" w:line="240" w:lineRule="auto"/>
              <w:rPr>
                <w:noProof/>
              </w:rPr>
            </w:pPr>
            <w:r>
              <w:t>Article 20</w:t>
            </w:r>
          </w:p>
        </w:tc>
        <w:tc>
          <w:tcPr>
            <w:tcW w:w="4927" w:type="dxa"/>
            <w:tcBorders>
              <w:left w:val="single" w:sz="4" w:space="0" w:color="auto"/>
              <w:bottom w:val="single" w:sz="4" w:space="0" w:color="auto"/>
            </w:tcBorders>
            <w:shd w:val="clear" w:color="auto" w:fill="auto"/>
          </w:tcPr>
          <w:p w:rsidR="00DF5568" w:rsidRPr="001420ED" w:rsidRDefault="00DF5568" w:rsidP="00997EA2">
            <w:pPr>
              <w:spacing w:before="60" w:after="60" w:line="240" w:lineRule="auto"/>
              <w:rPr>
                <w:noProof/>
              </w:rPr>
            </w:pPr>
            <w:r>
              <w:t>Article 2</w:t>
            </w:r>
            <w:r w:rsidR="0008517D">
              <w:t>7</w:t>
            </w:r>
          </w:p>
        </w:tc>
      </w:tr>
    </w:tbl>
    <w:p w:rsidR="00DF5568" w:rsidRPr="00D6477B" w:rsidRDefault="00DF5568" w:rsidP="000E0951">
      <w:pPr>
        <w:pStyle w:val="Lignefinal"/>
      </w:pPr>
    </w:p>
    <w:sectPr w:rsidR="00DF5568" w:rsidRPr="00D6477B" w:rsidSect="00D6477B">
      <w:headerReference w:type="default" r:id="rId18"/>
      <w:footerReference w:type="default" r:id="rId19"/>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9D" w:rsidRDefault="0018449D" w:rsidP="00B8507A">
      <w:pPr>
        <w:spacing w:before="0" w:after="0" w:line="240" w:lineRule="auto"/>
      </w:pPr>
      <w:r>
        <w:separator/>
      </w:r>
    </w:p>
  </w:endnote>
  <w:endnote w:type="continuationSeparator" w:id="0">
    <w:p w:rsidR="0018449D" w:rsidRDefault="0018449D" w:rsidP="00B850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DE" w:rsidRPr="00D6477B" w:rsidRDefault="00C34EDE" w:rsidP="00D64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77B" w:rsidRPr="0035025C" w:rsidTr="00D6477B">
      <w:trPr>
        <w:jc w:val="center"/>
      </w:trPr>
      <w:tc>
        <w:tcPr>
          <w:tcW w:w="5000" w:type="pct"/>
          <w:gridSpan w:val="7"/>
          <w:shd w:val="clear" w:color="auto" w:fill="auto"/>
          <w:tcMar>
            <w:top w:w="57" w:type="dxa"/>
          </w:tcMar>
        </w:tcPr>
        <w:p w:rsidR="00D6477B" w:rsidRPr="0035025C" w:rsidRDefault="00D6477B" w:rsidP="0035025C">
          <w:pPr>
            <w:pStyle w:val="FooterText"/>
            <w:pBdr>
              <w:top w:val="single" w:sz="4" w:space="1" w:color="auto"/>
            </w:pBdr>
            <w:spacing w:before="200"/>
            <w:rPr>
              <w:sz w:val="2"/>
              <w:szCs w:val="2"/>
            </w:rPr>
          </w:pPr>
          <w:bookmarkStart w:id="1" w:name="FOOTER_LEGACTS"/>
        </w:p>
      </w:tc>
    </w:tr>
    <w:tr w:rsidR="00D6477B" w:rsidRPr="00B310DC" w:rsidTr="00D6477B">
      <w:trPr>
        <w:jc w:val="center"/>
      </w:trPr>
      <w:tc>
        <w:tcPr>
          <w:tcW w:w="2500" w:type="pct"/>
          <w:gridSpan w:val="2"/>
          <w:shd w:val="clear" w:color="auto" w:fill="auto"/>
          <w:tcMar>
            <w:top w:w="0" w:type="dxa"/>
          </w:tcMar>
        </w:tcPr>
        <w:p w:rsidR="00D6477B" w:rsidRPr="00AD7BF2" w:rsidRDefault="00D6477B" w:rsidP="0035025C">
          <w:pPr>
            <w:pStyle w:val="FooterText"/>
          </w:pPr>
          <w:r>
            <w:t xml:space="preserve">5932/2/15 REV 2 </w:t>
          </w:r>
        </w:p>
      </w:tc>
      <w:tc>
        <w:tcPr>
          <w:tcW w:w="625" w:type="pct"/>
          <w:shd w:val="clear" w:color="auto" w:fill="auto"/>
          <w:tcMar>
            <w:top w:w="0" w:type="dxa"/>
          </w:tcMar>
        </w:tcPr>
        <w:p w:rsidR="00D6477B" w:rsidRPr="00AD7BF2" w:rsidRDefault="00D6477B" w:rsidP="0035025C">
          <w:pPr>
            <w:pStyle w:val="FooterText"/>
            <w:jc w:val="center"/>
          </w:pPr>
        </w:p>
      </w:tc>
      <w:tc>
        <w:tcPr>
          <w:tcW w:w="1287" w:type="pct"/>
          <w:gridSpan w:val="3"/>
          <w:shd w:val="clear" w:color="auto" w:fill="auto"/>
          <w:tcMar>
            <w:top w:w="0" w:type="dxa"/>
          </w:tcMar>
        </w:tcPr>
        <w:p w:rsidR="00D6477B" w:rsidRPr="002511D8" w:rsidRDefault="00D6477B" w:rsidP="0035025C">
          <w:pPr>
            <w:pStyle w:val="FooterText"/>
            <w:jc w:val="center"/>
          </w:pPr>
          <w:r>
            <w:t>EB/</w:t>
          </w:r>
          <w:proofErr w:type="spellStart"/>
          <w:r>
            <w:t>vvS</w:t>
          </w:r>
          <w:proofErr w:type="spellEnd"/>
        </w:p>
      </w:tc>
      <w:tc>
        <w:tcPr>
          <w:tcW w:w="588" w:type="pct"/>
          <w:shd w:val="clear" w:color="auto" w:fill="auto"/>
          <w:tcMar>
            <w:top w:w="0" w:type="dxa"/>
          </w:tcMar>
        </w:tcPr>
        <w:p w:rsidR="00D6477B" w:rsidRPr="00B310DC" w:rsidRDefault="00D6477B" w:rsidP="0035025C">
          <w:pPr>
            <w:pStyle w:val="FooterText"/>
            <w:jc w:val="right"/>
          </w:pPr>
          <w:r>
            <w:fldChar w:fldCharType="begin"/>
          </w:r>
          <w:r>
            <w:instrText xml:space="preserve"> PAGE  \* MERGEFORMAT </w:instrText>
          </w:r>
          <w:r>
            <w:fldChar w:fldCharType="separate"/>
          </w:r>
          <w:r w:rsidR="007039B7">
            <w:rPr>
              <w:noProof/>
            </w:rPr>
            <w:t>1</w:t>
          </w:r>
          <w:r>
            <w:fldChar w:fldCharType="end"/>
          </w:r>
        </w:p>
      </w:tc>
    </w:tr>
    <w:tr w:rsidR="00D6477B" w:rsidRPr="0035025C" w:rsidTr="00D6477B">
      <w:trPr>
        <w:jc w:val="center"/>
      </w:trPr>
      <w:tc>
        <w:tcPr>
          <w:tcW w:w="1774" w:type="pct"/>
          <w:shd w:val="clear" w:color="auto" w:fill="auto"/>
        </w:tcPr>
        <w:p w:rsidR="00D6477B" w:rsidRPr="00AD7BF2" w:rsidRDefault="00D6477B" w:rsidP="0035025C">
          <w:pPr>
            <w:pStyle w:val="FooterText"/>
            <w:spacing w:before="40"/>
          </w:pPr>
        </w:p>
      </w:tc>
      <w:tc>
        <w:tcPr>
          <w:tcW w:w="1494" w:type="pct"/>
          <w:gridSpan w:val="3"/>
          <w:shd w:val="clear" w:color="auto" w:fill="auto"/>
        </w:tcPr>
        <w:p w:rsidR="00D6477B" w:rsidRPr="00AD7BF2" w:rsidRDefault="00D6477B" w:rsidP="0035025C">
          <w:pPr>
            <w:pStyle w:val="FooterText"/>
            <w:spacing w:before="40"/>
            <w:jc w:val="center"/>
          </w:pPr>
          <w:r>
            <w:t>DGG 1B</w:t>
          </w:r>
        </w:p>
      </w:tc>
      <w:tc>
        <w:tcPr>
          <w:tcW w:w="1107" w:type="pct"/>
          <w:shd w:val="clear" w:color="auto" w:fill="auto"/>
        </w:tcPr>
        <w:p w:rsidR="00D6477B" w:rsidRPr="0035025C" w:rsidRDefault="00D6477B" w:rsidP="0035025C">
          <w:pPr>
            <w:pStyle w:val="FooterText"/>
            <w:jc w:val="right"/>
            <w:rPr>
              <w:b/>
              <w:position w:val="-4"/>
              <w:sz w:val="36"/>
            </w:rPr>
          </w:pPr>
        </w:p>
      </w:tc>
      <w:tc>
        <w:tcPr>
          <w:tcW w:w="625" w:type="pct"/>
          <w:gridSpan w:val="2"/>
          <w:shd w:val="clear" w:color="auto" w:fill="auto"/>
        </w:tcPr>
        <w:p w:rsidR="00D6477B" w:rsidRPr="0035025C" w:rsidRDefault="00D6477B" w:rsidP="0035025C">
          <w:pPr>
            <w:pStyle w:val="FooterText"/>
            <w:jc w:val="right"/>
            <w:rPr>
              <w:sz w:val="16"/>
            </w:rPr>
          </w:pPr>
          <w:r>
            <w:rPr>
              <w:b/>
              <w:position w:val="-4"/>
              <w:sz w:val="36"/>
            </w:rPr>
            <w:t>FR</w:t>
          </w:r>
        </w:p>
      </w:tc>
    </w:tr>
    <w:bookmarkEnd w:id="1"/>
  </w:tbl>
  <w:p w:rsidR="0018449D" w:rsidRPr="00D6477B" w:rsidRDefault="0018449D" w:rsidP="00D6477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77B" w:rsidRPr="0035025C" w:rsidTr="00D6477B">
      <w:trPr>
        <w:jc w:val="center"/>
      </w:trPr>
      <w:tc>
        <w:tcPr>
          <w:tcW w:w="5000" w:type="pct"/>
          <w:gridSpan w:val="7"/>
          <w:shd w:val="clear" w:color="auto" w:fill="auto"/>
          <w:tcMar>
            <w:top w:w="57" w:type="dxa"/>
          </w:tcMar>
        </w:tcPr>
        <w:p w:rsidR="00D6477B" w:rsidRPr="0035025C" w:rsidRDefault="00D6477B" w:rsidP="0035025C">
          <w:pPr>
            <w:pStyle w:val="FooterText"/>
            <w:pBdr>
              <w:top w:val="single" w:sz="4" w:space="1" w:color="auto"/>
            </w:pBdr>
            <w:spacing w:before="200"/>
            <w:rPr>
              <w:sz w:val="2"/>
              <w:szCs w:val="2"/>
            </w:rPr>
          </w:pPr>
        </w:p>
      </w:tc>
    </w:tr>
    <w:tr w:rsidR="00D6477B" w:rsidRPr="00B310DC" w:rsidTr="00D6477B">
      <w:trPr>
        <w:jc w:val="center"/>
      </w:trPr>
      <w:tc>
        <w:tcPr>
          <w:tcW w:w="2500" w:type="pct"/>
          <w:gridSpan w:val="2"/>
          <w:shd w:val="clear" w:color="auto" w:fill="auto"/>
          <w:tcMar>
            <w:top w:w="0" w:type="dxa"/>
          </w:tcMar>
        </w:tcPr>
        <w:p w:rsidR="00D6477B" w:rsidRPr="00AD7BF2" w:rsidRDefault="00D6477B" w:rsidP="0035025C">
          <w:pPr>
            <w:pStyle w:val="FooterText"/>
          </w:pPr>
          <w:r>
            <w:t xml:space="preserve">5932/2/15 REV 2 </w:t>
          </w:r>
        </w:p>
      </w:tc>
      <w:tc>
        <w:tcPr>
          <w:tcW w:w="625" w:type="pct"/>
          <w:shd w:val="clear" w:color="auto" w:fill="auto"/>
          <w:tcMar>
            <w:top w:w="0" w:type="dxa"/>
          </w:tcMar>
        </w:tcPr>
        <w:p w:rsidR="00D6477B" w:rsidRPr="00AD7BF2" w:rsidRDefault="00D6477B" w:rsidP="0035025C">
          <w:pPr>
            <w:pStyle w:val="FooterText"/>
            <w:jc w:val="center"/>
          </w:pPr>
        </w:p>
      </w:tc>
      <w:tc>
        <w:tcPr>
          <w:tcW w:w="1287" w:type="pct"/>
          <w:gridSpan w:val="3"/>
          <w:shd w:val="clear" w:color="auto" w:fill="auto"/>
          <w:tcMar>
            <w:top w:w="0" w:type="dxa"/>
          </w:tcMar>
        </w:tcPr>
        <w:p w:rsidR="00D6477B" w:rsidRPr="002511D8" w:rsidRDefault="00D6477B" w:rsidP="0035025C">
          <w:pPr>
            <w:pStyle w:val="FooterText"/>
            <w:jc w:val="center"/>
          </w:pPr>
          <w:r>
            <w:t>EB/</w:t>
          </w:r>
          <w:proofErr w:type="spellStart"/>
          <w:r>
            <w:t>vvS</w:t>
          </w:r>
          <w:proofErr w:type="spellEnd"/>
        </w:p>
      </w:tc>
      <w:tc>
        <w:tcPr>
          <w:tcW w:w="588" w:type="pct"/>
          <w:shd w:val="clear" w:color="auto" w:fill="auto"/>
          <w:tcMar>
            <w:top w:w="0" w:type="dxa"/>
          </w:tcMar>
        </w:tcPr>
        <w:p w:rsidR="00D6477B" w:rsidRPr="00B310DC" w:rsidRDefault="00D6477B" w:rsidP="0035025C">
          <w:pPr>
            <w:pStyle w:val="FooterText"/>
            <w:jc w:val="right"/>
          </w:pPr>
        </w:p>
      </w:tc>
    </w:tr>
    <w:tr w:rsidR="00D6477B" w:rsidRPr="0035025C" w:rsidTr="00D6477B">
      <w:trPr>
        <w:jc w:val="center"/>
      </w:trPr>
      <w:tc>
        <w:tcPr>
          <w:tcW w:w="1774" w:type="pct"/>
          <w:shd w:val="clear" w:color="auto" w:fill="auto"/>
        </w:tcPr>
        <w:p w:rsidR="00D6477B" w:rsidRPr="00AD7BF2" w:rsidRDefault="00D6477B" w:rsidP="0035025C">
          <w:pPr>
            <w:pStyle w:val="FooterText"/>
            <w:spacing w:before="40"/>
          </w:pPr>
        </w:p>
      </w:tc>
      <w:tc>
        <w:tcPr>
          <w:tcW w:w="1494" w:type="pct"/>
          <w:gridSpan w:val="3"/>
          <w:shd w:val="clear" w:color="auto" w:fill="auto"/>
        </w:tcPr>
        <w:p w:rsidR="00D6477B" w:rsidRPr="00AD7BF2" w:rsidRDefault="00D6477B" w:rsidP="0035025C">
          <w:pPr>
            <w:pStyle w:val="FooterText"/>
            <w:spacing w:before="40"/>
            <w:jc w:val="center"/>
          </w:pPr>
          <w:r>
            <w:t>DGG 1B</w:t>
          </w:r>
        </w:p>
      </w:tc>
      <w:tc>
        <w:tcPr>
          <w:tcW w:w="1107" w:type="pct"/>
          <w:shd w:val="clear" w:color="auto" w:fill="auto"/>
        </w:tcPr>
        <w:p w:rsidR="00D6477B" w:rsidRPr="0035025C" w:rsidRDefault="00D6477B" w:rsidP="0035025C">
          <w:pPr>
            <w:pStyle w:val="FooterText"/>
            <w:jc w:val="right"/>
            <w:rPr>
              <w:b/>
              <w:position w:val="-4"/>
              <w:sz w:val="36"/>
            </w:rPr>
          </w:pPr>
        </w:p>
      </w:tc>
      <w:tc>
        <w:tcPr>
          <w:tcW w:w="625" w:type="pct"/>
          <w:gridSpan w:val="2"/>
          <w:shd w:val="clear" w:color="auto" w:fill="auto"/>
        </w:tcPr>
        <w:p w:rsidR="00D6477B" w:rsidRPr="0035025C" w:rsidRDefault="00D6477B" w:rsidP="0035025C">
          <w:pPr>
            <w:pStyle w:val="FooterText"/>
            <w:jc w:val="right"/>
            <w:rPr>
              <w:sz w:val="16"/>
            </w:rPr>
          </w:pPr>
          <w:r>
            <w:rPr>
              <w:b/>
              <w:position w:val="-4"/>
              <w:sz w:val="36"/>
            </w:rPr>
            <w:t>FR</w:t>
          </w:r>
        </w:p>
      </w:tc>
    </w:tr>
  </w:tbl>
  <w:p w:rsidR="0018449D" w:rsidRPr="00D6477B" w:rsidRDefault="0018449D" w:rsidP="00D6477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9D" w:rsidRPr="00D6477B" w:rsidRDefault="0018449D" w:rsidP="00D647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77B" w:rsidRPr="0035025C" w:rsidTr="00D6477B">
      <w:trPr>
        <w:jc w:val="center"/>
      </w:trPr>
      <w:tc>
        <w:tcPr>
          <w:tcW w:w="5000" w:type="pct"/>
          <w:gridSpan w:val="7"/>
          <w:shd w:val="clear" w:color="auto" w:fill="auto"/>
          <w:tcMar>
            <w:top w:w="57" w:type="dxa"/>
          </w:tcMar>
        </w:tcPr>
        <w:p w:rsidR="00D6477B" w:rsidRPr="0035025C" w:rsidRDefault="00D6477B" w:rsidP="0035025C">
          <w:pPr>
            <w:pStyle w:val="FooterText"/>
            <w:pBdr>
              <w:top w:val="single" w:sz="4" w:space="1" w:color="auto"/>
            </w:pBdr>
            <w:spacing w:before="200"/>
            <w:rPr>
              <w:sz w:val="2"/>
              <w:szCs w:val="2"/>
            </w:rPr>
          </w:pPr>
        </w:p>
      </w:tc>
    </w:tr>
    <w:tr w:rsidR="00D6477B" w:rsidRPr="00B310DC" w:rsidTr="00D6477B">
      <w:trPr>
        <w:jc w:val="center"/>
      </w:trPr>
      <w:tc>
        <w:tcPr>
          <w:tcW w:w="2500" w:type="pct"/>
          <w:gridSpan w:val="2"/>
          <w:shd w:val="clear" w:color="auto" w:fill="auto"/>
          <w:tcMar>
            <w:top w:w="0" w:type="dxa"/>
          </w:tcMar>
        </w:tcPr>
        <w:p w:rsidR="00D6477B" w:rsidRPr="00AD7BF2" w:rsidRDefault="00D6477B" w:rsidP="0035025C">
          <w:pPr>
            <w:pStyle w:val="FooterText"/>
          </w:pPr>
          <w:r>
            <w:t xml:space="preserve">5932/2/15 REV 2 </w:t>
          </w:r>
        </w:p>
      </w:tc>
      <w:tc>
        <w:tcPr>
          <w:tcW w:w="625" w:type="pct"/>
          <w:shd w:val="clear" w:color="auto" w:fill="auto"/>
          <w:tcMar>
            <w:top w:w="0" w:type="dxa"/>
          </w:tcMar>
        </w:tcPr>
        <w:p w:rsidR="00D6477B" w:rsidRPr="00AD7BF2" w:rsidRDefault="00D6477B" w:rsidP="0035025C">
          <w:pPr>
            <w:pStyle w:val="FooterText"/>
            <w:jc w:val="center"/>
          </w:pPr>
        </w:p>
      </w:tc>
      <w:tc>
        <w:tcPr>
          <w:tcW w:w="1287" w:type="pct"/>
          <w:gridSpan w:val="3"/>
          <w:shd w:val="clear" w:color="auto" w:fill="auto"/>
          <w:tcMar>
            <w:top w:w="0" w:type="dxa"/>
          </w:tcMar>
        </w:tcPr>
        <w:p w:rsidR="00D6477B" w:rsidRPr="002511D8" w:rsidRDefault="00D6477B" w:rsidP="0035025C">
          <w:pPr>
            <w:pStyle w:val="FooterText"/>
            <w:jc w:val="center"/>
          </w:pPr>
          <w:r>
            <w:t>EB/</w:t>
          </w:r>
          <w:proofErr w:type="spellStart"/>
          <w:r>
            <w:t>vvS</w:t>
          </w:r>
          <w:proofErr w:type="spellEnd"/>
        </w:p>
      </w:tc>
      <w:tc>
        <w:tcPr>
          <w:tcW w:w="588" w:type="pct"/>
          <w:shd w:val="clear" w:color="auto" w:fill="auto"/>
          <w:tcMar>
            <w:top w:w="0" w:type="dxa"/>
          </w:tcMar>
        </w:tcPr>
        <w:p w:rsidR="00D6477B" w:rsidRPr="00B310DC" w:rsidRDefault="00D6477B" w:rsidP="0035025C">
          <w:pPr>
            <w:pStyle w:val="FooterText"/>
            <w:jc w:val="right"/>
          </w:pPr>
          <w:r>
            <w:fldChar w:fldCharType="begin"/>
          </w:r>
          <w:r>
            <w:instrText xml:space="preserve"> PAGE  \* MERGEFORMAT </w:instrText>
          </w:r>
          <w:r>
            <w:fldChar w:fldCharType="separate"/>
          </w:r>
          <w:r w:rsidR="007039B7">
            <w:rPr>
              <w:noProof/>
            </w:rPr>
            <w:t>1</w:t>
          </w:r>
          <w:r>
            <w:fldChar w:fldCharType="end"/>
          </w:r>
        </w:p>
      </w:tc>
    </w:tr>
    <w:tr w:rsidR="00D6477B" w:rsidRPr="0035025C" w:rsidTr="00D6477B">
      <w:trPr>
        <w:jc w:val="center"/>
      </w:trPr>
      <w:tc>
        <w:tcPr>
          <w:tcW w:w="1774" w:type="pct"/>
          <w:shd w:val="clear" w:color="auto" w:fill="auto"/>
        </w:tcPr>
        <w:p w:rsidR="00D6477B" w:rsidRPr="00AD7BF2" w:rsidRDefault="00D6477B" w:rsidP="0035025C">
          <w:pPr>
            <w:pStyle w:val="FooterText"/>
            <w:spacing w:before="40"/>
          </w:pPr>
          <w:r>
            <w:t>ANNEXE</w:t>
          </w:r>
        </w:p>
      </w:tc>
      <w:tc>
        <w:tcPr>
          <w:tcW w:w="1494" w:type="pct"/>
          <w:gridSpan w:val="3"/>
          <w:shd w:val="clear" w:color="auto" w:fill="auto"/>
        </w:tcPr>
        <w:p w:rsidR="00D6477B" w:rsidRPr="00AD7BF2" w:rsidRDefault="00D6477B" w:rsidP="0035025C">
          <w:pPr>
            <w:pStyle w:val="FooterText"/>
            <w:spacing w:before="40"/>
            <w:jc w:val="center"/>
          </w:pPr>
          <w:r>
            <w:t>DGG 1B</w:t>
          </w:r>
        </w:p>
      </w:tc>
      <w:tc>
        <w:tcPr>
          <w:tcW w:w="1107" w:type="pct"/>
          <w:shd w:val="clear" w:color="auto" w:fill="auto"/>
        </w:tcPr>
        <w:p w:rsidR="00D6477B" w:rsidRPr="0035025C" w:rsidRDefault="00D6477B" w:rsidP="0035025C">
          <w:pPr>
            <w:pStyle w:val="FooterText"/>
            <w:jc w:val="right"/>
            <w:rPr>
              <w:b/>
              <w:position w:val="-4"/>
              <w:sz w:val="36"/>
            </w:rPr>
          </w:pPr>
        </w:p>
      </w:tc>
      <w:tc>
        <w:tcPr>
          <w:tcW w:w="625" w:type="pct"/>
          <w:gridSpan w:val="2"/>
          <w:shd w:val="clear" w:color="auto" w:fill="auto"/>
        </w:tcPr>
        <w:p w:rsidR="00D6477B" w:rsidRPr="0035025C" w:rsidRDefault="00D6477B" w:rsidP="0035025C">
          <w:pPr>
            <w:pStyle w:val="FooterText"/>
            <w:jc w:val="right"/>
            <w:rPr>
              <w:sz w:val="16"/>
            </w:rPr>
          </w:pPr>
          <w:r>
            <w:rPr>
              <w:b/>
              <w:position w:val="-4"/>
              <w:sz w:val="36"/>
            </w:rPr>
            <w:t>FR</w:t>
          </w:r>
        </w:p>
      </w:tc>
    </w:tr>
  </w:tbl>
  <w:p w:rsidR="0018449D" w:rsidRPr="00D6477B" w:rsidRDefault="0018449D" w:rsidP="00D6477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9D" w:rsidRDefault="0018449D" w:rsidP="00B8507A">
      <w:pPr>
        <w:spacing w:before="0" w:after="0" w:line="240" w:lineRule="auto"/>
      </w:pPr>
      <w:r>
        <w:separator/>
      </w:r>
    </w:p>
  </w:footnote>
  <w:footnote w:type="continuationSeparator" w:id="0">
    <w:p w:rsidR="0018449D" w:rsidRDefault="0018449D" w:rsidP="00B8507A">
      <w:pPr>
        <w:spacing w:before="0" w:after="0" w:line="240" w:lineRule="auto"/>
      </w:pPr>
      <w:r>
        <w:continuationSeparator/>
      </w:r>
    </w:p>
  </w:footnote>
  <w:footnote w:id="1">
    <w:p w:rsidR="0018449D" w:rsidRDefault="0018449D">
      <w:pPr>
        <w:pStyle w:val="FootnoteText"/>
      </w:pPr>
      <w:r>
        <w:rPr>
          <w:rStyle w:val="FootnoteReference"/>
        </w:rPr>
        <w:footnoteRef/>
      </w:r>
      <w:r>
        <w:tab/>
        <w:t>JO C 166 du 12.6.2013, p. 2.</w:t>
      </w:r>
    </w:p>
  </w:footnote>
  <w:footnote w:id="2">
    <w:p w:rsidR="0018449D" w:rsidRPr="00761CE7" w:rsidRDefault="0018449D" w:rsidP="007039B7">
      <w:pPr>
        <w:pStyle w:val="FootnoteText"/>
      </w:pPr>
      <w:r>
        <w:rPr>
          <w:rStyle w:val="FootnoteReference"/>
        </w:rPr>
        <w:footnoteRef/>
      </w:r>
      <w:r>
        <w:tab/>
        <w:t xml:space="preserve">Position du Parlement européen du </w:t>
      </w:r>
      <w:r w:rsidR="00CE4F9F">
        <w:t>11 mars 2</w:t>
      </w:r>
      <w:bookmarkStart w:id="2" w:name="_GoBack"/>
      <w:bookmarkEnd w:id="2"/>
      <w:r w:rsidR="00CE4F9F">
        <w:t>014</w:t>
      </w:r>
      <w:r>
        <w:t xml:space="preserve"> </w:t>
      </w:r>
      <w:r w:rsidR="00D6477B">
        <w:t>[</w:t>
      </w:r>
      <w:r>
        <w:t>(non en</w:t>
      </w:r>
      <w:r w:rsidR="00CE4F9F">
        <w:t>core parue au Journal officiel)</w:t>
      </w:r>
      <w:r w:rsidR="00D6477B">
        <w:t>]</w:t>
      </w:r>
      <w:r>
        <w:t xml:space="preserve"> et position du Conseil en première lecture du </w:t>
      </w:r>
      <w:r w:rsidR="00CE4F9F">
        <w:t>20 avril 2015</w:t>
      </w:r>
      <w:r>
        <w:t xml:space="preserve"> </w:t>
      </w:r>
      <w:r w:rsidR="00D6477B">
        <w:t>[</w:t>
      </w:r>
      <w:r>
        <w:t>(non encore parue au Journal officiel)</w:t>
      </w:r>
      <w:r w:rsidR="00D6477B">
        <w:t>]</w:t>
      </w:r>
      <w:r w:rsidR="007039B7">
        <w:t>.</w:t>
      </w:r>
    </w:p>
  </w:footnote>
  <w:footnote w:id="3">
    <w:p w:rsidR="0018449D" w:rsidRPr="00220E9B" w:rsidRDefault="0018449D" w:rsidP="000E0951">
      <w:pPr>
        <w:pStyle w:val="FootnoteText"/>
        <w:rPr>
          <w:szCs w:val="24"/>
        </w:rPr>
      </w:pPr>
      <w:r w:rsidRPr="000E0951">
        <w:rPr>
          <w:rStyle w:val="FootnoteReference"/>
        </w:rPr>
        <w:footnoteRef/>
      </w:r>
      <w:r>
        <w:tab/>
        <w:t xml:space="preserve">Règlement (CE) n° 2580/2001 du Conseil du 27 décembre 2001 concernant l'adoption de mesures restrictives spécifiques à l'encontre de certaines personnes et entités dans le cadre de la lutte contre le </w:t>
      </w:r>
      <w:r w:rsidRPr="00A546D0">
        <w:t>terrorisme</w:t>
      </w:r>
      <w:r w:rsidRPr="00132BE9">
        <w:t xml:space="preserve"> </w:t>
      </w:r>
      <w:r w:rsidRPr="00A066E0">
        <w:t>(JO L 344 du 28.12.2001, p. 70)</w:t>
      </w:r>
      <w:r w:rsidRPr="00132BE9">
        <w:t>.</w:t>
      </w:r>
    </w:p>
  </w:footnote>
  <w:footnote w:id="4">
    <w:p w:rsidR="0018449D" w:rsidRPr="00C46C48" w:rsidRDefault="0018449D" w:rsidP="000E0951">
      <w:pPr>
        <w:pStyle w:val="FootnoteText"/>
        <w:rPr>
          <w:szCs w:val="24"/>
        </w:rPr>
      </w:pPr>
      <w:r w:rsidRPr="000E0951">
        <w:rPr>
          <w:rStyle w:val="FootnoteReference"/>
        </w:rPr>
        <w:footnoteRef/>
      </w:r>
      <w:r>
        <w:tab/>
        <w:t xml:space="preserve">Règlement (CE) n° 881/2002 du Conseil du 27 mai 2002 instituant certaines mesures restrictives spécifiques à l'encontre de certaines personnes et entités liées au réseau Al-Qaida </w:t>
      </w:r>
      <w:r w:rsidRPr="000E6D9A">
        <w:rPr>
          <w:iCs/>
        </w:rPr>
        <w:t>(JO L 139 du 29.5.2002, p. 9).</w:t>
      </w:r>
    </w:p>
  </w:footnote>
  <w:footnote w:id="5">
    <w:p w:rsidR="0018449D" w:rsidRPr="005F6501" w:rsidRDefault="0018449D" w:rsidP="000E0951">
      <w:pPr>
        <w:pStyle w:val="FootnoteText"/>
        <w:rPr>
          <w:iCs/>
          <w:szCs w:val="24"/>
        </w:rPr>
      </w:pPr>
      <w:r w:rsidRPr="000E0951">
        <w:rPr>
          <w:rStyle w:val="FootnoteReference"/>
        </w:rPr>
        <w:footnoteRef/>
      </w:r>
      <w:r>
        <w:tab/>
        <w:t xml:space="preserve">Règlement (UE) n° 356/2010 du Conseil du 26 avril 2010 instituant certaines mesures restrictives spécifiques à l'encontre de certaines personnes physiques ou morales, entités ou organismes, en raison de la situation en Somalie </w:t>
      </w:r>
      <w:r w:rsidRPr="000E6D9A">
        <w:rPr>
          <w:iCs/>
        </w:rPr>
        <w:t>(JO L 105 du 27.4.2010, p. 1).</w:t>
      </w:r>
    </w:p>
  </w:footnote>
  <w:footnote w:id="6">
    <w:p w:rsidR="0018449D" w:rsidRPr="00774FFF" w:rsidRDefault="0018449D" w:rsidP="000E0951">
      <w:pPr>
        <w:pStyle w:val="FootnoteText"/>
      </w:pPr>
      <w:r w:rsidRPr="000E0951">
        <w:rPr>
          <w:rStyle w:val="FootnoteReference"/>
        </w:rPr>
        <w:footnoteRef/>
      </w:r>
      <w:r>
        <w:tab/>
        <w:t xml:space="preserve">Directive (UE) 2015/… du Parlement européen et du Conseil du ...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w:t>
      </w:r>
      <w:r w:rsidRPr="000E6D9A">
        <w:rPr>
          <w:iCs/>
        </w:rPr>
        <w:t>(JO L ...).</w:t>
      </w:r>
    </w:p>
  </w:footnote>
  <w:footnote w:id="7">
    <w:p w:rsidR="0018449D" w:rsidRPr="00A546D0" w:rsidRDefault="0018449D" w:rsidP="00A066E0">
      <w:pPr>
        <w:pStyle w:val="FootnoteText"/>
      </w:pPr>
      <w:r>
        <w:rPr>
          <w:rStyle w:val="FootnoteReference"/>
        </w:rPr>
        <w:t>*</w:t>
      </w:r>
      <w:r>
        <w:tab/>
        <w:t>JO: veuillez insérer le numéro de la directive adoptée sur la base du dossier COD 2013/0025 et compléter la note de bas de page précédente.</w:t>
      </w:r>
    </w:p>
  </w:footnote>
  <w:footnote w:id="8">
    <w:p w:rsidR="0018449D" w:rsidRPr="005F6501" w:rsidRDefault="0018449D" w:rsidP="000E0951">
      <w:pPr>
        <w:pStyle w:val="FootnoteText"/>
        <w:rPr>
          <w:iCs/>
          <w:szCs w:val="24"/>
        </w:rPr>
      </w:pPr>
      <w:r w:rsidRPr="000E0951">
        <w:rPr>
          <w:rStyle w:val="FootnoteReference"/>
        </w:rPr>
        <w:footnoteRef/>
      </w:r>
      <w:r>
        <w:tab/>
        <w:t xml:space="preserve">Directive 95/46/CE du Parlement européen et du Conseil du 24 octobre 1995 relative à la protection des personnes physiques à l'égard du traitement des données à caractère personnel et à la libre circulation de ces données </w:t>
      </w:r>
      <w:r w:rsidRPr="00F81F47">
        <w:rPr>
          <w:iCs/>
        </w:rPr>
        <w:t>(JO L 281 du 23.11.1995, p. 31).</w:t>
      </w:r>
    </w:p>
  </w:footnote>
  <w:footnote w:id="9">
    <w:p w:rsidR="0018449D" w:rsidRPr="003813A1" w:rsidRDefault="0018449D" w:rsidP="00DF5568">
      <w:pPr>
        <w:pStyle w:val="FootnoteText"/>
      </w:pPr>
      <w:r>
        <w:rPr>
          <w:rStyle w:val="FootnoteReference"/>
        </w:rPr>
        <w:footnoteRef/>
      </w:r>
      <w:r>
        <w:tab/>
      </w:r>
      <w:r w:rsidRPr="00117491">
        <w:t>Directive 2007/64/CE du Parlement européen et du Conseil du 13 novembre 2007 concernant les services de paiement dans le marché intérieur, modifiant les directives 97/7/CE, 2002/65/CE, 2005/60/CE ainsi que 2006/48/CE et abrogeant la directive 97/5/CE</w:t>
      </w:r>
      <w:r>
        <w:t xml:space="preserve"> (</w:t>
      </w:r>
      <w:r w:rsidRPr="00117491">
        <w:t>JO L 319 du 5.12.2007, p. 1</w:t>
      </w:r>
      <w:r>
        <w:t>).</w:t>
      </w:r>
    </w:p>
  </w:footnote>
  <w:footnote w:id="10">
    <w:p w:rsidR="0018449D" w:rsidRPr="003910B8" w:rsidRDefault="0018449D" w:rsidP="00DF5568">
      <w:pPr>
        <w:pStyle w:val="FootnoteText"/>
      </w:pPr>
      <w:r>
        <w:rPr>
          <w:rStyle w:val="FootnoteReference"/>
        </w:rPr>
        <w:t>*</w:t>
      </w:r>
      <w:r>
        <w:tab/>
        <w:t>JO: veuillez insérer le numéro de la directive adoptée sur la base du dossier COD 2013/0025.</w:t>
      </w:r>
    </w:p>
  </w:footnote>
  <w:footnote w:id="11">
    <w:p w:rsidR="0018449D" w:rsidRPr="00A066E0" w:rsidRDefault="0018449D" w:rsidP="00A066E0">
      <w:pPr>
        <w:pStyle w:val="FootnoteText"/>
        <w:rPr>
          <w:lang w:val="fr-BE"/>
        </w:rPr>
      </w:pPr>
      <w:r>
        <w:rPr>
          <w:rStyle w:val="FootnoteReference"/>
        </w:rPr>
        <w:footnoteRef/>
      </w:r>
      <w:r>
        <w:tab/>
        <w:t xml:space="preserve">Règlement (CE) n° 924/2009 du Parlement européen et du Conseil du 16 septembre 2009 concernant les paiements transfrontaliers dans la Communauté et abrogeant le règlement (CE) n° 2560/2001 </w:t>
      </w:r>
      <w:r w:rsidRPr="005447D2">
        <w:rPr>
          <w:iCs/>
        </w:rPr>
        <w:t>(JO L 266 du 9.10.2009, p. 11).</w:t>
      </w:r>
    </w:p>
  </w:footnote>
  <w:footnote w:id="12">
    <w:p w:rsidR="0018449D" w:rsidRPr="00C46C48" w:rsidRDefault="0018449D" w:rsidP="000E0951">
      <w:pPr>
        <w:pStyle w:val="FootnoteText"/>
      </w:pPr>
      <w:r w:rsidRPr="000E0951">
        <w:rPr>
          <w:rStyle w:val="FootnoteReference"/>
        </w:rPr>
        <w:footnoteRef/>
      </w:r>
      <w:r>
        <w:tab/>
        <w:t xml:space="preserve">Règlement (UE) n° 260/2012 du Parlement européen et du Conseil du 14 mars 2012 établissant des exigences techniques et commerciales pour les virements et les prélèvements en euros et modifiant le règlement (CE) n° 924/2009 </w:t>
      </w:r>
      <w:r w:rsidRPr="005447D2">
        <w:rPr>
          <w:iCs/>
        </w:rPr>
        <w:t>(JO L 94 du 30.3.2012, p. 22).</w:t>
      </w:r>
    </w:p>
  </w:footnote>
  <w:footnote w:id="13">
    <w:p w:rsidR="0018449D" w:rsidRPr="003406B1" w:rsidRDefault="0018449D" w:rsidP="00DF5568">
      <w:pPr>
        <w:pStyle w:val="FootnoteText"/>
      </w:pPr>
      <w:r>
        <w:rPr>
          <w:rStyle w:val="FootnoteReference"/>
        </w:rPr>
        <w:t>*</w:t>
      </w:r>
      <w:r>
        <w:tab/>
        <w:t>JO: veuillez insérer le numéro de la directive adoptée sur la base du dossier COD 2013/0025.</w:t>
      </w:r>
    </w:p>
  </w:footnote>
  <w:footnote w:id="14">
    <w:p w:rsidR="0018449D" w:rsidRPr="005F6501" w:rsidRDefault="0018449D" w:rsidP="000E0951">
      <w:pPr>
        <w:pStyle w:val="FootnoteText"/>
        <w:rPr>
          <w:iCs/>
          <w:szCs w:val="24"/>
        </w:rPr>
      </w:pPr>
      <w:r w:rsidRPr="000E0951">
        <w:rPr>
          <w:rStyle w:val="FootnoteReference"/>
        </w:rPr>
        <w:footnoteRef/>
      </w:r>
      <w:r>
        <w:tab/>
        <w:t xml:space="preserve">Règlement (UE) n° 1093/2010 du Parlement européen et du Conseil du 24 novembre 2010 instituant une Autorité européenne de surveillance (Autorité bancaire européenne), modifiant la décision n° 716/2009/CE et abrogeant la décision 2009/78/CE de la Commission </w:t>
      </w:r>
      <w:r w:rsidRPr="00F81F47">
        <w:rPr>
          <w:iCs/>
        </w:rPr>
        <w:t>(JO L 331 du 15.12.2010, p. 12).</w:t>
      </w:r>
    </w:p>
  </w:footnote>
  <w:footnote w:id="15">
    <w:p w:rsidR="0018449D" w:rsidRPr="005F6501" w:rsidRDefault="0018449D" w:rsidP="000E0951">
      <w:pPr>
        <w:pStyle w:val="FootnoteText"/>
        <w:rPr>
          <w:iCs/>
          <w:szCs w:val="24"/>
        </w:rPr>
      </w:pPr>
      <w:r w:rsidRPr="000E0951">
        <w:rPr>
          <w:rStyle w:val="FootnoteReference"/>
        </w:rPr>
        <w:footnoteRef/>
      </w:r>
      <w:r>
        <w:tab/>
        <w:t xml:space="preserve">Règlement (UE) n° 1094/2010 du Parlement européen et du Conseil du 24 novembre 2010 instituant une Autorité européenne de surveillance (Autorité européenne des assurances et des pensions professionnelles), modifiant la décision n° 716/2009/CE et abrogeant la décision 2009/79/CE de la Commission </w:t>
      </w:r>
      <w:r w:rsidRPr="00F81F47">
        <w:rPr>
          <w:iCs/>
        </w:rPr>
        <w:t>(JO L 331 du 15.12.2010, p. 48).</w:t>
      </w:r>
    </w:p>
  </w:footnote>
  <w:footnote w:id="16">
    <w:p w:rsidR="0018449D" w:rsidRPr="005F6501" w:rsidRDefault="0018449D" w:rsidP="000E0951">
      <w:pPr>
        <w:pStyle w:val="FootnoteText"/>
        <w:rPr>
          <w:iCs/>
          <w:szCs w:val="24"/>
        </w:rPr>
      </w:pPr>
      <w:r w:rsidRPr="000E0951">
        <w:rPr>
          <w:rStyle w:val="FootnoteReference"/>
        </w:rPr>
        <w:footnoteRef/>
      </w:r>
      <w:r>
        <w:tab/>
        <w:t xml:space="preserve">Règlement (UE) n° 1095/2010 du Parlement européen et du Conseil du 24 novembre 2010 instituant une Autorité européenne de surveillance (Autorité européenne des marchés financiers), modifiant la décision n° 716/2009/CE et abrogeant la décision 2009/77/CE de la Commission </w:t>
      </w:r>
      <w:r w:rsidRPr="00F81F47">
        <w:rPr>
          <w:iCs/>
        </w:rPr>
        <w:t>(JO L 331 du 15.12.2010, p. 84).</w:t>
      </w:r>
    </w:p>
  </w:footnote>
  <w:footnote w:id="17">
    <w:p w:rsidR="0018449D" w:rsidRPr="005F6501" w:rsidRDefault="0018449D" w:rsidP="000E0951">
      <w:pPr>
        <w:pStyle w:val="FootnoteText"/>
        <w:rPr>
          <w:iCs/>
          <w:szCs w:val="24"/>
        </w:rPr>
      </w:pPr>
      <w:r w:rsidRPr="000E0951">
        <w:rPr>
          <w:rStyle w:val="FootnoteReference"/>
        </w:rPr>
        <w:footnoteRef/>
      </w:r>
      <w:r>
        <w:tab/>
        <w:t xml:space="preserve">Règlement (UE) n° 182/2011 du Parlement européen et du Conseil du 16 février 2011 établissant les règles et principes généraux relatifs aux modalités de contrôle par les États membres de l'exercice des compétences d'exécution par la Commission </w:t>
      </w:r>
      <w:r w:rsidRPr="00F81F47">
        <w:rPr>
          <w:iCs/>
        </w:rPr>
        <w:t>(JO L 55 du 28.2.2011, p. 13).</w:t>
      </w:r>
    </w:p>
  </w:footnote>
  <w:footnote w:id="18">
    <w:p w:rsidR="0018449D" w:rsidRPr="005F6501" w:rsidRDefault="0018449D" w:rsidP="000E0951">
      <w:pPr>
        <w:pStyle w:val="FootnoteText"/>
        <w:rPr>
          <w:iCs/>
          <w:szCs w:val="24"/>
        </w:rPr>
      </w:pPr>
      <w:r w:rsidRPr="000E0951">
        <w:rPr>
          <w:rStyle w:val="FootnoteReference"/>
        </w:rPr>
        <w:footnoteRef/>
      </w:r>
      <w:r>
        <w:tab/>
        <w:t xml:space="preserve">Règlement (CE) nº 1781/2006 du Parlement européen et du Conseil du 15 novembre 2006 relatif aux informations concernant le donneur d'ordre accompagnant les virements de fonds </w:t>
      </w:r>
      <w:r w:rsidRPr="00F81F47">
        <w:rPr>
          <w:iCs/>
        </w:rPr>
        <w:t>(JO L 345 du 8.12.2006, p. 1).</w:t>
      </w:r>
    </w:p>
  </w:footnote>
  <w:footnote w:id="19">
    <w:p w:rsidR="0018449D" w:rsidRPr="00A066E0" w:rsidRDefault="0018449D" w:rsidP="00A066E0">
      <w:pPr>
        <w:pStyle w:val="FootnoteText"/>
      </w:pPr>
      <w:r w:rsidRPr="00A066E0">
        <w:rPr>
          <w:rStyle w:val="FootnoteReference"/>
          <w:bCs/>
        </w:rPr>
        <w:t>*</w:t>
      </w:r>
      <w:r w:rsidRPr="00A066E0">
        <w:tab/>
        <w:t>JO: veuillez insérer le numéro de la directive adoptée sur la base du dossier COD 2013/0025.</w:t>
      </w:r>
    </w:p>
  </w:footnote>
  <w:footnote w:id="20">
    <w:p w:rsidR="0018449D" w:rsidRPr="00A066E0" w:rsidRDefault="0018449D" w:rsidP="00A066E0">
      <w:pPr>
        <w:pStyle w:val="FootnoteText"/>
      </w:pPr>
      <w:r w:rsidRPr="00A066E0">
        <w:rPr>
          <w:rStyle w:val="FootnoteReference"/>
          <w:bCs/>
        </w:rPr>
        <w:footnoteRef/>
      </w:r>
      <w:r w:rsidRPr="00A066E0">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1">
    <w:p w:rsidR="0018449D" w:rsidRPr="00A066E0" w:rsidRDefault="0018449D" w:rsidP="00A066E0">
      <w:pPr>
        <w:pStyle w:val="FootnoteText"/>
      </w:pPr>
      <w:r w:rsidRPr="00A066E0">
        <w:rPr>
          <w:rStyle w:val="FootnoteReference"/>
          <w:bCs/>
        </w:rPr>
        <w:footnoteRef/>
      </w:r>
      <w:r w:rsidRPr="00A066E0">
        <w:tab/>
        <w:t>JO C 32 du 4.2.2014, p. 9.</w:t>
      </w:r>
    </w:p>
  </w:footnote>
  <w:footnote w:id="22">
    <w:p w:rsidR="0018449D" w:rsidRPr="00A066E0" w:rsidRDefault="0018449D" w:rsidP="00A066E0">
      <w:pPr>
        <w:pStyle w:val="FootnoteText"/>
      </w:pPr>
      <w:r w:rsidRPr="00A066E0">
        <w:rPr>
          <w:rStyle w:val="FootnoteReference"/>
          <w:bCs/>
        </w:rPr>
        <w:t>*</w:t>
      </w:r>
      <w:r w:rsidRPr="00A066E0">
        <w:tab/>
        <w:t>JO: veuillez insérer le numéro de la directive adoptée sur la base du dossier COD 2013/0025.</w:t>
      </w:r>
    </w:p>
  </w:footnote>
  <w:footnote w:id="23">
    <w:p w:rsidR="00555BA8" w:rsidRPr="00555BA8" w:rsidRDefault="00555BA8">
      <w:pPr>
        <w:pStyle w:val="FootnoteText"/>
        <w:rPr>
          <w:lang w:val="fr-BE"/>
        </w:rPr>
      </w:pPr>
      <w:r>
        <w:rPr>
          <w:rStyle w:val="FootnoteReference"/>
        </w:rPr>
        <w:t>*</w:t>
      </w:r>
      <w:r>
        <w:tab/>
      </w:r>
      <w:r w:rsidRPr="00A066E0">
        <w:t>JO: veuillez insérer le numéro de la directive adoptée sur la base du dossier COD 2013/0025.</w:t>
      </w:r>
    </w:p>
  </w:footnote>
  <w:footnote w:id="24">
    <w:p w:rsidR="0018449D" w:rsidRPr="005F6501" w:rsidRDefault="0018449D" w:rsidP="000E0951">
      <w:pPr>
        <w:pStyle w:val="FootnoteText"/>
        <w:rPr>
          <w:iCs/>
        </w:rPr>
      </w:pPr>
      <w:r w:rsidRPr="000E0951">
        <w:rPr>
          <w:rStyle w:val="FootnoteReference"/>
        </w:rPr>
        <w:footnoteRef/>
      </w:r>
      <w:r>
        <w:tab/>
        <w:t xml:space="preserve">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w:t>
      </w:r>
      <w:r w:rsidRPr="00F81F47">
        <w:rPr>
          <w:iCs/>
        </w:rPr>
        <w:t>(JO L 267 du 10.10.2009, p. 7).</w:t>
      </w:r>
    </w:p>
  </w:footnote>
  <w:footnote w:id="25">
    <w:p w:rsidR="0018449D" w:rsidRPr="00555BA8" w:rsidRDefault="0018449D" w:rsidP="00555BA8">
      <w:pPr>
        <w:pStyle w:val="FootnoteText"/>
      </w:pPr>
      <w:r w:rsidRPr="00555BA8">
        <w:rPr>
          <w:rStyle w:val="FootnoteReference"/>
          <w:bCs/>
        </w:rPr>
        <w:t>*</w:t>
      </w:r>
      <w:r w:rsidRPr="00555BA8">
        <w:tab/>
        <w:t>JO: veuillez insérer le numéro de la directive adoptée sur la base du dossier COD 2013/0025.</w:t>
      </w:r>
    </w:p>
  </w:footnote>
  <w:footnote w:id="26">
    <w:p w:rsidR="0018449D" w:rsidRPr="00555BA8" w:rsidRDefault="0018449D" w:rsidP="00555BA8">
      <w:pPr>
        <w:pStyle w:val="FootnoteText"/>
      </w:pPr>
      <w:r w:rsidRPr="00555BA8">
        <w:rPr>
          <w:rStyle w:val="FootnoteReference"/>
          <w:bCs/>
        </w:rPr>
        <w:t>*</w:t>
      </w:r>
      <w:r w:rsidRPr="00555BA8">
        <w:tab/>
        <w:t>JO: veuillez insérer le numéro de la directive adoptée sur la base du dossier COD 2013/0025.</w:t>
      </w:r>
    </w:p>
  </w:footnote>
  <w:footnote w:id="27">
    <w:p w:rsidR="0018449D" w:rsidRPr="00CA3066" w:rsidRDefault="0018449D">
      <w:pPr>
        <w:pStyle w:val="FootnoteText"/>
      </w:pPr>
      <w:r>
        <w:rPr>
          <w:rStyle w:val="FootnoteReference"/>
        </w:rPr>
        <w:t>*</w:t>
      </w:r>
      <w:r>
        <w:tab/>
      </w:r>
      <w:r w:rsidRPr="00BA2895">
        <w:rPr>
          <w:bCs/>
          <w:iCs/>
        </w:rPr>
        <w:t>JO: veuillez insérer le numéro de la directive adoptée sur la base du dossier COD 2013/0025.</w:t>
      </w:r>
    </w:p>
  </w:footnote>
  <w:footnote w:id="28">
    <w:p w:rsidR="0018449D" w:rsidRPr="00BA2895" w:rsidRDefault="0018449D" w:rsidP="00BA2895">
      <w:pPr>
        <w:pStyle w:val="FootnoteText"/>
      </w:pPr>
      <w:r w:rsidRPr="00BA2895">
        <w:rPr>
          <w:rStyle w:val="FootnoteReference"/>
          <w:bCs/>
        </w:rPr>
        <w:t>*</w:t>
      </w:r>
      <w:r w:rsidRPr="00BA2895">
        <w:tab/>
        <w:t>JO: veuillez insérer le numéro de la directive adoptée sur la base du dossier COD 2013/0025.</w:t>
      </w:r>
    </w:p>
  </w:footnote>
  <w:footnote w:id="29">
    <w:p w:rsidR="0018449D" w:rsidRPr="00884D85" w:rsidRDefault="0018449D">
      <w:pPr>
        <w:pStyle w:val="FootnoteText"/>
      </w:pPr>
      <w:r>
        <w:rPr>
          <w:rStyle w:val="FootnoteReference"/>
        </w:rPr>
        <w:t>*</w:t>
      </w:r>
      <w:r>
        <w:tab/>
        <w:t>JO: veuillez insérer le numéro de la directive adoptée sur la base du COD 2013/0025.</w:t>
      </w:r>
    </w:p>
  </w:footnote>
  <w:footnote w:id="30">
    <w:p w:rsidR="0018449D" w:rsidRPr="008975B1" w:rsidRDefault="0018449D">
      <w:pPr>
        <w:pStyle w:val="FootnoteText"/>
      </w:pPr>
      <w:r>
        <w:rPr>
          <w:rStyle w:val="FootnoteReference"/>
        </w:rPr>
        <w:t>*</w:t>
      </w:r>
      <w:r>
        <w:tab/>
        <w:t>JO: veuillez insérer la date correspondant à la date d'entrée en vigueur du présent règlement.</w:t>
      </w:r>
    </w:p>
  </w:footnote>
  <w:footnote w:id="31">
    <w:p w:rsidR="0018449D" w:rsidRPr="00A477B3" w:rsidRDefault="0018449D" w:rsidP="000E0951">
      <w:pPr>
        <w:pStyle w:val="FootnoteText"/>
      </w:pPr>
      <w:r>
        <w:rPr>
          <w:rStyle w:val="FootnoteReference"/>
        </w:rPr>
        <w:t>*</w:t>
      </w:r>
      <w:r>
        <w:tab/>
      </w:r>
      <w:r w:rsidRPr="00BA2895">
        <w:rPr>
          <w:bCs/>
          <w:iCs/>
        </w:rPr>
        <w:t>JO: veuillez insérer le numéro de la directive adoptée sur la base du dossier COD 2013/0025.</w:t>
      </w:r>
    </w:p>
  </w:footnote>
  <w:footnote w:id="32">
    <w:p w:rsidR="00BA2895" w:rsidRPr="00BA2895" w:rsidRDefault="00BA2895">
      <w:pPr>
        <w:pStyle w:val="FootnoteText"/>
      </w:pPr>
      <w:r>
        <w:rPr>
          <w:rStyle w:val="FootnoteReference"/>
        </w:rPr>
        <w:t>*</w:t>
      </w:r>
      <w:r>
        <w:tab/>
        <w:t>JO: veuillez insérer la date correspondant à 24 mois après la date d'entrée en vigueur du présent règlement.</w:t>
      </w:r>
    </w:p>
  </w:footnote>
  <w:footnote w:id="33">
    <w:p w:rsidR="00BA2895" w:rsidRPr="00BA2895" w:rsidRDefault="00BA2895">
      <w:pPr>
        <w:pStyle w:val="FootnoteText"/>
      </w:pPr>
      <w:r>
        <w:rPr>
          <w:rStyle w:val="FootnoteReference"/>
        </w:rPr>
        <w:t>**</w:t>
      </w:r>
      <w:r>
        <w:tab/>
      </w:r>
      <w:r w:rsidRPr="00BA2895">
        <w:rPr>
          <w:bCs/>
          <w:iCs/>
        </w:rPr>
        <w:t>JO: veuillez insérer le numéro de la directive adoptée sur la base du dossier COD 2013/0025.</w:t>
      </w:r>
    </w:p>
  </w:footnote>
  <w:footnote w:id="34">
    <w:p w:rsidR="0018449D" w:rsidRPr="000828C2" w:rsidRDefault="0018449D">
      <w:pPr>
        <w:pStyle w:val="FootnoteText"/>
      </w:pPr>
      <w:r>
        <w:rPr>
          <w:rStyle w:val="FootnoteReference"/>
        </w:rPr>
        <w:t>*</w:t>
      </w:r>
      <w:r>
        <w:tab/>
      </w:r>
      <w:r w:rsidRPr="000828C2">
        <w:t>JO: veuillez insérer le numéro de la directive adoptée sur la base du dossier COD 2013/0025.</w:t>
      </w:r>
    </w:p>
  </w:footnote>
  <w:footnote w:id="35">
    <w:p w:rsidR="0018449D" w:rsidRPr="007F5A68" w:rsidRDefault="0018449D" w:rsidP="00DF5568">
      <w:pPr>
        <w:pStyle w:val="FootnoteText"/>
        <w:rPr>
          <w:bCs/>
          <w:iCs/>
        </w:rPr>
      </w:pPr>
      <w:r>
        <w:rPr>
          <w:rStyle w:val="FootnoteReference"/>
        </w:rPr>
        <w:t>*</w:t>
      </w:r>
      <w:r>
        <w:tab/>
      </w:r>
      <w:r w:rsidRPr="007F5A68">
        <w:rPr>
          <w:bCs/>
          <w:iCs/>
        </w:rPr>
        <w:t>JO: veuillez insérer le numéro de la directive adoptée sur la base du dossier COD 2013/0025.</w:t>
      </w:r>
    </w:p>
  </w:footnote>
  <w:footnote w:id="36">
    <w:p w:rsidR="0018449D" w:rsidRPr="008F4689" w:rsidRDefault="0018449D" w:rsidP="006446BF">
      <w:pPr>
        <w:pStyle w:val="FootnoteText"/>
        <w:rPr>
          <w:lang w:val="fr-BE"/>
        </w:rPr>
      </w:pPr>
      <w:r>
        <w:rPr>
          <w:rStyle w:val="FootnoteReference"/>
        </w:rPr>
        <w:t>*</w:t>
      </w:r>
      <w:r>
        <w:rPr>
          <w:lang w:val="fr-BE"/>
        </w:rPr>
        <w:tab/>
        <w:t xml:space="preserve">JO: veuillez insérer la date correspondant à 21 mois après </w:t>
      </w:r>
      <w:r w:rsidRPr="0010744A">
        <w:rPr>
          <w:lang w:val="fr-BE"/>
        </w:rPr>
        <w:t>la date d'entrée</w:t>
      </w:r>
      <w:r>
        <w:rPr>
          <w:lang w:val="fr-BE"/>
        </w:rPr>
        <w:t xml:space="preserve"> en vigueur de la directive adoptée sur la base du dossier COD 2013/0025.</w:t>
      </w:r>
    </w:p>
  </w:footnote>
  <w:footnote w:id="37">
    <w:p w:rsidR="0018449D" w:rsidRPr="00314FF7" w:rsidRDefault="0018449D" w:rsidP="00314FF7">
      <w:pPr>
        <w:pStyle w:val="FootnoteText"/>
      </w:pPr>
      <w:r>
        <w:rPr>
          <w:rStyle w:val="FootnoteReference"/>
        </w:rPr>
        <w:footnoteRef/>
      </w:r>
      <w:r>
        <w:tab/>
        <w:t>Décision d'exécution 2012/43/UE de la Commission du 25 janvier 2012 autorisant le Royaume de Danemark à conclure des accords avec le Groenland et les îles Féroé pour que les virements de fonds entre le Danemark et chacun de ces territoires soient traités comme des virements de fonds à l'intérieur du Danemark, co</w:t>
      </w:r>
      <w:r w:rsidR="007C7752">
        <w:t>nformément au règlement (CE) n° </w:t>
      </w:r>
      <w:r>
        <w:t>1781/2006 du Parlement européen et du Conseil (JO L 24 du 27.1.2012, p. 12).</w:t>
      </w:r>
    </w:p>
  </w:footnote>
  <w:footnote w:id="38">
    <w:p w:rsidR="0018449D" w:rsidRPr="00314FF7" w:rsidRDefault="0018449D" w:rsidP="00314FF7">
      <w:pPr>
        <w:pStyle w:val="FootnoteText"/>
      </w:pPr>
      <w:r>
        <w:rPr>
          <w:rStyle w:val="FootnoteReference"/>
        </w:rPr>
        <w:footnoteRef/>
      </w:r>
      <w:r>
        <w:tab/>
        <w:t>Décision 2010/259/UE de la Commission du 4 mai 2010 autorisant la République française à conclure un accord avec la Principauté de Monaco pour que les virements de fonds entre la République française et la Principauté de Monaco soient traités comme des virements de fonds à l'intérieur de la République française, co</w:t>
      </w:r>
      <w:r w:rsidR="007C7752">
        <w:t>nformément au règlement (CE) n° </w:t>
      </w:r>
      <w:r>
        <w:t>1781/2006 du Parlement européen et du Conseil (JO L 112 du 5.5.2010, p. 23).</w:t>
      </w:r>
    </w:p>
  </w:footnote>
  <w:footnote w:id="39">
    <w:p w:rsidR="0018449D" w:rsidRPr="00314FF7" w:rsidRDefault="0018449D" w:rsidP="00314FF7">
      <w:pPr>
        <w:pStyle w:val="FootnoteText"/>
      </w:pPr>
      <w:r>
        <w:rPr>
          <w:rStyle w:val="FootnoteReference"/>
        </w:rPr>
        <w:footnoteRef/>
      </w:r>
      <w:r>
        <w:tab/>
        <w:t>Décision 2009/853/CE de la Commission du 26 novembre 2009 autorisant la France à conclure un accord avec Saint-Pierre-et-Miquelon, Mayotte, la Nouvelle-Calédonie, la Polynésie française et Wallis-et-Futuna pour que les virements de fonds effectués entre la France et chacun de ces territoires soient traités comme des virements de fonds à l'intérieur de la France, conformément au règlement (CE) n° 1781/2006 du Parlement européen et du Conseil (JO L 312 du 27.11.2009, p. 71).</w:t>
      </w:r>
    </w:p>
  </w:footnote>
  <w:footnote w:id="40">
    <w:p w:rsidR="0018449D" w:rsidRPr="00314FF7" w:rsidRDefault="0018449D" w:rsidP="00314FF7">
      <w:pPr>
        <w:pStyle w:val="FootnoteText"/>
      </w:pPr>
      <w:r>
        <w:rPr>
          <w:rStyle w:val="FootnoteReference"/>
        </w:rPr>
        <w:footnoteRef/>
      </w:r>
      <w:r>
        <w:tab/>
        <w:t>Décision 2008/982/CE de la Commission du 8 décembre 2008 autorisant le Royaume-Uni à conclure un accord avec le bailliage de Jersey, le bailliage de Guernesey et l'île de Man pour que les virements de fonds effectués entre le Royaume-Uni et chacun de ces territoires soient traités comme des virements de fonds à l'intérieur du Royaume-Uni, conformément au règlement (CE) n° 1781/2006 du Parlement euro</w:t>
      </w:r>
      <w:r w:rsidR="007C7752">
        <w:t>péen et du Conseil (JO L 352 du </w:t>
      </w:r>
      <w:r>
        <w:t>31.12.2008, p. 34).</w:t>
      </w:r>
    </w:p>
  </w:footnote>
  <w:footnote w:id="41">
    <w:p w:rsidR="0018449D" w:rsidRPr="0090784E" w:rsidRDefault="0018449D" w:rsidP="00997EA2">
      <w:pPr>
        <w:pStyle w:val="FootnoteText"/>
        <w:rPr>
          <w:lang w:val="fr-BE"/>
        </w:rPr>
      </w:pPr>
      <w:r>
        <w:rPr>
          <w:rStyle w:val="FootnoteReference"/>
        </w:rPr>
        <w:t>*</w:t>
      </w:r>
      <w:r>
        <w:rPr>
          <w:lang w:val="fr-BE"/>
        </w:rPr>
        <w:tab/>
        <w:t>JO: veuillez insérer la date correspondant à deux ans après la date d'entrée en vigueur du présent règlement.</w:t>
      </w:r>
    </w:p>
  </w:footnote>
  <w:footnote w:id="42">
    <w:p w:rsidR="00997EA2" w:rsidRPr="00997EA2" w:rsidRDefault="00997EA2">
      <w:pPr>
        <w:pStyle w:val="FootnoteText"/>
        <w:rPr>
          <w:lang w:val="fr-BE"/>
        </w:rPr>
      </w:pPr>
      <w:r>
        <w:rPr>
          <w:rStyle w:val="FootnoteReference"/>
        </w:rPr>
        <w:t>*</w:t>
      </w:r>
      <w:r>
        <w:tab/>
      </w:r>
      <w:r w:rsidRPr="00997EA2">
        <w:t>JO: insérer la date correspondant à deux ans après la date d'entrée en vigueur de la directive adoptée sur la base du dossier COD 2013/0025.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DE" w:rsidRPr="00D6477B" w:rsidRDefault="00C34EDE" w:rsidP="00D64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DE" w:rsidRPr="00D6477B" w:rsidRDefault="00C34EDE" w:rsidP="00D6477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DE" w:rsidRPr="00D6477B" w:rsidRDefault="00C34EDE" w:rsidP="00D6477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9D" w:rsidRPr="00D6477B" w:rsidRDefault="0018449D" w:rsidP="00D647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9D" w:rsidRPr="00D6477B" w:rsidRDefault="0018449D" w:rsidP="00D6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8">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4">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6">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5">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6">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1">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3">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9"/>
  </w:num>
  <w:num w:numId="2">
    <w:abstractNumId w:val="21"/>
  </w:num>
  <w:num w:numId="3">
    <w:abstractNumId w:val="20"/>
  </w:num>
  <w:num w:numId="4">
    <w:abstractNumId w:val="22"/>
  </w:num>
  <w:num w:numId="5">
    <w:abstractNumId w:val="15"/>
  </w:num>
  <w:num w:numId="6">
    <w:abstractNumId w:val="5"/>
  </w:num>
  <w:num w:numId="7">
    <w:abstractNumId w:val="14"/>
  </w:num>
  <w:num w:numId="8">
    <w:abstractNumId w:val="12"/>
  </w:num>
  <w:num w:numId="9">
    <w:abstractNumId w:val="10"/>
  </w:num>
  <w:num w:numId="10">
    <w:abstractNumId w:val="33"/>
  </w:num>
  <w:num w:numId="11">
    <w:abstractNumId w:val="34"/>
  </w:num>
  <w:num w:numId="12">
    <w:abstractNumId w:val="16"/>
  </w:num>
  <w:num w:numId="13">
    <w:abstractNumId w:val="27"/>
  </w:num>
  <w:num w:numId="14">
    <w:abstractNumId w:val="6"/>
  </w:num>
  <w:num w:numId="15">
    <w:abstractNumId w:val="37"/>
  </w:num>
  <w:num w:numId="16">
    <w:abstractNumId w:val="11"/>
  </w:num>
  <w:num w:numId="17">
    <w:abstractNumId w:val="31"/>
  </w:num>
  <w:num w:numId="18">
    <w:abstractNumId w:val="17"/>
  </w:num>
  <w:num w:numId="19">
    <w:abstractNumId w:val="39"/>
  </w:num>
  <w:num w:numId="20">
    <w:abstractNumId w:val="2"/>
  </w:num>
  <w:num w:numId="21">
    <w:abstractNumId w:val="0"/>
  </w:num>
  <w:num w:numId="22">
    <w:abstractNumId w:val="30"/>
  </w:num>
  <w:num w:numId="23">
    <w:abstractNumId w:val="8"/>
  </w:num>
  <w:num w:numId="24">
    <w:abstractNumId w:val="18"/>
  </w:num>
  <w:num w:numId="25">
    <w:abstractNumId w:val="43"/>
  </w:num>
  <w:num w:numId="26">
    <w:abstractNumId w:val="19"/>
  </w:num>
  <w:num w:numId="27">
    <w:abstractNumId w:val="28"/>
  </w:num>
  <w:num w:numId="28">
    <w:abstractNumId w:val="26"/>
  </w:num>
  <w:num w:numId="29">
    <w:abstractNumId w:val="38"/>
  </w:num>
  <w:num w:numId="30">
    <w:abstractNumId w:val="42"/>
  </w:num>
  <w:num w:numId="31">
    <w:abstractNumId w:val="7"/>
  </w:num>
  <w:num w:numId="32">
    <w:abstractNumId w:val="23"/>
  </w:num>
  <w:num w:numId="33">
    <w:abstractNumId w:val="25"/>
  </w:num>
  <w:num w:numId="34">
    <w:abstractNumId w:val="24"/>
  </w:num>
  <w:num w:numId="35">
    <w:abstractNumId w:val="40"/>
  </w:num>
  <w:num w:numId="36">
    <w:abstractNumId w:val="9"/>
  </w:num>
  <w:num w:numId="37">
    <w:abstractNumId w:val="1"/>
  </w:num>
  <w:num w:numId="38">
    <w:abstractNumId w:val="41"/>
  </w:num>
  <w:num w:numId="39">
    <w:abstractNumId w:val="13"/>
  </w:num>
  <w:num w:numId="40">
    <w:abstractNumId w:val="4"/>
  </w:num>
  <w:num w:numId="41">
    <w:abstractNumId w:val="3"/>
  </w:num>
  <w:num w:numId="42">
    <w:abstractNumId w:val="36"/>
  </w:num>
  <w:num w:numId="43">
    <w:abstractNumId w:val="32"/>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d2ecf75f-9556-4924-a84a-f3a3becf7db3&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gt;PARLNAT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sur les informations accompagnant les transferts de fonds et abrogeant le règlement (CE) n° 1781/2006 - Adopté par le Conseil le 20 avril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FontFamily=&quot;Times New Roman&quot;&amp;gt;sur les informations accompagnant les transferts de fonds&amp;lt;/Run&amp;gt;&amp;lt;Run FontFamily=&quot;Times New Roman&quot; xml:lang=&quot;fr-be&quot; xml:space=&quot;preserve&quot;&amp;gt; &amp;lt;/Run&amp;gt;&amp;lt;Run FontFamily=&quot;Times New Roman&quot;&amp;gt;et abrogeant le règlement (CE) n° 1781/2006&amp;lt;/Run&amp;gt;&amp;lt;LineBreak /&amp;gt;&amp;lt;Run FontFamily=&quot;Times New Roman&quot; xml:lang=&quot;fr-be&quot;&amp;gt;- Adopté par le Conseil le 20 avril 201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EB/vv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VSSDB_IniPath" w:val="\\at100\user\wovo\SEILEG\vss\srcsafe.ini"/>
    <w:docVar w:name="VSSDB_ProjectPath" w:val="$/DocuWrite/DOT/DW_LEGACTS"/>
  </w:docVars>
  <w:rsids>
    <w:rsidRoot w:val="00B8507A"/>
    <w:rsid w:val="000145FE"/>
    <w:rsid w:val="0001766D"/>
    <w:rsid w:val="00024641"/>
    <w:rsid w:val="00066CEA"/>
    <w:rsid w:val="000828C2"/>
    <w:rsid w:val="00082EF8"/>
    <w:rsid w:val="0008517D"/>
    <w:rsid w:val="00087AC3"/>
    <w:rsid w:val="00091FA0"/>
    <w:rsid w:val="000A2334"/>
    <w:rsid w:val="000B14AC"/>
    <w:rsid w:val="000C3732"/>
    <w:rsid w:val="000D147E"/>
    <w:rsid w:val="000E0951"/>
    <w:rsid w:val="000E1A55"/>
    <w:rsid w:val="000E6317"/>
    <w:rsid w:val="000E6D9A"/>
    <w:rsid w:val="0010744A"/>
    <w:rsid w:val="00125B69"/>
    <w:rsid w:val="00132BE9"/>
    <w:rsid w:val="0018449D"/>
    <w:rsid w:val="001857A8"/>
    <w:rsid w:val="001A0C3B"/>
    <w:rsid w:val="001A3D24"/>
    <w:rsid w:val="001E5FAB"/>
    <w:rsid w:val="001F4331"/>
    <w:rsid w:val="00224697"/>
    <w:rsid w:val="002259F6"/>
    <w:rsid w:val="00227CEF"/>
    <w:rsid w:val="002821BD"/>
    <w:rsid w:val="002A3656"/>
    <w:rsid w:val="002D01E3"/>
    <w:rsid w:val="003033A8"/>
    <w:rsid w:val="00314FF7"/>
    <w:rsid w:val="00333DD6"/>
    <w:rsid w:val="00335C7A"/>
    <w:rsid w:val="00340D94"/>
    <w:rsid w:val="0036128D"/>
    <w:rsid w:val="00377D53"/>
    <w:rsid w:val="0039113A"/>
    <w:rsid w:val="00397556"/>
    <w:rsid w:val="003A1B24"/>
    <w:rsid w:val="003D13E1"/>
    <w:rsid w:val="00411503"/>
    <w:rsid w:val="0041513E"/>
    <w:rsid w:val="00467B5C"/>
    <w:rsid w:val="004731D7"/>
    <w:rsid w:val="0048343D"/>
    <w:rsid w:val="004A1A9B"/>
    <w:rsid w:val="00500ACC"/>
    <w:rsid w:val="00527A3F"/>
    <w:rsid w:val="005447D2"/>
    <w:rsid w:val="00555BA8"/>
    <w:rsid w:val="00556A3B"/>
    <w:rsid w:val="00575A50"/>
    <w:rsid w:val="005821EC"/>
    <w:rsid w:val="005949F4"/>
    <w:rsid w:val="005A14D1"/>
    <w:rsid w:val="005A67A2"/>
    <w:rsid w:val="005B500A"/>
    <w:rsid w:val="005C7712"/>
    <w:rsid w:val="005F6501"/>
    <w:rsid w:val="006019B7"/>
    <w:rsid w:val="00614032"/>
    <w:rsid w:val="006318C7"/>
    <w:rsid w:val="00637B7A"/>
    <w:rsid w:val="0064055D"/>
    <w:rsid w:val="0064150D"/>
    <w:rsid w:val="006446BF"/>
    <w:rsid w:val="00656509"/>
    <w:rsid w:val="00672442"/>
    <w:rsid w:val="00695110"/>
    <w:rsid w:val="006C31A1"/>
    <w:rsid w:val="006E435F"/>
    <w:rsid w:val="006F42BA"/>
    <w:rsid w:val="007039B7"/>
    <w:rsid w:val="00726227"/>
    <w:rsid w:val="00736178"/>
    <w:rsid w:val="00761CE7"/>
    <w:rsid w:val="007711A0"/>
    <w:rsid w:val="007827BA"/>
    <w:rsid w:val="00787C38"/>
    <w:rsid w:val="007A3405"/>
    <w:rsid w:val="007C7752"/>
    <w:rsid w:val="007D653D"/>
    <w:rsid w:val="007F5A68"/>
    <w:rsid w:val="00811704"/>
    <w:rsid w:val="008123C4"/>
    <w:rsid w:val="00827ED1"/>
    <w:rsid w:val="00836A29"/>
    <w:rsid w:val="00841F2A"/>
    <w:rsid w:val="00845765"/>
    <w:rsid w:val="00884D85"/>
    <w:rsid w:val="008975B1"/>
    <w:rsid w:val="008A3297"/>
    <w:rsid w:val="008A3804"/>
    <w:rsid w:val="008C4BED"/>
    <w:rsid w:val="008C640A"/>
    <w:rsid w:val="008E7D28"/>
    <w:rsid w:val="00901B83"/>
    <w:rsid w:val="00925F25"/>
    <w:rsid w:val="0093464F"/>
    <w:rsid w:val="00954A18"/>
    <w:rsid w:val="00961D11"/>
    <w:rsid w:val="00962434"/>
    <w:rsid w:val="00993E07"/>
    <w:rsid w:val="00997EA2"/>
    <w:rsid w:val="009C54B6"/>
    <w:rsid w:val="009D57A0"/>
    <w:rsid w:val="009F2E32"/>
    <w:rsid w:val="00A02127"/>
    <w:rsid w:val="00A066E0"/>
    <w:rsid w:val="00A15C24"/>
    <w:rsid w:val="00A30148"/>
    <w:rsid w:val="00A306DC"/>
    <w:rsid w:val="00A81CB9"/>
    <w:rsid w:val="00AB339A"/>
    <w:rsid w:val="00AB410D"/>
    <w:rsid w:val="00AB5D39"/>
    <w:rsid w:val="00AE32F3"/>
    <w:rsid w:val="00AF1E15"/>
    <w:rsid w:val="00AF49CB"/>
    <w:rsid w:val="00B25505"/>
    <w:rsid w:val="00B34A17"/>
    <w:rsid w:val="00B36C68"/>
    <w:rsid w:val="00B40690"/>
    <w:rsid w:val="00B619A1"/>
    <w:rsid w:val="00B639C5"/>
    <w:rsid w:val="00B80542"/>
    <w:rsid w:val="00B8507A"/>
    <w:rsid w:val="00BA2895"/>
    <w:rsid w:val="00BD5E59"/>
    <w:rsid w:val="00BF7A93"/>
    <w:rsid w:val="00C03326"/>
    <w:rsid w:val="00C21133"/>
    <w:rsid w:val="00C341E1"/>
    <w:rsid w:val="00C34EDE"/>
    <w:rsid w:val="00C368A5"/>
    <w:rsid w:val="00C41061"/>
    <w:rsid w:val="00C560F6"/>
    <w:rsid w:val="00C60F9C"/>
    <w:rsid w:val="00C731C7"/>
    <w:rsid w:val="00C77ADF"/>
    <w:rsid w:val="00C82526"/>
    <w:rsid w:val="00C873DE"/>
    <w:rsid w:val="00CA3066"/>
    <w:rsid w:val="00CB08DD"/>
    <w:rsid w:val="00CB0DDF"/>
    <w:rsid w:val="00CB10B7"/>
    <w:rsid w:val="00CC1EC1"/>
    <w:rsid w:val="00CC6FAE"/>
    <w:rsid w:val="00CD14AF"/>
    <w:rsid w:val="00CE4F9F"/>
    <w:rsid w:val="00CF4B8D"/>
    <w:rsid w:val="00D05150"/>
    <w:rsid w:val="00D07B24"/>
    <w:rsid w:val="00D160AF"/>
    <w:rsid w:val="00D30F99"/>
    <w:rsid w:val="00D40509"/>
    <w:rsid w:val="00D47313"/>
    <w:rsid w:val="00D511E3"/>
    <w:rsid w:val="00D6477B"/>
    <w:rsid w:val="00D9085B"/>
    <w:rsid w:val="00D91432"/>
    <w:rsid w:val="00DA1E45"/>
    <w:rsid w:val="00DB0E55"/>
    <w:rsid w:val="00DC56F2"/>
    <w:rsid w:val="00DE217B"/>
    <w:rsid w:val="00DE5B75"/>
    <w:rsid w:val="00DF16FD"/>
    <w:rsid w:val="00DF5568"/>
    <w:rsid w:val="00E222BD"/>
    <w:rsid w:val="00E64296"/>
    <w:rsid w:val="00E747E8"/>
    <w:rsid w:val="00E81EBA"/>
    <w:rsid w:val="00EC4E58"/>
    <w:rsid w:val="00ED0515"/>
    <w:rsid w:val="00EF51C3"/>
    <w:rsid w:val="00F16A01"/>
    <w:rsid w:val="00F37A5E"/>
    <w:rsid w:val="00F71326"/>
    <w:rsid w:val="00F71F30"/>
    <w:rsid w:val="00F81F47"/>
    <w:rsid w:val="00FE5F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B8507A"/>
    <w:pPr>
      <w:spacing w:before="0" w:after="600" w:line="240" w:lineRule="auto"/>
      <w:jc w:val="center"/>
    </w:pPr>
    <w:rPr>
      <w:b/>
      <w:caps/>
      <w:lang w:eastAsia="de-DE"/>
    </w:rPr>
  </w:style>
  <w:style w:type="paragraph" w:customStyle="1" w:styleId="Rfrenceinterne">
    <w:name w:val="Référence interne"/>
    <w:basedOn w:val="Normal"/>
    <w:next w:val="Normal"/>
    <w:rsid w:val="00B8507A"/>
    <w:pPr>
      <w:spacing w:before="0" w:after="600" w:line="240" w:lineRule="auto"/>
      <w:jc w:val="center"/>
    </w:pPr>
    <w:rPr>
      <w:b/>
      <w:lang w:eastAsia="de-DE"/>
    </w:rPr>
  </w:style>
  <w:style w:type="paragraph" w:customStyle="1" w:styleId="HeaderCouncilLarge">
    <w:name w:val="Header Council Large"/>
    <w:basedOn w:val="Normal"/>
    <w:link w:val="HeaderCouncilLargeChar"/>
    <w:rsid w:val="00B8507A"/>
    <w:pPr>
      <w:spacing w:before="0" w:after="440"/>
    </w:pPr>
    <w:rPr>
      <w:sz w:val="2"/>
    </w:rPr>
  </w:style>
  <w:style w:type="character" w:customStyle="1" w:styleId="LignefinalChar">
    <w:name w:val="Ligne final Char"/>
    <w:basedOn w:val="DefaultParagraphFont"/>
    <w:rsid w:val="00B8507A"/>
    <w:rPr>
      <w:b/>
      <w:sz w:val="24"/>
      <w:szCs w:val="24"/>
      <w:lang w:val="fr-FR" w:eastAsia="en-US"/>
    </w:rPr>
  </w:style>
  <w:style w:type="character" w:customStyle="1" w:styleId="HeaderCouncilLargeChar">
    <w:name w:val="Header Council Large Char"/>
    <w:basedOn w:val="LignefinalChar"/>
    <w:link w:val="HeaderCouncilLarge"/>
    <w:rsid w:val="00B8507A"/>
    <w:rPr>
      <w:b w:val="0"/>
      <w:sz w:val="2"/>
      <w:szCs w:val="24"/>
      <w:lang w:val="fr-FR" w:eastAsia="en-US"/>
    </w:rPr>
  </w:style>
  <w:style w:type="paragraph" w:customStyle="1" w:styleId="FooterText">
    <w:name w:val="Footer Text"/>
    <w:basedOn w:val="Normal"/>
    <w:rsid w:val="00B8507A"/>
    <w:pPr>
      <w:spacing w:before="0" w:after="0" w:line="240" w:lineRule="auto"/>
    </w:pPr>
    <w:rPr>
      <w:lang w:val="en-GB"/>
    </w:rPr>
  </w:style>
  <w:style w:type="paragraph" w:customStyle="1" w:styleId="NormalJustified">
    <w:name w:val="Normal Justified"/>
    <w:basedOn w:val="Normal"/>
    <w:rsid w:val="00DF5568"/>
    <w:pPr>
      <w:spacing w:before="200"/>
      <w:jc w:val="both"/>
    </w:pPr>
  </w:style>
  <w:style w:type="paragraph" w:customStyle="1" w:styleId="FinalLine">
    <w:name w:val="Final Line"/>
    <w:basedOn w:val="Normal"/>
    <w:next w:val="Normal"/>
    <w:rsid w:val="00DF5568"/>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DF5568"/>
    <w:pPr>
      <w:pBdr>
        <w:bottom w:val="single" w:sz="4" w:space="0" w:color="000000"/>
      </w:pBdr>
      <w:spacing w:before="360"/>
      <w:ind w:left="5868" w:right="5868"/>
      <w:jc w:val="center"/>
    </w:pPr>
    <w:rPr>
      <w:b/>
    </w:rPr>
  </w:style>
  <w:style w:type="paragraph" w:customStyle="1" w:styleId="Text5">
    <w:name w:val="Text 5"/>
    <w:basedOn w:val="Normal"/>
    <w:rsid w:val="00DF5568"/>
    <w:pPr>
      <w:ind w:left="2835"/>
      <w:outlineLvl w:val="4"/>
    </w:pPr>
  </w:style>
  <w:style w:type="paragraph" w:customStyle="1" w:styleId="Text6">
    <w:name w:val="Text 6"/>
    <w:basedOn w:val="Normal"/>
    <w:rsid w:val="00DF5568"/>
    <w:pPr>
      <w:ind w:left="3402"/>
      <w:outlineLvl w:val="5"/>
    </w:pPr>
  </w:style>
  <w:style w:type="paragraph" w:customStyle="1" w:styleId="PointManual">
    <w:name w:val="Point Manual"/>
    <w:basedOn w:val="Normal"/>
    <w:rsid w:val="00DF5568"/>
    <w:pPr>
      <w:ind w:left="567" w:hanging="567"/>
    </w:pPr>
  </w:style>
  <w:style w:type="paragraph" w:customStyle="1" w:styleId="PointManual1">
    <w:name w:val="Point Manual (1)"/>
    <w:basedOn w:val="Normal"/>
    <w:rsid w:val="00DF5568"/>
    <w:pPr>
      <w:ind w:left="1134" w:hanging="567"/>
      <w:outlineLvl w:val="0"/>
    </w:pPr>
  </w:style>
  <w:style w:type="paragraph" w:customStyle="1" w:styleId="PointManual2">
    <w:name w:val="Point Manual (2)"/>
    <w:basedOn w:val="Normal"/>
    <w:rsid w:val="00DF5568"/>
    <w:pPr>
      <w:ind w:left="1701" w:hanging="567"/>
      <w:outlineLvl w:val="1"/>
    </w:pPr>
  </w:style>
  <w:style w:type="paragraph" w:customStyle="1" w:styleId="PointManual3">
    <w:name w:val="Point Manual (3)"/>
    <w:basedOn w:val="Normal"/>
    <w:rsid w:val="00DF5568"/>
    <w:pPr>
      <w:ind w:left="2268" w:hanging="567"/>
      <w:outlineLvl w:val="2"/>
    </w:pPr>
  </w:style>
  <w:style w:type="paragraph" w:customStyle="1" w:styleId="PointManual4">
    <w:name w:val="Point Manual (4)"/>
    <w:basedOn w:val="Normal"/>
    <w:rsid w:val="00DF5568"/>
    <w:pPr>
      <w:ind w:left="2835" w:hanging="567"/>
      <w:outlineLvl w:val="3"/>
    </w:pPr>
  </w:style>
  <w:style w:type="paragraph" w:customStyle="1" w:styleId="PointDoubleManual">
    <w:name w:val="Point Double Manual"/>
    <w:basedOn w:val="Normal"/>
    <w:rsid w:val="00DF5568"/>
    <w:pPr>
      <w:tabs>
        <w:tab w:val="left" w:pos="567"/>
      </w:tabs>
      <w:ind w:left="1134" w:hanging="1134"/>
    </w:pPr>
  </w:style>
  <w:style w:type="paragraph" w:customStyle="1" w:styleId="PointDoubleManual1">
    <w:name w:val="Point Double Manual (1)"/>
    <w:basedOn w:val="Normal"/>
    <w:rsid w:val="00DF5568"/>
    <w:pPr>
      <w:tabs>
        <w:tab w:val="left" w:pos="1134"/>
      </w:tabs>
      <w:ind w:left="1701" w:hanging="1134"/>
      <w:outlineLvl w:val="0"/>
    </w:pPr>
  </w:style>
  <w:style w:type="paragraph" w:customStyle="1" w:styleId="PointDoubleManual2">
    <w:name w:val="Point Double Manual (2)"/>
    <w:basedOn w:val="Normal"/>
    <w:rsid w:val="00DF5568"/>
    <w:pPr>
      <w:tabs>
        <w:tab w:val="left" w:pos="1701"/>
      </w:tabs>
      <w:ind w:left="2268" w:hanging="1134"/>
      <w:outlineLvl w:val="1"/>
    </w:pPr>
  </w:style>
  <w:style w:type="paragraph" w:customStyle="1" w:styleId="PointDoubleManual3">
    <w:name w:val="Point Double Manual (3)"/>
    <w:basedOn w:val="Normal"/>
    <w:rsid w:val="00DF5568"/>
    <w:pPr>
      <w:tabs>
        <w:tab w:val="left" w:pos="2268"/>
      </w:tabs>
      <w:ind w:left="2835" w:hanging="1134"/>
      <w:outlineLvl w:val="2"/>
    </w:pPr>
  </w:style>
  <w:style w:type="paragraph" w:customStyle="1" w:styleId="PointDoubleManual4">
    <w:name w:val="Point Double Manual (4)"/>
    <w:basedOn w:val="Normal"/>
    <w:rsid w:val="00DF5568"/>
    <w:pPr>
      <w:tabs>
        <w:tab w:val="left" w:pos="2835"/>
      </w:tabs>
      <w:ind w:left="3402" w:hanging="1134"/>
      <w:outlineLvl w:val="3"/>
    </w:pPr>
  </w:style>
  <w:style w:type="paragraph" w:customStyle="1" w:styleId="Pointabc">
    <w:name w:val="Point abc"/>
    <w:basedOn w:val="Normal"/>
    <w:rsid w:val="00DF5568"/>
    <w:pPr>
      <w:numPr>
        <w:ilvl w:val="1"/>
        <w:numId w:val="12"/>
      </w:numPr>
    </w:pPr>
  </w:style>
  <w:style w:type="paragraph" w:customStyle="1" w:styleId="Pointabc1">
    <w:name w:val="Point abc (1)"/>
    <w:basedOn w:val="Normal"/>
    <w:rsid w:val="00DF5568"/>
    <w:pPr>
      <w:numPr>
        <w:ilvl w:val="3"/>
        <w:numId w:val="12"/>
      </w:numPr>
      <w:outlineLvl w:val="0"/>
    </w:pPr>
  </w:style>
  <w:style w:type="paragraph" w:customStyle="1" w:styleId="Pointabc2">
    <w:name w:val="Point abc (2)"/>
    <w:basedOn w:val="Normal"/>
    <w:rsid w:val="00DF5568"/>
    <w:pPr>
      <w:numPr>
        <w:ilvl w:val="5"/>
        <w:numId w:val="12"/>
      </w:numPr>
      <w:outlineLvl w:val="1"/>
    </w:pPr>
  </w:style>
  <w:style w:type="paragraph" w:customStyle="1" w:styleId="Pointabc3">
    <w:name w:val="Point abc (3)"/>
    <w:basedOn w:val="Normal"/>
    <w:rsid w:val="00DF5568"/>
    <w:pPr>
      <w:numPr>
        <w:ilvl w:val="7"/>
        <w:numId w:val="12"/>
      </w:numPr>
      <w:outlineLvl w:val="2"/>
    </w:pPr>
  </w:style>
  <w:style w:type="paragraph" w:customStyle="1" w:styleId="Pointabc4">
    <w:name w:val="Point abc (4)"/>
    <w:basedOn w:val="Normal"/>
    <w:rsid w:val="00DF5568"/>
    <w:pPr>
      <w:numPr>
        <w:ilvl w:val="8"/>
        <w:numId w:val="12"/>
      </w:numPr>
      <w:outlineLvl w:val="3"/>
    </w:pPr>
  </w:style>
  <w:style w:type="paragraph" w:customStyle="1" w:styleId="Point123">
    <w:name w:val="Point 123"/>
    <w:basedOn w:val="Normal"/>
    <w:rsid w:val="00DF5568"/>
    <w:pPr>
      <w:numPr>
        <w:numId w:val="12"/>
      </w:numPr>
    </w:pPr>
  </w:style>
  <w:style w:type="paragraph" w:customStyle="1" w:styleId="Point1231">
    <w:name w:val="Point 123 (1)"/>
    <w:basedOn w:val="Normal"/>
    <w:rsid w:val="00DF5568"/>
    <w:pPr>
      <w:numPr>
        <w:ilvl w:val="2"/>
        <w:numId w:val="12"/>
      </w:numPr>
      <w:outlineLvl w:val="0"/>
    </w:pPr>
  </w:style>
  <w:style w:type="paragraph" w:customStyle="1" w:styleId="Point1232">
    <w:name w:val="Point 123 (2)"/>
    <w:basedOn w:val="Normal"/>
    <w:rsid w:val="00DF5568"/>
    <w:pPr>
      <w:numPr>
        <w:ilvl w:val="4"/>
        <w:numId w:val="12"/>
      </w:numPr>
      <w:outlineLvl w:val="1"/>
    </w:pPr>
  </w:style>
  <w:style w:type="paragraph" w:customStyle="1" w:styleId="Point1233">
    <w:name w:val="Point 123 (3)"/>
    <w:basedOn w:val="Normal"/>
    <w:rsid w:val="00DF5568"/>
    <w:pPr>
      <w:numPr>
        <w:ilvl w:val="6"/>
        <w:numId w:val="12"/>
      </w:numPr>
      <w:outlineLvl w:val="2"/>
    </w:pPr>
  </w:style>
  <w:style w:type="paragraph" w:customStyle="1" w:styleId="Pointivx">
    <w:name w:val="Point ivx"/>
    <w:basedOn w:val="Normal"/>
    <w:rsid w:val="00DF5568"/>
    <w:pPr>
      <w:numPr>
        <w:numId w:val="13"/>
      </w:numPr>
    </w:pPr>
  </w:style>
  <w:style w:type="paragraph" w:customStyle="1" w:styleId="Pointivx1">
    <w:name w:val="Point ivx (1)"/>
    <w:basedOn w:val="Normal"/>
    <w:rsid w:val="00DF5568"/>
    <w:pPr>
      <w:numPr>
        <w:ilvl w:val="1"/>
        <w:numId w:val="13"/>
      </w:numPr>
      <w:outlineLvl w:val="0"/>
    </w:pPr>
  </w:style>
  <w:style w:type="paragraph" w:customStyle="1" w:styleId="Pointivx2">
    <w:name w:val="Point ivx (2)"/>
    <w:basedOn w:val="Normal"/>
    <w:rsid w:val="00DF5568"/>
    <w:pPr>
      <w:numPr>
        <w:ilvl w:val="2"/>
        <w:numId w:val="13"/>
      </w:numPr>
      <w:outlineLvl w:val="1"/>
    </w:pPr>
  </w:style>
  <w:style w:type="paragraph" w:customStyle="1" w:styleId="Pointivx3">
    <w:name w:val="Point ivx (3)"/>
    <w:basedOn w:val="Normal"/>
    <w:rsid w:val="00DF5568"/>
    <w:pPr>
      <w:numPr>
        <w:ilvl w:val="3"/>
        <w:numId w:val="13"/>
      </w:numPr>
      <w:outlineLvl w:val="2"/>
    </w:pPr>
  </w:style>
  <w:style w:type="paragraph" w:customStyle="1" w:styleId="Pointivx4">
    <w:name w:val="Point ivx (4)"/>
    <w:basedOn w:val="Normal"/>
    <w:rsid w:val="00DF5568"/>
    <w:pPr>
      <w:numPr>
        <w:ilvl w:val="4"/>
        <w:numId w:val="13"/>
      </w:numPr>
      <w:outlineLvl w:val="3"/>
    </w:pPr>
  </w:style>
  <w:style w:type="paragraph" w:customStyle="1" w:styleId="Bullet">
    <w:name w:val="Bullet"/>
    <w:basedOn w:val="Normal"/>
    <w:rsid w:val="00DF5568"/>
    <w:pPr>
      <w:numPr>
        <w:numId w:val="11"/>
      </w:numPr>
    </w:pPr>
  </w:style>
  <w:style w:type="paragraph" w:customStyle="1" w:styleId="Dash">
    <w:name w:val="Dash"/>
    <w:basedOn w:val="Normal"/>
    <w:rsid w:val="00DF5568"/>
    <w:pPr>
      <w:numPr>
        <w:numId w:val="1"/>
      </w:numPr>
    </w:pPr>
  </w:style>
  <w:style w:type="paragraph" w:customStyle="1" w:styleId="Dash1">
    <w:name w:val="Dash 1"/>
    <w:basedOn w:val="Normal"/>
    <w:rsid w:val="00DF5568"/>
    <w:pPr>
      <w:numPr>
        <w:numId w:val="2"/>
      </w:numPr>
      <w:outlineLvl w:val="0"/>
    </w:pPr>
  </w:style>
  <w:style w:type="paragraph" w:customStyle="1" w:styleId="Dash2">
    <w:name w:val="Dash 2"/>
    <w:basedOn w:val="Normal"/>
    <w:rsid w:val="00DF5568"/>
    <w:pPr>
      <w:numPr>
        <w:numId w:val="3"/>
      </w:numPr>
      <w:outlineLvl w:val="1"/>
    </w:pPr>
  </w:style>
  <w:style w:type="paragraph" w:customStyle="1" w:styleId="Dash3">
    <w:name w:val="Dash 3"/>
    <w:basedOn w:val="Normal"/>
    <w:rsid w:val="00DF5568"/>
    <w:pPr>
      <w:numPr>
        <w:numId w:val="4"/>
      </w:numPr>
      <w:outlineLvl w:val="2"/>
    </w:pPr>
  </w:style>
  <w:style w:type="paragraph" w:customStyle="1" w:styleId="Dash4">
    <w:name w:val="Dash 4"/>
    <w:basedOn w:val="Normal"/>
    <w:rsid w:val="00DF5568"/>
    <w:pPr>
      <w:numPr>
        <w:numId w:val="5"/>
      </w:numPr>
      <w:outlineLvl w:val="3"/>
    </w:pPr>
  </w:style>
  <w:style w:type="paragraph" w:customStyle="1" w:styleId="DashEqual">
    <w:name w:val="Dash Equal"/>
    <w:basedOn w:val="Dash"/>
    <w:rsid w:val="00DF5568"/>
    <w:pPr>
      <w:numPr>
        <w:numId w:val="6"/>
      </w:numPr>
    </w:pPr>
  </w:style>
  <w:style w:type="paragraph" w:customStyle="1" w:styleId="DashEqual1">
    <w:name w:val="Dash Equal 1"/>
    <w:basedOn w:val="Dash1"/>
    <w:rsid w:val="00DF5568"/>
    <w:pPr>
      <w:numPr>
        <w:numId w:val="7"/>
      </w:numPr>
    </w:pPr>
  </w:style>
  <w:style w:type="paragraph" w:customStyle="1" w:styleId="DashEqual2">
    <w:name w:val="Dash Equal 2"/>
    <w:basedOn w:val="Dash2"/>
    <w:rsid w:val="00DF5568"/>
    <w:pPr>
      <w:numPr>
        <w:numId w:val="8"/>
      </w:numPr>
    </w:pPr>
  </w:style>
  <w:style w:type="paragraph" w:customStyle="1" w:styleId="DashEqual3">
    <w:name w:val="Dash Equal 3"/>
    <w:basedOn w:val="Dash3"/>
    <w:rsid w:val="00DF5568"/>
    <w:pPr>
      <w:numPr>
        <w:numId w:val="9"/>
      </w:numPr>
    </w:pPr>
  </w:style>
  <w:style w:type="paragraph" w:customStyle="1" w:styleId="DashEqual4">
    <w:name w:val="Dash Equal 4"/>
    <w:basedOn w:val="Dash4"/>
    <w:rsid w:val="00DF5568"/>
    <w:pPr>
      <w:numPr>
        <w:numId w:val="10"/>
      </w:numPr>
    </w:pPr>
  </w:style>
  <w:style w:type="paragraph" w:customStyle="1" w:styleId="HeadingLeft">
    <w:name w:val="Heading Left"/>
    <w:basedOn w:val="Normal"/>
    <w:next w:val="Normal"/>
    <w:rsid w:val="00DF5568"/>
    <w:pPr>
      <w:spacing w:before="360"/>
      <w:outlineLvl w:val="0"/>
    </w:pPr>
    <w:rPr>
      <w:b/>
      <w:caps/>
      <w:u w:val="single"/>
    </w:rPr>
  </w:style>
  <w:style w:type="paragraph" w:customStyle="1" w:styleId="HeadingIVX">
    <w:name w:val="Heading IVX"/>
    <w:basedOn w:val="HeadingLeft"/>
    <w:next w:val="Normal"/>
    <w:rsid w:val="00DF5568"/>
    <w:pPr>
      <w:numPr>
        <w:numId w:val="16"/>
      </w:numPr>
    </w:pPr>
  </w:style>
  <w:style w:type="paragraph" w:customStyle="1" w:styleId="Heading123">
    <w:name w:val="Heading 123"/>
    <w:basedOn w:val="HeadingLeft"/>
    <w:next w:val="Normal"/>
    <w:rsid w:val="00DF5568"/>
    <w:pPr>
      <w:numPr>
        <w:numId w:val="15"/>
      </w:numPr>
    </w:pPr>
  </w:style>
  <w:style w:type="paragraph" w:customStyle="1" w:styleId="HeadingABC">
    <w:name w:val="Heading ABC"/>
    <w:basedOn w:val="HeadingLeft"/>
    <w:next w:val="Normal"/>
    <w:rsid w:val="00DF5568"/>
    <w:pPr>
      <w:numPr>
        <w:numId w:val="14"/>
      </w:numPr>
    </w:pPr>
  </w:style>
  <w:style w:type="paragraph" w:customStyle="1" w:styleId="HeadingCentered">
    <w:name w:val="Heading Centered"/>
    <w:basedOn w:val="HeadingLeft"/>
    <w:next w:val="Normal"/>
    <w:rsid w:val="00DF5568"/>
    <w:pPr>
      <w:jc w:val="center"/>
    </w:pPr>
  </w:style>
  <w:style w:type="paragraph" w:customStyle="1" w:styleId="Amendment">
    <w:name w:val="Amendment"/>
    <w:basedOn w:val="Normal"/>
    <w:next w:val="Normal"/>
    <w:rsid w:val="00DF5568"/>
    <w:rPr>
      <w:i/>
      <w:u w:val="single"/>
    </w:rPr>
  </w:style>
  <w:style w:type="paragraph" w:customStyle="1" w:styleId="AmendmentList">
    <w:name w:val="Amendment List"/>
    <w:basedOn w:val="Normal"/>
    <w:rsid w:val="00DF5568"/>
    <w:pPr>
      <w:ind w:left="2268" w:hanging="2268"/>
    </w:pPr>
  </w:style>
  <w:style w:type="paragraph" w:customStyle="1" w:styleId="ReplyRE">
    <w:name w:val="Reply RE"/>
    <w:basedOn w:val="Normal"/>
    <w:next w:val="Normal"/>
    <w:rsid w:val="00DF5568"/>
    <w:pPr>
      <w:spacing w:after="480" w:line="240" w:lineRule="auto"/>
      <w:contextualSpacing/>
    </w:pPr>
  </w:style>
  <w:style w:type="paragraph" w:customStyle="1" w:styleId="ReplyBold">
    <w:name w:val="Reply Bold"/>
    <w:basedOn w:val="ReplyRE"/>
    <w:next w:val="Normal"/>
    <w:rsid w:val="00DF5568"/>
    <w:rPr>
      <w:b/>
    </w:rPr>
  </w:style>
  <w:style w:type="paragraph" w:customStyle="1" w:styleId="Annex">
    <w:name w:val="Annex"/>
    <w:basedOn w:val="Normal"/>
    <w:next w:val="Normal"/>
    <w:rsid w:val="00DF5568"/>
    <w:pPr>
      <w:jc w:val="right"/>
    </w:pPr>
    <w:rPr>
      <w:b/>
      <w:u w:val="single"/>
    </w:rPr>
  </w:style>
  <w:style w:type="paragraph" w:customStyle="1" w:styleId="Sign">
    <w:name w:val="Sign"/>
    <w:basedOn w:val="Normal"/>
    <w:rsid w:val="00DF5568"/>
    <w:pPr>
      <w:tabs>
        <w:tab w:val="center" w:pos="7087"/>
      </w:tabs>
    </w:pPr>
  </w:style>
  <w:style w:type="paragraph" w:customStyle="1" w:styleId="NotDeclassified">
    <w:name w:val="Not Declassified"/>
    <w:basedOn w:val="Normal"/>
    <w:qFormat/>
    <w:rsid w:val="00DF5568"/>
    <w:rPr>
      <w:b/>
      <w:bCs/>
      <w:bdr w:val="single" w:sz="4" w:space="0" w:color="auto"/>
      <w:shd w:val="solid" w:color="CCCCCC" w:fill="CCCCCC"/>
      <w:lang w:val="de-LU"/>
    </w:rPr>
  </w:style>
  <w:style w:type="character" w:customStyle="1" w:styleId="TechnicalBlockChar">
    <w:name w:val="Technical Block Char"/>
    <w:rsid w:val="00DF5568"/>
    <w:rPr>
      <w:sz w:val="24"/>
      <w:szCs w:val="24"/>
      <w:lang w:val="fr-FR" w:eastAsia="en-US"/>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DF5568"/>
    <w:rPr>
      <w:sz w:val="24"/>
      <w:lang w:val="fr-FR" w:eastAsia="en-US"/>
    </w:rPr>
  </w:style>
  <w:style w:type="paragraph" w:styleId="ListParagraph">
    <w:name w:val="List Paragraph"/>
    <w:basedOn w:val="Normal"/>
    <w:link w:val="ListParagraphChar"/>
    <w:qFormat/>
    <w:rsid w:val="00DF5568"/>
    <w:pPr>
      <w:spacing w:before="0" w:after="0" w:line="240" w:lineRule="auto"/>
      <w:ind w:left="720"/>
    </w:pPr>
    <w:rPr>
      <w:sz w:val="22"/>
      <w:szCs w:val="22"/>
      <w:lang w:val="en-US"/>
    </w:rPr>
  </w:style>
  <w:style w:type="character" w:customStyle="1" w:styleId="ListParagraphChar">
    <w:name w:val="List Paragraph Char"/>
    <w:link w:val="ListParagraph"/>
    <w:rsid w:val="00DF5568"/>
    <w:rPr>
      <w:sz w:val="22"/>
      <w:szCs w:val="22"/>
      <w:lang w:val="en-US" w:eastAsia="en-US"/>
    </w:rPr>
  </w:style>
  <w:style w:type="paragraph" w:customStyle="1" w:styleId="Normal6">
    <w:name w:val="Normal6"/>
    <w:basedOn w:val="Normal"/>
    <w:link w:val="Normal6Char"/>
    <w:rsid w:val="00DF5568"/>
    <w:pPr>
      <w:widowControl w:val="0"/>
      <w:spacing w:before="0" w:line="240" w:lineRule="auto"/>
    </w:pPr>
    <w:rPr>
      <w:szCs w:val="20"/>
      <w:lang w:eastAsia="en-GB"/>
    </w:rPr>
  </w:style>
  <w:style w:type="character" w:customStyle="1" w:styleId="Normal6Char">
    <w:name w:val="Normal6 Char"/>
    <w:link w:val="Normal6"/>
    <w:rsid w:val="00DF5568"/>
    <w:rPr>
      <w:sz w:val="24"/>
      <w:lang w:val="fr-FR" w:eastAsia="en-GB"/>
    </w:rPr>
  </w:style>
  <w:style w:type="character" w:styleId="Strong">
    <w:name w:val="Strong"/>
    <w:uiPriority w:val="22"/>
    <w:qFormat/>
    <w:rsid w:val="00DF5568"/>
    <w:rPr>
      <w:rFonts w:cs="Times New Roman"/>
      <w:b/>
      <w:bCs/>
      <w:shd w:val="clear" w:color="auto" w:fill="auto"/>
    </w:rPr>
  </w:style>
  <w:style w:type="character" w:customStyle="1" w:styleId="Heading1Char">
    <w:name w:val="Heading 1 Char"/>
    <w:rsid w:val="00DF5568"/>
    <w:rPr>
      <w:b/>
      <w:bCs/>
      <w:smallCaps/>
      <w:sz w:val="24"/>
      <w:szCs w:val="32"/>
      <w:lang w:val="fr-FR" w:eastAsia="en-US"/>
    </w:rPr>
  </w:style>
  <w:style w:type="character" w:customStyle="1" w:styleId="Heading2Char">
    <w:name w:val="Heading 2 Char"/>
    <w:rsid w:val="00DF5568"/>
    <w:rPr>
      <w:b/>
      <w:bCs/>
      <w:iCs/>
      <w:sz w:val="24"/>
      <w:szCs w:val="28"/>
      <w:lang w:val="fr-FR" w:eastAsia="en-US"/>
    </w:rPr>
  </w:style>
  <w:style w:type="character" w:customStyle="1" w:styleId="Heading3Char">
    <w:name w:val="Heading 3 Char"/>
    <w:rsid w:val="00DF5568"/>
    <w:rPr>
      <w:bCs/>
      <w:i/>
      <w:sz w:val="24"/>
      <w:szCs w:val="26"/>
      <w:lang w:val="fr-FR" w:eastAsia="en-US"/>
    </w:rPr>
  </w:style>
  <w:style w:type="character" w:customStyle="1" w:styleId="Heading4Char">
    <w:name w:val="Heading 4 Char"/>
    <w:rsid w:val="00DF5568"/>
    <w:rPr>
      <w:bCs/>
      <w:sz w:val="24"/>
      <w:szCs w:val="28"/>
      <w:lang w:val="fr-FR" w:eastAsia="en-US"/>
    </w:rPr>
  </w:style>
  <w:style w:type="character" w:customStyle="1" w:styleId="HeaderChar">
    <w:name w:val="Header Char"/>
    <w:rsid w:val="00DF5568"/>
    <w:rPr>
      <w:sz w:val="24"/>
      <w:szCs w:val="24"/>
      <w:lang w:val="fr-FR" w:eastAsia="en-US"/>
    </w:rPr>
  </w:style>
  <w:style w:type="character" w:customStyle="1" w:styleId="FooterChar">
    <w:name w:val="Footer Char"/>
    <w:uiPriority w:val="99"/>
    <w:rsid w:val="00DF5568"/>
    <w:rPr>
      <w:sz w:val="24"/>
      <w:szCs w:val="24"/>
      <w:lang w:val="fr-FR" w:eastAsia="en-US"/>
    </w:rPr>
  </w:style>
  <w:style w:type="paragraph" w:customStyle="1" w:styleId="CM2">
    <w:name w:val="CM2"/>
    <w:basedOn w:val="Normal"/>
    <w:next w:val="Normal"/>
    <w:rsid w:val="00DF5568"/>
    <w:pPr>
      <w:widowControl w:val="0"/>
      <w:autoSpaceDE w:val="0"/>
      <w:autoSpaceDN w:val="0"/>
      <w:adjustRightInd w:val="0"/>
      <w:spacing w:before="0" w:after="0" w:line="276" w:lineRule="atLeast"/>
    </w:pPr>
    <w:rPr>
      <w:rFonts w:ascii="Arial" w:hAnsi="Arial"/>
      <w:lang w:eastAsia="en-GB"/>
    </w:rPr>
  </w:style>
  <w:style w:type="character" w:customStyle="1" w:styleId="Added">
    <w:name w:val="Added"/>
    <w:rsid w:val="00DF5568"/>
    <w:rPr>
      <w:rFonts w:cs="Times New Roman"/>
      <w:b/>
      <w:u w:val="single"/>
      <w:shd w:val="clear" w:color="auto" w:fill="auto"/>
    </w:rPr>
  </w:style>
  <w:style w:type="character" w:styleId="CommentReference">
    <w:name w:val="annotation reference"/>
    <w:rsid w:val="00DF5568"/>
    <w:rPr>
      <w:rFonts w:cs="Times New Roman"/>
      <w:sz w:val="16"/>
      <w:szCs w:val="16"/>
      <w:shd w:val="clear" w:color="auto" w:fill="auto"/>
    </w:rPr>
  </w:style>
  <w:style w:type="character" w:styleId="Emphasis">
    <w:name w:val="Emphasis"/>
    <w:qFormat/>
    <w:rsid w:val="00DF5568"/>
    <w:rPr>
      <w:i/>
    </w:rPr>
  </w:style>
  <w:style w:type="character" w:styleId="PageNumber">
    <w:name w:val="page number"/>
    <w:rsid w:val="00DF5568"/>
  </w:style>
  <w:style w:type="character" w:customStyle="1" w:styleId="italic1">
    <w:name w:val="italic1"/>
    <w:rsid w:val="00DF5568"/>
    <w:rPr>
      <w:rFonts w:cs="Times New Roman"/>
      <w:i/>
      <w:iCs/>
    </w:rPr>
  </w:style>
  <w:style w:type="paragraph" w:styleId="ListBullet">
    <w:name w:val="List Bullet"/>
    <w:basedOn w:val="Normal"/>
    <w:rsid w:val="00DF5568"/>
    <w:pPr>
      <w:numPr>
        <w:numId w:val="17"/>
      </w:numPr>
      <w:spacing w:line="240" w:lineRule="auto"/>
      <w:jc w:val="both"/>
    </w:pPr>
    <w:rPr>
      <w:lang w:eastAsia="de-DE"/>
    </w:rPr>
  </w:style>
  <w:style w:type="paragraph" w:styleId="ListNumber">
    <w:name w:val="List Number"/>
    <w:basedOn w:val="Normal"/>
    <w:rsid w:val="00DF5568"/>
    <w:pPr>
      <w:numPr>
        <w:numId w:val="18"/>
      </w:numPr>
      <w:spacing w:line="240" w:lineRule="auto"/>
      <w:jc w:val="both"/>
    </w:pPr>
    <w:rPr>
      <w:lang w:eastAsia="de-DE"/>
    </w:rPr>
  </w:style>
  <w:style w:type="paragraph" w:customStyle="1" w:styleId="ListNumberLevel2">
    <w:name w:val="List Number (Level 2)"/>
    <w:basedOn w:val="Normal"/>
    <w:rsid w:val="00DF5568"/>
    <w:pPr>
      <w:numPr>
        <w:ilvl w:val="1"/>
        <w:numId w:val="18"/>
      </w:numPr>
      <w:spacing w:line="240" w:lineRule="auto"/>
      <w:jc w:val="both"/>
    </w:pPr>
    <w:rPr>
      <w:lang w:eastAsia="de-DE"/>
    </w:rPr>
  </w:style>
  <w:style w:type="paragraph" w:customStyle="1" w:styleId="ListNumberLevel3">
    <w:name w:val="List Number (Level 3)"/>
    <w:basedOn w:val="Normal"/>
    <w:rsid w:val="00DF5568"/>
    <w:pPr>
      <w:numPr>
        <w:ilvl w:val="2"/>
        <w:numId w:val="18"/>
      </w:numPr>
      <w:spacing w:line="240" w:lineRule="auto"/>
      <w:jc w:val="both"/>
    </w:pPr>
    <w:rPr>
      <w:lang w:eastAsia="de-DE"/>
    </w:rPr>
  </w:style>
  <w:style w:type="paragraph" w:customStyle="1" w:styleId="ListNumberLevel4">
    <w:name w:val="List Number (Level 4)"/>
    <w:basedOn w:val="Normal"/>
    <w:rsid w:val="00DF5568"/>
    <w:pPr>
      <w:numPr>
        <w:ilvl w:val="3"/>
        <w:numId w:val="18"/>
      </w:numPr>
      <w:spacing w:line="240" w:lineRule="auto"/>
      <w:jc w:val="both"/>
    </w:pPr>
    <w:rPr>
      <w:lang w:eastAsia="de-DE"/>
    </w:rPr>
  </w:style>
  <w:style w:type="character" w:customStyle="1" w:styleId="Marker2">
    <w:name w:val="Marker2"/>
    <w:rsid w:val="00DF5568"/>
    <w:rPr>
      <w:rFonts w:cs="Times New Roman"/>
      <w:color w:val="FF0000"/>
      <w:shd w:val="clear" w:color="auto" w:fill="auto"/>
    </w:rPr>
  </w:style>
  <w:style w:type="paragraph" w:customStyle="1" w:styleId="Annexetitreexpos">
    <w:name w:val="Annexe titre (exposé)"/>
    <w:basedOn w:val="Normal"/>
    <w:next w:val="Normal"/>
    <w:rsid w:val="00DF5568"/>
    <w:pPr>
      <w:spacing w:line="240" w:lineRule="auto"/>
      <w:jc w:val="center"/>
    </w:pPr>
    <w:rPr>
      <w:b/>
      <w:u w:val="single"/>
    </w:rPr>
  </w:style>
  <w:style w:type="paragraph" w:customStyle="1" w:styleId="Annexetitrefichefinancire">
    <w:name w:val="Annexe titre (fiche financière)"/>
    <w:basedOn w:val="Normal"/>
    <w:next w:val="Normal"/>
    <w:rsid w:val="00DF5568"/>
    <w:pPr>
      <w:spacing w:line="240" w:lineRule="auto"/>
      <w:jc w:val="center"/>
    </w:pPr>
    <w:rPr>
      <w:b/>
      <w:u w:val="single"/>
    </w:rPr>
  </w:style>
  <w:style w:type="paragraph" w:customStyle="1" w:styleId="Avertissementtitre">
    <w:name w:val="Avertissement titre"/>
    <w:basedOn w:val="Normal"/>
    <w:next w:val="Normal"/>
    <w:rsid w:val="00DF5568"/>
    <w:pPr>
      <w:keepNext/>
      <w:spacing w:before="480" w:line="240" w:lineRule="auto"/>
      <w:jc w:val="both"/>
    </w:pPr>
    <w:rPr>
      <w:u w:val="single"/>
    </w:rPr>
  </w:style>
  <w:style w:type="paragraph" w:customStyle="1" w:styleId="Confidence">
    <w:name w:val="Confidence"/>
    <w:basedOn w:val="Normal"/>
    <w:next w:val="Normal"/>
    <w:rsid w:val="00DF5568"/>
    <w:pPr>
      <w:spacing w:before="360" w:line="240" w:lineRule="auto"/>
      <w:jc w:val="center"/>
    </w:pPr>
  </w:style>
  <w:style w:type="paragraph" w:customStyle="1" w:styleId="Confidentialit">
    <w:name w:val="Confidentialité"/>
    <w:basedOn w:val="Normal"/>
    <w:next w:val="TypedudocumentPagedecouverture"/>
    <w:rsid w:val="00DF5568"/>
    <w:pPr>
      <w:spacing w:before="240" w:after="240" w:line="240" w:lineRule="auto"/>
      <w:ind w:left="5103"/>
      <w:jc w:val="both"/>
    </w:pPr>
    <w:rPr>
      <w:i/>
      <w:sz w:val="32"/>
    </w:rPr>
  </w:style>
  <w:style w:type="paragraph" w:customStyle="1" w:styleId="TypedudocumentPagedecouverture">
    <w:name w:val="Type du document (Page de couverture)"/>
    <w:basedOn w:val="Typedudocument"/>
    <w:next w:val="TitreobjetPagedecouverture"/>
    <w:rsid w:val="00DF5568"/>
    <w:pPr>
      <w:spacing w:line="240" w:lineRule="auto"/>
    </w:pPr>
  </w:style>
  <w:style w:type="paragraph" w:customStyle="1" w:styleId="TitreobjetPagedecouverture">
    <w:name w:val="Titre objet (Page de couverture)"/>
    <w:basedOn w:val="Titreobjet"/>
    <w:next w:val="Sous-titreobjetPagedecouverture"/>
    <w:rsid w:val="00DF5568"/>
    <w:pPr>
      <w:spacing w:line="240" w:lineRule="auto"/>
    </w:pPr>
  </w:style>
  <w:style w:type="paragraph" w:customStyle="1" w:styleId="Sous-titreobjetPagedecouverture">
    <w:name w:val="Sous-titre objet (Page de couverture)"/>
    <w:basedOn w:val="Sous-titreobjet"/>
    <w:rsid w:val="00DF5568"/>
    <w:pPr>
      <w:spacing w:line="240" w:lineRule="auto"/>
    </w:pPr>
  </w:style>
  <w:style w:type="paragraph" w:customStyle="1" w:styleId="Corrigendum">
    <w:name w:val="Corrigendum"/>
    <w:basedOn w:val="Normal"/>
    <w:next w:val="Normal"/>
    <w:rsid w:val="00DF5568"/>
    <w:pPr>
      <w:spacing w:before="0" w:after="240" w:line="240" w:lineRule="auto"/>
    </w:pPr>
  </w:style>
  <w:style w:type="paragraph" w:customStyle="1" w:styleId="Emission">
    <w:name w:val="Emission"/>
    <w:basedOn w:val="Normal"/>
    <w:next w:val="Rfrenceinstitutionnelle"/>
    <w:rsid w:val="00DF5568"/>
    <w:pPr>
      <w:spacing w:before="0" w:after="0" w:line="240" w:lineRule="auto"/>
      <w:ind w:left="5103"/>
    </w:pPr>
  </w:style>
  <w:style w:type="paragraph" w:customStyle="1" w:styleId="Rfrenceinstitutionnelle">
    <w:name w:val="Référence institutionnelle"/>
    <w:basedOn w:val="Normal"/>
    <w:next w:val="Confidentialit"/>
    <w:rsid w:val="00DF5568"/>
    <w:pPr>
      <w:spacing w:before="0" w:after="240" w:line="240" w:lineRule="auto"/>
      <w:ind w:left="5103"/>
    </w:pPr>
  </w:style>
  <w:style w:type="paragraph" w:customStyle="1" w:styleId="Exposdesmotifstitre">
    <w:name w:val="Exposé des motifs titre"/>
    <w:basedOn w:val="Normal"/>
    <w:next w:val="Normal"/>
    <w:rsid w:val="00DF5568"/>
    <w:pPr>
      <w:spacing w:line="240" w:lineRule="auto"/>
      <w:jc w:val="center"/>
    </w:pPr>
    <w:rPr>
      <w:b/>
      <w:u w:val="single"/>
    </w:rPr>
  </w:style>
  <w:style w:type="paragraph" w:customStyle="1" w:styleId="Rfrenceinterinstitutionnelle">
    <w:name w:val="Référence interinstitutionnelle"/>
    <w:basedOn w:val="Normal"/>
    <w:next w:val="Statut"/>
    <w:rsid w:val="00DF5568"/>
    <w:pPr>
      <w:spacing w:before="0" w:after="0" w:line="240" w:lineRule="auto"/>
      <w:ind w:left="5103"/>
    </w:pPr>
  </w:style>
  <w:style w:type="paragraph" w:customStyle="1" w:styleId="Nomdelinstitution">
    <w:name w:val="Nom de l'institution"/>
    <w:basedOn w:val="Normal"/>
    <w:next w:val="Emission"/>
    <w:rsid w:val="00DF5568"/>
    <w:pPr>
      <w:spacing w:before="0" w:after="0" w:line="240" w:lineRule="auto"/>
    </w:pPr>
    <w:rPr>
      <w:rFonts w:ascii="Arial" w:hAnsi="Arial" w:cs="Arial"/>
    </w:rPr>
  </w:style>
  <w:style w:type="character" w:customStyle="1" w:styleId="Deleted">
    <w:name w:val="Deleted"/>
    <w:rsid w:val="00DF5568"/>
    <w:rPr>
      <w:rFonts w:cs="Times New Roman"/>
      <w:strike/>
      <w:shd w:val="clear" w:color="auto" w:fill="auto"/>
    </w:rPr>
  </w:style>
  <w:style w:type="paragraph" w:customStyle="1" w:styleId="Address">
    <w:name w:val="Address"/>
    <w:basedOn w:val="Normal"/>
    <w:next w:val="Normal"/>
    <w:rsid w:val="00DF5568"/>
    <w:pPr>
      <w:keepLines/>
      <w:ind w:left="3402"/>
    </w:pPr>
  </w:style>
  <w:style w:type="paragraph" w:customStyle="1" w:styleId="Objetexterne">
    <w:name w:val="Objet externe"/>
    <w:basedOn w:val="Normal"/>
    <w:next w:val="Normal"/>
    <w:rsid w:val="00DF5568"/>
    <w:pPr>
      <w:spacing w:line="240" w:lineRule="auto"/>
      <w:jc w:val="both"/>
    </w:pPr>
    <w:rPr>
      <w:i/>
      <w:caps/>
    </w:rPr>
  </w:style>
  <w:style w:type="paragraph" w:customStyle="1" w:styleId="Pagedecouverture">
    <w:name w:val="Page de couverture"/>
    <w:basedOn w:val="Normal"/>
    <w:next w:val="Normal"/>
    <w:rsid w:val="00DF5568"/>
    <w:pPr>
      <w:spacing w:line="240" w:lineRule="auto"/>
      <w:jc w:val="both"/>
    </w:pPr>
  </w:style>
  <w:style w:type="paragraph" w:customStyle="1" w:styleId="Supertitre">
    <w:name w:val="Supertitre"/>
    <w:basedOn w:val="Normal"/>
    <w:next w:val="Normal"/>
    <w:rsid w:val="00DF5568"/>
    <w:pPr>
      <w:spacing w:before="0" w:after="600" w:line="240" w:lineRule="auto"/>
      <w:jc w:val="center"/>
    </w:pPr>
    <w:rPr>
      <w:b/>
    </w:rPr>
  </w:style>
  <w:style w:type="paragraph" w:customStyle="1" w:styleId="Rfrencecroise">
    <w:name w:val="Référence croisée"/>
    <w:basedOn w:val="Normal"/>
    <w:rsid w:val="00DF5568"/>
    <w:pPr>
      <w:spacing w:before="0" w:after="0" w:line="240" w:lineRule="auto"/>
      <w:jc w:val="center"/>
    </w:pPr>
  </w:style>
  <w:style w:type="paragraph" w:customStyle="1" w:styleId="Fichefinanciretitre">
    <w:name w:val="Fiche financière titre"/>
    <w:basedOn w:val="Normal"/>
    <w:next w:val="Normal"/>
    <w:rsid w:val="00DF5568"/>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DF5568"/>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DF5568"/>
  </w:style>
  <w:style w:type="paragraph" w:customStyle="1" w:styleId="StatutPagedecouverture">
    <w:name w:val="Statut (Page de couverture)"/>
    <w:basedOn w:val="Statut"/>
    <w:next w:val="TypedudocumentPagedecouverture"/>
    <w:rsid w:val="00DF5568"/>
    <w:pPr>
      <w:spacing w:line="240" w:lineRule="auto"/>
    </w:pPr>
  </w:style>
  <w:style w:type="paragraph" w:customStyle="1" w:styleId="Volume">
    <w:name w:val="Volume"/>
    <w:basedOn w:val="Normal"/>
    <w:next w:val="Confidentialit"/>
    <w:rsid w:val="00DF5568"/>
    <w:pPr>
      <w:spacing w:before="0" w:after="240" w:line="240" w:lineRule="auto"/>
      <w:ind w:left="5103"/>
    </w:pPr>
  </w:style>
  <w:style w:type="paragraph" w:customStyle="1" w:styleId="Accompagnant">
    <w:name w:val="Accompagnant"/>
    <w:basedOn w:val="Normal"/>
    <w:next w:val="Typeacteprincipal"/>
    <w:rsid w:val="00DF5568"/>
    <w:pPr>
      <w:spacing w:before="0" w:after="240" w:line="240" w:lineRule="auto"/>
      <w:jc w:val="center"/>
    </w:pPr>
    <w:rPr>
      <w:b/>
      <w:i/>
    </w:rPr>
  </w:style>
  <w:style w:type="paragraph" w:customStyle="1" w:styleId="Typeacteprincipal">
    <w:name w:val="Type acte principal"/>
    <w:basedOn w:val="Normal"/>
    <w:next w:val="Objetacteprincipal"/>
    <w:rsid w:val="00DF5568"/>
    <w:pPr>
      <w:spacing w:before="0" w:after="240" w:line="240" w:lineRule="auto"/>
      <w:jc w:val="center"/>
    </w:pPr>
    <w:rPr>
      <w:b/>
    </w:rPr>
  </w:style>
  <w:style w:type="paragraph" w:customStyle="1" w:styleId="Objetacteprincipal">
    <w:name w:val="Objet acte principal"/>
    <w:basedOn w:val="Normal"/>
    <w:next w:val="Titrearticle"/>
    <w:rsid w:val="00DF5568"/>
    <w:pPr>
      <w:spacing w:before="0" w:after="360" w:line="240" w:lineRule="auto"/>
      <w:jc w:val="center"/>
    </w:pPr>
    <w:rPr>
      <w:b/>
    </w:rPr>
  </w:style>
  <w:style w:type="paragraph" w:customStyle="1" w:styleId="IntrtEEEPagedecouverture">
    <w:name w:val="Intérêt EEE (Page de couverture)"/>
    <w:basedOn w:val="IntrtEEE"/>
    <w:next w:val="Rfrencecroise"/>
    <w:rsid w:val="00DF5568"/>
    <w:pPr>
      <w:spacing w:line="240" w:lineRule="auto"/>
    </w:pPr>
  </w:style>
  <w:style w:type="paragraph" w:customStyle="1" w:styleId="AccompagnantPagedecouverture">
    <w:name w:val="Accompagnant (Page de couverture)"/>
    <w:basedOn w:val="Accompagnant"/>
    <w:next w:val="TypeacteprincipalPagedecouverture"/>
    <w:rsid w:val="00DF5568"/>
  </w:style>
  <w:style w:type="paragraph" w:customStyle="1" w:styleId="TypeacteprincipalPagedecouverture">
    <w:name w:val="Type acte principal (Page de couverture)"/>
    <w:basedOn w:val="Typeacteprincipal"/>
    <w:next w:val="ObjetacteprincipalPagedecouverture"/>
    <w:rsid w:val="00DF5568"/>
  </w:style>
  <w:style w:type="paragraph" w:customStyle="1" w:styleId="ObjetacteprincipalPagedecouverture">
    <w:name w:val="Objet acte principal (Page de couverture)"/>
    <w:basedOn w:val="Objetacteprincipal"/>
    <w:next w:val="Rfrencecroise"/>
    <w:rsid w:val="00DF5568"/>
  </w:style>
  <w:style w:type="paragraph" w:customStyle="1" w:styleId="LanguesfaisantfoiPagedecouverture">
    <w:name w:val="Langues faisant foi (Page de couverture)"/>
    <w:basedOn w:val="Normal"/>
    <w:next w:val="Normal"/>
    <w:rsid w:val="00DF5568"/>
    <w:pPr>
      <w:spacing w:before="360" w:after="0" w:line="240" w:lineRule="auto"/>
      <w:jc w:val="center"/>
    </w:pPr>
  </w:style>
  <w:style w:type="paragraph" w:styleId="ListBullet2">
    <w:name w:val="List Bullet 2"/>
    <w:basedOn w:val="Normal"/>
    <w:rsid w:val="00DF5568"/>
    <w:pPr>
      <w:numPr>
        <w:numId w:val="23"/>
      </w:numPr>
      <w:spacing w:line="240" w:lineRule="auto"/>
      <w:jc w:val="both"/>
    </w:pPr>
    <w:rPr>
      <w:lang w:eastAsia="de-DE"/>
    </w:rPr>
  </w:style>
  <w:style w:type="paragraph" w:styleId="ListBullet3">
    <w:name w:val="List Bullet 3"/>
    <w:basedOn w:val="Normal"/>
    <w:rsid w:val="00DF5568"/>
    <w:pPr>
      <w:numPr>
        <w:numId w:val="24"/>
      </w:numPr>
      <w:spacing w:line="240" w:lineRule="auto"/>
      <w:jc w:val="both"/>
    </w:pPr>
    <w:rPr>
      <w:lang w:eastAsia="de-DE"/>
    </w:rPr>
  </w:style>
  <w:style w:type="paragraph" w:styleId="ListBullet4">
    <w:name w:val="List Bullet 4"/>
    <w:basedOn w:val="Normal"/>
    <w:rsid w:val="00DF5568"/>
    <w:pPr>
      <w:numPr>
        <w:numId w:val="25"/>
      </w:numPr>
      <w:spacing w:line="240" w:lineRule="auto"/>
      <w:jc w:val="both"/>
    </w:pPr>
    <w:rPr>
      <w:lang w:eastAsia="de-DE"/>
    </w:rPr>
  </w:style>
  <w:style w:type="paragraph" w:styleId="ListNumber2">
    <w:name w:val="List Number 2"/>
    <w:basedOn w:val="Normal"/>
    <w:rsid w:val="00DF5568"/>
    <w:pPr>
      <w:tabs>
        <w:tab w:val="num" w:pos="1560"/>
      </w:tabs>
      <w:spacing w:line="240" w:lineRule="auto"/>
      <w:ind w:left="1560" w:hanging="709"/>
      <w:jc w:val="both"/>
    </w:pPr>
    <w:rPr>
      <w:lang w:eastAsia="de-DE"/>
    </w:rPr>
  </w:style>
  <w:style w:type="paragraph" w:styleId="ListNumber3">
    <w:name w:val="List Number 3"/>
    <w:basedOn w:val="Normal"/>
    <w:rsid w:val="00DF5568"/>
    <w:pPr>
      <w:numPr>
        <w:numId w:val="20"/>
      </w:numPr>
      <w:spacing w:line="240" w:lineRule="auto"/>
      <w:jc w:val="both"/>
    </w:pPr>
    <w:rPr>
      <w:lang w:eastAsia="de-DE"/>
    </w:rPr>
  </w:style>
  <w:style w:type="paragraph" w:styleId="ListNumber4">
    <w:name w:val="List Number 4"/>
    <w:basedOn w:val="Normal"/>
    <w:rsid w:val="00DF5568"/>
    <w:pPr>
      <w:numPr>
        <w:numId w:val="21"/>
      </w:numPr>
      <w:spacing w:line="240" w:lineRule="auto"/>
      <w:jc w:val="both"/>
    </w:pPr>
    <w:rPr>
      <w:lang w:eastAsia="de-DE"/>
    </w:rPr>
  </w:style>
  <w:style w:type="paragraph" w:customStyle="1" w:styleId="ListBullet1">
    <w:name w:val="List Bullet 1"/>
    <w:basedOn w:val="Normal"/>
    <w:rsid w:val="00DF5568"/>
    <w:pPr>
      <w:numPr>
        <w:numId w:val="22"/>
      </w:numPr>
      <w:spacing w:line="240" w:lineRule="auto"/>
      <w:jc w:val="both"/>
    </w:pPr>
    <w:rPr>
      <w:lang w:eastAsia="de-DE"/>
    </w:rPr>
  </w:style>
  <w:style w:type="paragraph" w:customStyle="1" w:styleId="ListDash">
    <w:name w:val="List Dash"/>
    <w:basedOn w:val="Normal"/>
    <w:rsid w:val="00DF5568"/>
    <w:pPr>
      <w:numPr>
        <w:numId w:val="26"/>
      </w:numPr>
      <w:spacing w:line="240" w:lineRule="auto"/>
      <w:jc w:val="both"/>
    </w:pPr>
    <w:rPr>
      <w:lang w:eastAsia="de-DE"/>
    </w:rPr>
  </w:style>
  <w:style w:type="paragraph" w:customStyle="1" w:styleId="ListDash1">
    <w:name w:val="List Dash 1"/>
    <w:basedOn w:val="Normal"/>
    <w:rsid w:val="00DF5568"/>
    <w:pPr>
      <w:numPr>
        <w:numId w:val="27"/>
      </w:numPr>
      <w:spacing w:line="240" w:lineRule="auto"/>
      <w:jc w:val="both"/>
    </w:pPr>
    <w:rPr>
      <w:lang w:eastAsia="de-DE"/>
    </w:rPr>
  </w:style>
  <w:style w:type="paragraph" w:customStyle="1" w:styleId="ListDash2">
    <w:name w:val="List Dash 2"/>
    <w:basedOn w:val="Normal"/>
    <w:rsid w:val="00DF5568"/>
    <w:pPr>
      <w:numPr>
        <w:numId w:val="28"/>
      </w:numPr>
      <w:spacing w:line="240" w:lineRule="auto"/>
      <w:jc w:val="both"/>
    </w:pPr>
    <w:rPr>
      <w:lang w:eastAsia="de-DE"/>
    </w:rPr>
  </w:style>
  <w:style w:type="paragraph" w:customStyle="1" w:styleId="ListDash3">
    <w:name w:val="List Dash 3"/>
    <w:basedOn w:val="Normal"/>
    <w:rsid w:val="00DF5568"/>
    <w:pPr>
      <w:numPr>
        <w:numId w:val="29"/>
      </w:numPr>
      <w:spacing w:line="240" w:lineRule="auto"/>
      <w:jc w:val="both"/>
    </w:pPr>
    <w:rPr>
      <w:lang w:eastAsia="de-DE"/>
    </w:rPr>
  </w:style>
  <w:style w:type="paragraph" w:customStyle="1" w:styleId="ListDash4">
    <w:name w:val="List Dash 4"/>
    <w:basedOn w:val="Normal"/>
    <w:rsid w:val="00DF5568"/>
    <w:pPr>
      <w:numPr>
        <w:numId w:val="30"/>
      </w:numPr>
      <w:spacing w:line="240" w:lineRule="auto"/>
      <w:jc w:val="both"/>
    </w:pPr>
    <w:rPr>
      <w:lang w:eastAsia="de-DE"/>
    </w:rPr>
  </w:style>
  <w:style w:type="paragraph" w:customStyle="1" w:styleId="ListNumber1">
    <w:name w:val="List Number 1"/>
    <w:basedOn w:val="Text1"/>
    <w:rsid w:val="00DF5568"/>
    <w:pPr>
      <w:numPr>
        <w:numId w:val="19"/>
      </w:numPr>
      <w:spacing w:line="240" w:lineRule="auto"/>
      <w:jc w:val="both"/>
      <w:outlineLvl w:val="9"/>
    </w:pPr>
    <w:rPr>
      <w:lang w:eastAsia="de-DE"/>
    </w:rPr>
  </w:style>
  <w:style w:type="paragraph" w:customStyle="1" w:styleId="ListNumber1Level2">
    <w:name w:val="List Number 1 (Level 2)"/>
    <w:basedOn w:val="Text1"/>
    <w:rsid w:val="00DF5568"/>
    <w:pPr>
      <w:numPr>
        <w:ilvl w:val="1"/>
        <w:numId w:val="19"/>
      </w:numPr>
      <w:spacing w:line="240" w:lineRule="auto"/>
      <w:jc w:val="both"/>
      <w:outlineLvl w:val="9"/>
    </w:pPr>
    <w:rPr>
      <w:lang w:eastAsia="de-DE"/>
    </w:rPr>
  </w:style>
  <w:style w:type="paragraph" w:customStyle="1" w:styleId="ListNumber2Level2">
    <w:name w:val="List Number 2 (Level 2)"/>
    <w:basedOn w:val="Text2"/>
    <w:rsid w:val="00DF5568"/>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rsid w:val="00DF5568"/>
    <w:pPr>
      <w:numPr>
        <w:ilvl w:val="1"/>
        <w:numId w:val="20"/>
      </w:numPr>
      <w:spacing w:line="240" w:lineRule="auto"/>
      <w:jc w:val="both"/>
      <w:outlineLvl w:val="9"/>
    </w:pPr>
    <w:rPr>
      <w:lang w:eastAsia="de-DE"/>
    </w:rPr>
  </w:style>
  <w:style w:type="paragraph" w:customStyle="1" w:styleId="ListNumber4Level2">
    <w:name w:val="List Number 4 (Level 2)"/>
    <w:basedOn w:val="Text4"/>
    <w:rsid w:val="00DF5568"/>
    <w:pPr>
      <w:numPr>
        <w:ilvl w:val="1"/>
        <w:numId w:val="21"/>
      </w:numPr>
      <w:spacing w:line="240" w:lineRule="auto"/>
      <w:jc w:val="both"/>
      <w:outlineLvl w:val="9"/>
    </w:pPr>
    <w:rPr>
      <w:lang w:eastAsia="de-DE"/>
    </w:rPr>
  </w:style>
  <w:style w:type="paragraph" w:customStyle="1" w:styleId="ListNumber1Level3">
    <w:name w:val="List Number 1 (Level 3)"/>
    <w:basedOn w:val="Text1"/>
    <w:rsid w:val="00DF5568"/>
    <w:pPr>
      <w:numPr>
        <w:ilvl w:val="2"/>
        <w:numId w:val="19"/>
      </w:numPr>
      <w:spacing w:line="240" w:lineRule="auto"/>
      <w:jc w:val="both"/>
      <w:outlineLvl w:val="9"/>
    </w:pPr>
    <w:rPr>
      <w:lang w:eastAsia="de-DE"/>
    </w:rPr>
  </w:style>
  <w:style w:type="paragraph" w:customStyle="1" w:styleId="ListNumber2Level3">
    <w:name w:val="List Number 2 (Level 3)"/>
    <w:basedOn w:val="Text2"/>
    <w:rsid w:val="00DF5568"/>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rsid w:val="00DF5568"/>
    <w:pPr>
      <w:numPr>
        <w:ilvl w:val="2"/>
        <w:numId w:val="20"/>
      </w:numPr>
      <w:spacing w:line="240" w:lineRule="auto"/>
      <w:jc w:val="both"/>
      <w:outlineLvl w:val="9"/>
    </w:pPr>
    <w:rPr>
      <w:lang w:eastAsia="de-DE"/>
    </w:rPr>
  </w:style>
  <w:style w:type="paragraph" w:customStyle="1" w:styleId="ListNumber4Level3">
    <w:name w:val="List Number 4 (Level 3)"/>
    <w:basedOn w:val="Text4"/>
    <w:rsid w:val="00DF5568"/>
    <w:pPr>
      <w:numPr>
        <w:ilvl w:val="2"/>
        <w:numId w:val="21"/>
      </w:numPr>
      <w:spacing w:line="240" w:lineRule="auto"/>
      <w:jc w:val="both"/>
      <w:outlineLvl w:val="9"/>
    </w:pPr>
    <w:rPr>
      <w:lang w:eastAsia="de-DE"/>
    </w:rPr>
  </w:style>
  <w:style w:type="paragraph" w:customStyle="1" w:styleId="ListNumber1Level4">
    <w:name w:val="List Number 1 (Level 4)"/>
    <w:basedOn w:val="Text1"/>
    <w:rsid w:val="00DF5568"/>
    <w:pPr>
      <w:numPr>
        <w:ilvl w:val="3"/>
        <w:numId w:val="19"/>
      </w:numPr>
      <w:spacing w:line="240" w:lineRule="auto"/>
      <w:jc w:val="both"/>
      <w:outlineLvl w:val="9"/>
    </w:pPr>
    <w:rPr>
      <w:lang w:eastAsia="de-DE"/>
    </w:rPr>
  </w:style>
  <w:style w:type="paragraph" w:customStyle="1" w:styleId="ListNumber2Level4">
    <w:name w:val="List Number 2 (Level 4)"/>
    <w:basedOn w:val="Text2"/>
    <w:rsid w:val="00DF5568"/>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rsid w:val="00DF5568"/>
    <w:pPr>
      <w:numPr>
        <w:ilvl w:val="3"/>
        <w:numId w:val="20"/>
      </w:numPr>
      <w:spacing w:line="240" w:lineRule="auto"/>
      <w:jc w:val="both"/>
      <w:outlineLvl w:val="9"/>
    </w:pPr>
    <w:rPr>
      <w:lang w:eastAsia="de-DE"/>
    </w:rPr>
  </w:style>
  <w:style w:type="paragraph" w:customStyle="1" w:styleId="ListNumber4Level4">
    <w:name w:val="List Number 4 (Level 4)"/>
    <w:basedOn w:val="Text4"/>
    <w:rsid w:val="00DF5568"/>
    <w:pPr>
      <w:numPr>
        <w:ilvl w:val="3"/>
        <w:numId w:val="21"/>
      </w:numPr>
      <w:spacing w:line="240" w:lineRule="auto"/>
      <w:jc w:val="both"/>
      <w:outlineLvl w:val="9"/>
    </w:pPr>
    <w:rPr>
      <w:lang w:eastAsia="de-DE"/>
    </w:rPr>
  </w:style>
  <w:style w:type="paragraph" w:customStyle="1" w:styleId="Rfrenceinterinstitutionelleprliminaire">
    <w:name w:val="Référence interinstitutionelle (préliminaire)"/>
    <w:basedOn w:val="Normal"/>
    <w:next w:val="Normal"/>
    <w:rsid w:val="00DF5568"/>
    <w:pPr>
      <w:spacing w:before="0" w:after="0" w:line="240" w:lineRule="auto"/>
      <w:ind w:left="5103"/>
    </w:pPr>
    <w:rPr>
      <w:lang w:eastAsia="de-DE"/>
    </w:rPr>
  </w:style>
  <w:style w:type="paragraph" w:customStyle="1" w:styleId="Sous-titreobjetprliminaire">
    <w:name w:val="Sous-titre objet (préliminaire)"/>
    <w:basedOn w:val="Normal"/>
    <w:rsid w:val="00DF5568"/>
    <w:pPr>
      <w:spacing w:before="0" w:after="0" w:line="240" w:lineRule="auto"/>
      <w:jc w:val="center"/>
    </w:pPr>
    <w:rPr>
      <w:b/>
      <w:lang w:eastAsia="de-DE"/>
    </w:rPr>
  </w:style>
  <w:style w:type="paragraph" w:customStyle="1" w:styleId="Statutprliminaire">
    <w:name w:val="Statut (préliminaire)"/>
    <w:basedOn w:val="Normal"/>
    <w:next w:val="Normal"/>
    <w:rsid w:val="00DF5568"/>
    <w:pPr>
      <w:spacing w:before="360" w:after="0" w:line="240" w:lineRule="auto"/>
      <w:jc w:val="center"/>
    </w:pPr>
    <w:rPr>
      <w:lang w:eastAsia="de-DE"/>
    </w:rPr>
  </w:style>
  <w:style w:type="paragraph" w:customStyle="1" w:styleId="Titreobjetprliminaire">
    <w:name w:val="Titre objet (préliminaire)"/>
    <w:basedOn w:val="Normal"/>
    <w:next w:val="Normal"/>
    <w:rsid w:val="00DF5568"/>
    <w:pPr>
      <w:spacing w:before="360" w:after="360" w:line="240" w:lineRule="auto"/>
      <w:jc w:val="center"/>
    </w:pPr>
    <w:rPr>
      <w:b/>
      <w:lang w:eastAsia="de-DE"/>
    </w:rPr>
  </w:style>
  <w:style w:type="paragraph" w:customStyle="1" w:styleId="Typedudocumentprliminaire">
    <w:name w:val="Type du document (préliminaire)"/>
    <w:basedOn w:val="Normal"/>
    <w:next w:val="Normal"/>
    <w:rsid w:val="00DF5568"/>
    <w:pPr>
      <w:spacing w:before="360" w:after="0" w:line="240" w:lineRule="auto"/>
      <w:jc w:val="center"/>
    </w:pPr>
    <w:rPr>
      <w:b/>
      <w:lang w:eastAsia="de-DE"/>
    </w:rPr>
  </w:style>
  <w:style w:type="character" w:customStyle="1" w:styleId="manualnumpar1char">
    <w:name w:val="manualnumpar1char"/>
    <w:rsid w:val="00DF5568"/>
    <w:rPr>
      <w:rFonts w:cs="Times New Roman"/>
      <w:shd w:val="clear" w:color="auto" w:fill="auto"/>
    </w:rPr>
  </w:style>
  <w:style w:type="character" w:customStyle="1" w:styleId="DeltaViewInsertion">
    <w:name w:val="DeltaView Insertion"/>
    <w:rsid w:val="00DF5568"/>
    <w:rPr>
      <w:b/>
      <w:color w:val="FFFFFF"/>
      <w:spacing w:val="0"/>
      <w:u w:val="single"/>
    </w:rPr>
  </w:style>
  <w:style w:type="paragraph" w:styleId="BalloonText">
    <w:name w:val="Balloon Text"/>
    <w:basedOn w:val="Normal"/>
    <w:link w:val="BalloonTextChar"/>
    <w:semiHidden/>
    <w:rsid w:val="00DF5568"/>
    <w:pPr>
      <w:spacing w:line="240" w:lineRule="auto"/>
      <w:jc w:val="both"/>
    </w:pPr>
    <w:rPr>
      <w:rFonts w:ascii="Tahoma" w:hAnsi="Tahoma" w:cs="Tahoma"/>
      <w:sz w:val="16"/>
      <w:szCs w:val="16"/>
      <w:lang w:eastAsia="de-DE"/>
    </w:rPr>
  </w:style>
  <w:style w:type="character" w:customStyle="1" w:styleId="BalloonTextChar">
    <w:name w:val="Balloon Text Char"/>
    <w:basedOn w:val="DefaultParagraphFont"/>
    <w:link w:val="BalloonText"/>
    <w:semiHidden/>
    <w:rsid w:val="00DF5568"/>
    <w:rPr>
      <w:rFonts w:ascii="Tahoma" w:hAnsi="Tahoma" w:cs="Tahoma"/>
      <w:sz w:val="16"/>
      <w:szCs w:val="16"/>
      <w:lang w:val="fr-FR"/>
    </w:rPr>
  </w:style>
  <w:style w:type="paragraph" w:styleId="CommentText">
    <w:name w:val="annotation text"/>
    <w:basedOn w:val="Normal"/>
    <w:link w:val="CommentTextChar"/>
    <w:rsid w:val="00DF5568"/>
    <w:pPr>
      <w:spacing w:before="0" w:after="0" w:line="240" w:lineRule="auto"/>
    </w:pPr>
    <w:rPr>
      <w:sz w:val="20"/>
      <w:szCs w:val="20"/>
      <w:lang w:eastAsia="en-GB"/>
    </w:rPr>
  </w:style>
  <w:style w:type="character" w:customStyle="1" w:styleId="CommentTextChar">
    <w:name w:val="Comment Text Char"/>
    <w:basedOn w:val="DefaultParagraphFont"/>
    <w:link w:val="CommentText"/>
    <w:rsid w:val="00DF5568"/>
    <w:rPr>
      <w:lang w:val="fr-FR" w:eastAsia="en-GB"/>
    </w:rPr>
  </w:style>
  <w:style w:type="paragraph" w:customStyle="1" w:styleId="Style1">
    <w:name w:val="Style1"/>
    <w:basedOn w:val="NumPar1"/>
    <w:rsid w:val="00DF5568"/>
  </w:style>
  <w:style w:type="paragraph" w:customStyle="1" w:styleId="Titre">
    <w:name w:val="Ti tre"/>
    <w:basedOn w:val="Titrearticle"/>
    <w:rsid w:val="00DF5568"/>
    <w:pPr>
      <w:spacing w:line="240" w:lineRule="auto"/>
    </w:pPr>
    <w:rPr>
      <w:noProof/>
    </w:rPr>
  </w:style>
  <w:style w:type="paragraph" w:customStyle="1" w:styleId="1">
    <w:name w:val="1."/>
    <w:basedOn w:val="NumPar1"/>
    <w:rsid w:val="00DF5568"/>
  </w:style>
  <w:style w:type="paragraph" w:styleId="Caption">
    <w:name w:val="caption"/>
    <w:basedOn w:val="Normal"/>
    <w:next w:val="Normal"/>
    <w:qFormat/>
    <w:rsid w:val="00DF5568"/>
    <w:pPr>
      <w:spacing w:line="240" w:lineRule="auto"/>
      <w:jc w:val="both"/>
    </w:pPr>
    <w:rPr>
      <w:b/>
      <w:bCs/>
      <w:sz w:val="20"/>
      <w:szCs w:val="20"/>
    </w:rPr>
  </w:style>
  <w:style w:type="paragraph" w:styleId="TableofFigures">
    <w:name w:val="table of figures"/>
    <w:basedOn w:val="Normal"/>
    <w:next w:val="Normal"/>
    <w:semiHidden/>
    <w:rsid w:val="00DF5568"/>
    <w:pPr>
      <w:spacing w:line="240" w:lineRule="auto"/>
      <w:jc w:val="both"/>
    </w:pPr>
  </w:style>
  <w:style w:type="paragraph" w:styleId="CommentSubject">
    <w:name w:val="annotation subject"/>
    <w:basedOn w:val="CommentText"/>
    <w:next w:val="CommentText"/>
    <w:link w:val="CommentSubjectChar"/>
    <w:semiHidden/>
    <w:rsid w:val="00DF5568"/>
    <w:pPr>
      <w:spacing w:before="120" w:after="120"/>
      <w:jc w:val="both"/>
    </w:pPr>
    <w:rPr>
      <w:b/>
      <w:bCs/>
      <w:lang w:eastAsia="en-US"/>
    </w:rPr>
  </w:style>
  <w:style w:type="character" w:customStyle="1" w:styleId="CommentSubjectChar">
    <w:name w:val="Comment Subject Char"/>
    <w:basedOn w:val="CommentTextChar"/>
    <w:link w:val="CommentSubject"/>
    <w:semiHidden/>
    <w:rsid w:val="00DF5568"/>
    <w:rPr>
      <w:b/>
      <w:bCs/>
      <w:lang w:val="fr-FR" w:eastAsia="en-US"/>
    </w:rPr>
  </w:style>
  <w:style w:type="character" w:styleId="Hyperlink">
    <w:name w:val="Hyperlink"/>
    <w:rsid w:val="00DF5568"/>
    <w:rPr>
      <w:rFonts w:cs="Times New Roman"/>
      <w:color w:val="0000FF"/>
      <w:u w:val="single"/>
    </w:rPr>
  </w:style>
  <w:style w:type="character" w:styleId="FollowedHyperlink">
    <w:name w:val="FollowedHyperlink"/>
    <w:rsid w:val="00DF5568"/>
    <w:rPr>
      <w:rFonts w:cs="Times New Roman"/>
      <w:color w:val="800080"/>
      <w:u w:val="single"/>
    </w:rPr>
  </w:style>
  <w:style w:type="paragraph" w:styleId="PlainText">
    <w:name w:val="Plain Text"/>
    <w:basedOn w:val="Normal"/>
    <w:link w:val="PlainTextChar"/>
    <w:rsid w:val="00DF5568"/>
    <w:pPr>
      <w:spacing w:line="240" w:lineRule="auto"/>
      <w:jc w:val="both"/>
    </w:pPr>
    <w:rPr>
      <w:rFonts w:ascii="Courier New" w:hAnsi="Courier New" w:cs="Courier New"/>
      <w:sz w:val="20"/>
      <w:szCs w:val="20"/>
    </w:rPr>
  </w:style>
  <w:style w:type="character" w:customStyle="1" w:styleId="PlainTextChar">
    <w:name w:val="Plain Text Char"/>
    <w:basedOn w:val="DefaultParagraphFont"/>
    <w:link w:val="PlainText"/>
    <w:rsid w:val="00DF5568"/>
    <w:rPr>
      <w:rFonts w:ascii="Courier New" w:hAnsi="Courier New" w:cs="Courier New"/>
      <w:lang w:val="fr-FR" w:eastAsia="en-US"/>
    </w:rPr>
  </w:style>
  <w:style w:type="table" w:styleId="TableGrid">
    <w:name w:val="Table Grid"/>
    <w:basedOn w:val="TableNormal"/>
    <w:rsid w:val="00DF5568"/>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F5568"/>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F5568"/>
    <w:rPr>
      <w:rFonts w:ascii="Arial" w:hAnsi="Arial" w:cs="Arial"/>
      <w:b/>
      <w:bCs/>
      <w:kern w:val="28"/>
      <w:sz w:val="32"/>
      <w:szCs w:val="32"/>
      <w:lang w:val="fr-FR" w:eastAsia="en-US"/>
    </w:rPr>
  </w:style>
  <w:style w:type="paragraph" w:styleId="DocumentMap">
    <w:name w:val="Document Map"/>
    <w:basedOn w:val="Normal"/>
    <w:link w:val="DocumentMapChar"/>
    <w:semiHidden/>
    <w:rsid w:val="00DF5568"/>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sid w:val="00DF5568"/>
    <w:rPr>
      <w:rFonts w:ascii="Tahoma" w:hAnsi="Tahoma" w:cs="Tahoma"/>
      <w:shd w:val="clear" w:color="auto" w:fill="000080"/>
      <w:lang w:val="fr-FR" w:eastAsia="en-US"/>
    </w:rPr>
  </w:style>
  <w:style w:type="paragraph" w:customStyle="1" w:styleId="Point1">
    <w:name w:val="Point1"/>
    <w:basedOn w:val="NumPar1"/>
    <w:rsid w:val="00DF5568"/>
    <w:pPr>
      <w:numPr>
        <w:numId w:val="0"/>
      </w:numPr>
      <w:spacing w:line="240" w:lineRule="auto"/>
      <w:jc w:val="both"/>
      <w:outlineLvl w:val="9"/>
    </w:pPr>
  </w:style>
  <w:style w:type="paragraph" w:customStyle="1" w:styleId="Poin">
    <w:name w:val="Poin"/>
    <w:basedOn w:val="Text1"/>
    <w:rsid w:val="00DF5568"/>
    <w:pPr>
      <w:spacing w:line="240" w:lineRule="auto"/>
      <w:jc w:val="both"/>
      <w:outlineLvl w:val="9"/>
    </w:pPr>
  </w:style>
  <w:style w:type="paragraph" w:customStyle="1" w:styleId="CM3">
    <w:name w:val="CM3"/>
    <w:basedOn w:val="Normal"/>
    <w:next w:val="Normal"/>
    <w:rsid w:val="00DF5568"/>
    <w:pPr>
      <w:autoSpaceDE w:val="0"/>
      <w:autoSpaceDN w:val="0"/>
      <w:adjustRightInd w:val="0"/>
      <w:spacing w:before="0" w:after="0" w:line="240" w:lineRule="auto"/>
    </w:pPr>
    <w:rPr>
      <w:rFonts w:ascii="EUAlbertina" w:eastAsia="Calibri" w:hAnsi="EUAlbertina"/>
      <w:lang w:eastAsia="en-GB"/>
    </w:rPr>
  </w:style>
  <w:style w:type="paragraph" w:customStyle="1" w:styleId="CM4">
    <w:name w:val="CM4"/>
    <w:basedOn w:val="Normal"/>
    <w:next w:val="Normal"/>
    <w:rsid w:val="00DF5568"/>
    <w:pPr>
      <w:autoSpaceDE w:val="0"/>
      <w:autoSpaceDN w:val="0"/>
      <w:adjustRightInd w:val="0"/>
      <w:spacing w:before="0" w:after="0" w:line="240" w:lineRule="auto"/>
    </w:pPr>
    <w:rPr>
      <w:rFonts w:ascii="EUAlbertina" w:eastAsia="Calibri" w:hAnsi="EUAlbertina"/>
      <w:lang w:eastAsia="en-GB"/>
    </w:rPr>
  </w:style>
  <w:style w:type="paragraph" w:styleId="EndnoteText">
    <w:name w:val="endnote text"/>
    <w:basedOn w:val="Normal"/>
    <w:link w:val="EndnoteTextChar"/>
    <w:rsid w:val="00DF5568"/>
    <w:pPr>
      <w:spacing w:line="240" w:lineRule="auto"/>
      <w:jc w:val="both"/>
    </w:pPr>
    <w:rPr>
      <w:sz w:val="20"/>
      <w:szCs w:val="20"/>
      <w:lang w:val="x-none"/>
    </w:rPr>
  </w:style>
  <w:style w:type="character" w:customStyle="1" w:styleId="EndnoteTextChar">
    <w:name w:val="Endnote Text Char"/>
    <w:basedOn w:val="DefaultParagraphFont"/>
    <w:link w:val="EndnoteText"/>
    <w:rsid w:val="00DF5568"/>
    <w:rPr>
      <w:lang w:val="x-none" w:eastAsia="en-US"/>
    </w:rPr>
  </w:style>
  <w:style w:type="character" w:styleId="EndnoteReference">
    <w:name w:val="endnote reference"/>
    <w:rsid w:val="00DF5568"/>
    <w:rPr>
      <w:vertAlign w:val="superscript"/>
    </w:rPr>
  </w:style>
  <w:style w:type="paragraph" w:customStyle="1" w:styleId="CONSIDERANT">
    <w:name w:val="CONSIDERANT"/>
    <w:basedOn w:val="ManualConsidrant"/>
    <w:rsid w:val="00DF5568"/>
    <w:pPr>
      <w:spacing w:line="240" w:lineRule="auto"/>
      <w:ind w:left="709" w:hanging="709"/>
      <w:jc w:val="both"/>
    </w:pPr>
  </w:style>
  <w:style w:type="character" w:customStyle="1" w:styleId="Char12">
    <w:name w:val="Char12"/>
    <w:rsid w:val="00DF5568"/>
    <w:rPr>
      <w:rFonts w:ascii="Times New Roman" w:hAnsi="Times New Roman"/>
      <w:sz w:val="24"/>
      <w:szCs w:val="22"/>
      <w:lang w:val="en-US" w:eastAsia="en-US"/>
    </w:rPr>
  </w:style>
  <w:style w:type="paragraph" w:customStyle="1" w:styleId="pj">
    <w:name w:val="p.j."/>
    <w:basedOn w:val="Normal"/>
    <w:link w:val="pjChar"/>
    <w:rsid w:val="00DF5568"/>
    <w:pPr>
      <w:spacing w:before="1200" w:line="240" w:lineRule="auto"/>
      <w:ind w:left="1440" w:hanging="1440"/>
    </w:pPr>
    <w:rPr>
      <w:szCs w:val="22"/>
      <w:lang w:val="en-US"/>
    </w:rPr>
  </w:style>
  <w:style w:type="character" w:customStyle="1" w:styleId="pjChar">
    <w:name w:val="p.j. Char"/>
    <w:link w:val="pj"/>
    <w:rsid w:val="00DF5568"/>
    <w:rPr>
      <w:sz w:val="24"/>
      <w:szCs w:val="22"/>
      <w:lang w:val="en-US" w:eastAsia="en-US"/>
    </w:rPr>
  </w:style>
  <w:style w:type="character" w:customStyle="1" w:styleId="HeaderCouncilChar">
    <w:name w:val="Header Council Char"/>
    <w:rsid w:val="00DF5568"/>
    <w:rPr>
      <w:sz w:val="2"/>
      <w:szCs w:val="24"/>
      <w:lang w:val="fr-FR" w:eastAsia="en-US"/>
    </w:rPr>
  </w:style>
  <w:style w:type="character" w:customStyle="1" w:styleId="FooterCouncilChar">
    <w:name w:val="Footer Council Char"/>
    <w:rsid w:val="00DF5568"/>
    <w:rPr>
      <w:sz w:val="2"/>
      <w:szCs w:val="24"/>
      <w:lang w:val="fr-FR" w:eastAsia="en-US"/>
    </w:rPr>
  </w:style>
  <w:style w:type="character" w:customStyle="1" w:styleId="Char17">
    <w:name w:val="Char17"/>
    <w:rsid w:val="00DF5568"/>
    <w:rPr>
      <w:rFonts w:ascii="Times New Roman" w:eastAsia="Times New Roman" w:hAnsi="Times New Roman" w:cs="Times New Roman"/>
      <w:b/>
      <w:bCs/>
      <w:smallCaps/>
      <w:sz w:val="24"/>
      <w:szCs w:val="32"/>
      <w:lang w:val="en-US" w:eastAsia="en-US"/>
    </w:rPr>
  </w:style>
  <w:style w:type="character" w:customStyle="1" w:styleId="Char16">
    <w:name w:val="Char16"/>
    <w:rsid w:val="00DF5568"/>
    <w:rPr>
      <w:rFonts w:ascii="Times New Roman" w:eastAsia="Times New Roman" w:hAnsi="Times New Roman" w:cs="Times New Roman"/>
      <w:b/>
      <w:bCs/>
      <w:iCs/>
      <w:sz w:val="24"/>
      <w:szCs w:val="28"/>
      <w:lang w:val="en-US" w:eastAsia="en-US"/>
    </w:rPr>
  </w:style>
  <w:style w:type="character" w:customStyle="1" w:styleId="Char15">
    <w:name w:val="Char15"/>
    <w:rsid w:val="00DF5568"/>
    <w:rPr>
      <w:rFonts w:ascii="Times New Roman" w:eastAsia="Times New Roman" w:hAnsi="Times New Roman" w:cs="Times New Roman"/>
      <w:bCs/>
      <w:i/>
      <w:sz w:val="24"/>
      <w:szCs w:val="26"/>
      <w:lang w:val="en-US" w:eastAsia="en-US"/>
    </w:rPr>
  </w:style>
  <w:style w:type="character" w:customStyle="1" w:styleId="Char14">
    <w:name w:val="Char14"/>
    <w:rsid w:val="00DF5568"/>
    <w:rPr>
      <w:rFonts w:ascii="Times New Roman" w:eastAsia="Times New Roman" w:hAnsi="Times New Roman" w:cs="Times New Roman"/>
      <w:bCs/>
      <w:sz w:val="24"/>
      <w:szCs w:val="28"/>
      <w:lang w:val="en-US" w:eastAsia="en-US"/>
    </w:rPr>
  </w:style>
  <w:style w:type="numbering" w:customStyle="1" w:styleId="NoList1">
    <w:name w:val="No List1"/>
    <w:next w:val="NoList"/>
    <w:semiHidden/>
    <w:unhideWhenUsed/>
    <w:rsid w:val="00DF5568"/>
  </w:style>
  <w:style w:type="character" w:customStyle="1" w:styleId="Char11">
    <w:name w:val="Char11"/>
    <w:rsid w:val="00DF5568"/>
    <w:rPr>
      <w:rFonts w:ascii="Times New Roman" w:eastAsia="Times New Roman" w:hAnsi="Times New Roman" w:cs="Times New Roman"/>
      <w:sz w:val="24"/>
      <w:lang w:eastAsia="en-US"/>
    </w:rPr>
  </w:style>
  <w:style w:type="numbering" w:customStyle="1" w:styleId="NoList11">
    <w:name w:val="No List11"/>
    <w:next w:val="NoList"/>
    <w:semiHidden/>
    <w:rsid w:val="00DF5568"/>
  </w:style>
  <w:style w:type="paragraph" w:customStyle="1" w:styleId="Default">
    <w:name w:val="Default"/>
    <w:rsid w:val="00DF5568"/>
    <w:pPr>
      <w:autoSpaceDE w:val="0"/>
      <w:autoSpaceDN w:val="0"/>
      <w:adjustRightInd w:val="0"/>
    </w:pPr>
    <w:rPr>
      <w:rFonts w:ascii="EUAlbertina" w:hAnsi="EUAlbertina" w:cs="EUAlbertina"/>
      <w:color w:val="000000"/>
      <w:sz w:val="24"/>
      <w:szCs w:val="24"/>
      <w:lang w:val="en-US" w:eastAsia="en-US"/>
    </w:rPr>
  </w:style>
  <w:style w:type="character" w:customStyle="1" w:styleId="highlight">
    <w:name w:val="highlight"/>
    <w:rsid w:val="00DF5568"/>
  </w:style>
  <w:style w:type="character" w:customStyle="1" w:styleId="ManualNumPar1Char0">
    <w:name w:val="Manual NumPar 1 Char"/>
    <w:rsid w:val="00DF5568"/>
    <w:rPr>
      <w:sz w:val="24"/>
      <w:szCs w:val="24"/>
      <w:lang w:val="fr-FR" w:eastAsia="en-US"/>
    </w:rPr>
  </w:style>
  <w:style w:type="character" w:customStyle="1" w:styleId="Text1Carcter">
    <w:name w:val="Text 1 Carácter"/>
    <w:uiPriority w:val="99"/>
    <w:rsid w:val="00DF5568"/>
    <w:rPr>
      <w:sz w:val="24"/>
      <w:szCs w:val="24"/>
      <w:lang w:val="fr-FR" w:eastAsia="en-US"/>
    </w:rPr>
  </w:style>
  <w:style w:type="paragraph" w:customStyle="1" w:styleId="ManualConsidrant0">
    <w:name w:val="Manual  Considérant"/>
    <w:basedOn w:val="NumPar1"/>
    <w:rsid w:val="00DF5568"/>
    <w:pPr>
      <w:numPr>
        <w:numId w:val="0"/>
      </w:numPr>
      <w:tabs>
        <w:tab w:val="num" w:pos="1134"/>
      </w:tabs>
      <w:spacing w:line="240" w:lineRule="auto"/>
      <w:ind w:left="1134" w:hanging="567"/>
      <w:jc w:val="both"/>
      <w:outlineLvl w:val="9"/>
    </w:pPr>
  </w:style>
  <w:style w:type="paragraph" w:styleId="NormalWeb">
    <w:name w:val="Normal (Web)"/>
    <w:basedOn w:val="Normal"/>
    <w:semiHidden/>
    <w:rsid w:val="00DF5568"/>
    <w:pPr>
      <w:spacing w:before="100" w:beforeAutospacing="1" w:after="100" w:afterAutospacing="1" w:line="240" w:lineRule="auto"/>
    </w:pPr>
    <w:rPr>
      <w:lang w:val="en-US"/>
    </w:rPr>
  </w:style>
  <w:style w:type="paragraph" w:customStyle="1" w:styleId="Sev">
    <w:name w:val="Sev"/>
    <w:basedOn w:val="Text1"/>
    <w:rsid w:val="00DF5568"/>
    <w:pPr>
      <w:spacing w:line="240" w:lineRule="auto"/>
      <w:jc w:val="both"/>
      <w:outlineLvl w:val="9"/>
    </w:pPr>
    <w:rPr>
      <w:lang w:val="en-US"/>
    </w:rPr>
  </w:style>
  <w:style w:type="paragraph" w:styleId="BodyText3">
    <w:name w:val="Body Text 3"/>
    <w:basedOn w:val="Normal"/>
    <w:link w:val="BodyText3Char"/>
    <w:rsid w:val="00DF5568"/>
    <w:pPr>
      <w:spacing w:line="240" w:lineRule="auto"/>
      <w:jc w:val="both"/>
    </w:pPr>
    <w:rPr>
      <w:lang w:val="en-US"/>
    </w:rPr>
  </w:style>
  <w:style w:type="character" w:customStyle="1" w:styleId="BodyText3Char">
    <w:name w:val="Body Text 3 Char"/>
    <w:basedOn w:val="DefaultParagraphFont"/>
    <w:link w:val="BodyText3"/>
    <w:rsid w:val="00DF5568"/>
    <w:rPr>
      <w:sz w:val="24"/>
      <w:szCs w:val="24"/>
      <w:lang w:val="en-US" w:eastAsia="en-US"/>
    </w:rPr>
  </w:style>
  <w:style w:type="paragraph" w:styleId="BodyText">
    <w:name w:val="Body Text"/>
    <w:basedOn w:val="Normal"/>
    <w:link w:val="BodyTextChar"/>
    <w:semiHidden/>
    <w:rsid w:val="00DF5568"/>
    <w:pPr>
      <w:spacing w:line="240" w:lineRule="auto"/>
      <w:jc w:val="both"/>
    </w:pPr>
    <w:rPr>
      <w:szCs w:val="20"/>
      <w:lang w:val="en-US"/>
    </w:rPr>
  </w:style>
  <w:style w:type="character" w:customStyle="1" w:styleId="BodyTextChar">
    <w:name w:val="Body Text Char"/>
    <w:basedOn w:val="DefaultParagraphFont"/>
    <w:link w:val="BodyText"/>
    <w:semiHidden/>
    <w:rsid w:val="00DF5568"/>
    <w:rPr>
      <w:sz w:val="24"/>
      <w:lang w:val="en-US" w:eastAsia="en-US"/>
    </w:rPr>
  </w:style>
  <w:style w:type="paragraph" w:styleId="BodyTextFirstIndent">
    <w:name w:val="Body Text First Indent"/>
    <w:basedOn w:val="BodyText"/>
    <w:link w:val="BodyTextFirstIndentChar"/>
    <w:rsid w:val="00DF5568"/>
    <w:pPr>
      <w:ind w:firstLine="210"/>
    </w:pPr>
    <w:rPr>
      <w:szCs w:val="24"/>
    </w:rPr>
  </w:style>
  <w:style w:type="character" w:customStyle="1" w:styleId="BodyTextFirstIndentChar">
    <w:name w:val="Body Text First Indent Char"/>
    <w:basedOn w:val="BodyTextChar"/>
    <w:link w:val="BodyTextFirstIndent"/>
    <w:rsid w:val="00DF5568"/>
    <w:rPr>
      <w:sz w:val="24"/>
      <w:szCs w:val="24"/>
      <w:lang w:val="en-US" w:eastAsia="en-US"/>
    </w:rPr>
  </w:style>
  <w:style w:type="paragraph" w:styleId="BodyTextIndent">
    <w:name w:val="Body Text Indent"/>
    <w:basedOn w:val="Normal"/>
    <w:link w:val="BodyTextIndentChar"/>
    <w:rsid w:val="00DF5568"/>
    <w:pPr>
      <w:spacing w:line="240" w:lineRule="auto"/>
      <w:ind w:left="283"/>
      <w:jc w:val="both"/>
    </w:pPr>
    <w:rPr>
      <w:szCs w:val="20"/>
      <w:lang w:val="en-US"/>
    </w:rPr>
  </w:style>
  <w:style w:type="character" w:customStyle="1" w:styleId="BodyTextIndentChar">
    <w:name w:val="Body Text Indent Char"/>
    <w:basedOn w:val="DefaultParagraphFont"/>
    <w:link w:val="BodyTextIndent"/>
    <w:rsid w:val="00DF5568"/>
    <w:rPr>
      <w:sz w:val="24"/>
      <w:lang w:val="en-US" w:eastAsia="en-US"/>
    </w:rPr>
  </w:style>
  <w:style w:type="paragraph" w:styleId="BodyTextFirstIndent2">
    <w:name w:val="Body Text First Indent 2"/>
    <w:basedOn w:val="BodyTextIndent"/>
    <w:link w:val="BodyTextFirstIndent2Char"/>
    <w:rsid w:val="00DF5568"/>
    <w:pPr>
      <w:ind w:firstLine="210"/>
    </w:pPr>
    <w:rPr>
      <w:szCs w:val="24"/>
    </w:rPr>
  </w:style>
  <w:style w:type="character" w:customStyle="1" w:styleId="BodyTextFirstIndent2Char">
    <w:name w:val="Body Text First Indent 2 Char"/>
    <w:basedOn w:val="BodyTextIndentChar"/>
    <w:link w:val="BodyTextFirstIndent2"/>
    <w:rsid w:val="00DF5568"/>
    <w:rPr>
      <w:sz w:val="24"/>
      <w:szCs w:val="24"/>
      <w:lang w:val="en-US" w:eastAsia="en-US"/>
    </w:rPr>
  </w:style>
  <w:style w:type="character" w:customStyle="1" w:styleId="tw4winMark">
    <w:name w:val="tw4winMark"/>
    <w:rsid w:val="00DF5568"/>
    <w:rPr>
      <w:vanish/>
      <w:color w:val="800080"/>
      <w:vertAlign w:val="subscript"/>
    </w:rPr>
  </w:style>
  <w:style w:type="paragraph" w:styleId="Revision">
    <w:name w:val="Revision"/>
    <w:hidden/>
    <w:semiHidden/>
    <w:rsid w:val="00DF5568"/>
    <w:rPr>
      <w:sz w:val="24"/>
      <w:szCs w:val="24"/>
      <w:lang w:val="en-GB" w:eastAsia="en-US"/>
    </w:rPr>
  </w:style>
  <w:style w:type="paragraph" w:customStyle="1" w:styleId="num">
    <w:name w:val="num"/>
    <w:basedOn w:val="ManualNumPar1"/>
    <w:rsid w:val="00DF5568"/>
    <w:pPr>
      <w:spacing w:line="240" w:lineRule="auto"/>
      <w:jc w:val="both"/>
      <w:outlineLvl w:val="9"/>
    </w:pPr>
    <w:rPr>
      <w:lang w:val="en-US"/>
    </w:rPr>
  </w:style>
  <w:style w:type="character" w:customStyle="1" w:styleId="at2">
    <w:name w:val="a__t2"/>
    <w:rsid w:val="00DF5568"/>
  </w:style>
  <w:style w:type="paragraph" w:customStyle="1" w:styleId="Foonote">
    <w:name w:val="Foonote"/>
    <w:basedOn w:val="Default"/>
    <w:rsid w:val="00DF5568"/>
    <w:pPr>
      <w:jc w:val="both"/>
    </w:pPr>
    <w:rPr>
      <w:rFonts w:ascii="Times New Roman" w:hAnsi="Times New Roman" w:cs="Times New Roman"/>
      <w:bCs/>
      <w:sz w:val="20"/>
      <w:szCs w:val="20"/>
    </w:rPr>
  </w:style>
  <w:style w:type="character" w:customStyle="1" w:styleId="Point1letterChar">
    <w:name w:val="Point 1 (letter) Char"/>
    <w:rsid w:val="00DF5568"/>
    <w:rPr>
      <w:sz w:val="24"/>
      <w:szCs w:val="24"/>
      <w:lang w:val="fr-FR" w:eastAsia="en-US"/>
    </w:rPr>
  </w:style>
  <w:style w:type="paragraph" w:customStyle="1" w:styleId="NormalConseil">
    <w:name w:val="NormalConseil"/>
    <w:basedOn w:val="Normal"/>
    <w:rsid w:val="00DF5568"/>
    <w:pPr>
      <w:spacing w:before="0" w:after="0" w:line="240" w:lineRule="auto"/>
    </w:pPr>
    <w:rPr>
      <w:szCs w:val="20"/>
      <w:lang w:eastAsia="fr-BE"/>
    </w:rPr>
  </w:style>
  <w:style w:type="paragraph" w:customStyle="1" w:styleId="ZnakZnak1Char">
    <w:name w:val="Znak Znak1 Char"/>
    <w:basedOn w:val="Normal"/>
    <w:rsid w:val="00DF5568"/>
    <w:pPr>
      <w:spacing w:before="0" w:after="160" w:line="240" w:lineRule="exact"/>
    </w:pPr>
    <w:rPr>
      <w:rFonts w:ascii="Tahoma" w:hAnsi="Tahoma"/>
      <w:sz w:val="20"/>
      <w:szCs w:val="20"/>
      <w:lang w:val="en-US"/>
    </w:rPr>
  </w:style>
  <w:style w:type="paragraph" w:customStyle="1" w:styleId="CM1">
    <w:name w:val="CM1"/>
    <w:basedOn w:val="Default"/>
    <w:next w:val="Default"/>
    <w:rsid w:val="00DF5568"/>
    <w:rPr>
      <w:rFonts w:cs="Times New Roman"/>
      <w:color w:val="auto"/>
      <w:lang w:val="en-GB" w:eastAsia="en-GB"/>
    </w:rPr>
  </w:style>
  <w:style w:type="numbering" w:customStyle="1" w:styleId="NoList111">
    <w:name w:val="No List111"/>
    <w:next w:val="NoList"/>
    <w:semiHidden/>
    <w:unhideWhenUsed/>
    <w:rsid w:val="00DF5568"/>
  </w:style>
  <w:style w:type="paragraph" w:customStyle="1" w:styleId="ZnakZnak1Char1">
    <w:name w:val="Znak Znak1 Char1"/>
    <w:basedOn w:val="Normal"/>
    <w:rsid w:val="00DF5568"/>
    <w:pPr>
      <w:spacing w:before="0" w:after="160" w:line="240" w:lineRule="exact"/>
    </w:pPr>
    <w:rPr>
      <w:rFonts w:ascii="Tahoma" w:hAnsi="Tahoma"/>
      <w:sz w:val="20"/>
      <w:szCs w:val="20"/>
      <w:lang w:val="en-US"/>
    </w:rPr>
  </w:style>
  <w:style w:type="paragraph" w:customStyle="1" w:styleId="CharChar1CharCharCharCharCharCharCharCharCharCharCharCharChar">
    <w:name w:val="Char Char1 Char Char Char Char Char Char Char Char Char Char Char Char Char"/>
    <w:basedOn w:val="Normal"/>
    <w:rsid w:val="00DF5568"/>
    <w:pPr>
      <w:tabs>
        <w:tab w:val="left" w:pos="851"/>
        <w:tab w:val="right" w:pos="9356"/>
      </w:tabs>
      <w:spacing w:before="60" w:after="160" w:line="240" w:lineRule="exact"/>
      <w:jc w:val="both"/>
    </w:pPr>
    <w:rPr>
      <w:rFonts w:ascii="Verdana" w:hAnsi="Verdana"/>
      <w:sz w:val="20"/>
      <w:szCs w:val="20"/>
      <w:lang w:val="en-US"/>
    </w:rPr>
  </w:style>
  <w:style w:type="paragraph" w:customStyle="1" w:styleId="xmsonormal">
    <w:name w:val="x_msonormal"/>
    <w:basedOn w:val="Normal"/>
    <w:rsid w:val="00DF5568"/>
    <w:pPr>
      <w:spacing w:before="100" w:beforeAutospacing="1" w:after="100" w:afterAutospacing="1" w:line="240" w:lineRule="auto"/>
    </w:pPr>
    <w:rPr>
      <w:lang w:val="lt-LT" w:eastAsia="zh-CN"/>
    </w:rPr>
  </w:style>
  <w:style w:type="character" w:styleId="HTMLCite">
    <w:name w:val="HTML Cite"/>
    <w:uiPriority w:val="99"/>
    <w:unhideWhenUsed/>
    <w:rsid w:val="00DF5568"/>
    <w:rPr>
      <w:i/>
      <w:iCs/>
    </w:rPr>
  </w:style>
  <w:style w:type="character" w:customStyle="1" w:styleId="PP">
    <w:name w:val="PP"/>
    <w:qFormat/>
    <w:rsid w:val="00DF5568"/>
    <w:rPr>
      <w:rFonts w:ascii="Times New Roman" w:hAnsi="Times New Roman"/>
      <w:b w:val="0"/>
      <w:i w:val="0"/>
      <w:strike/>
      <w:dstrike w:val="0"/>
      <w:sz w:val="24"/>
    </w:rPr>
  </w:style>
  <w:style w:type="paragraph" w:customStyle="1" w:styleId="Normal12">
    <w:name w:val="Normal12"/>
    <w:basedOn w:val="Normal"/>
    <w:link w:val="Normal12Char"/>
    <w:rsid w:val="00DF5568"/>
    <w:pPr>
      <w:widowControl w:val="0"/>
      <w:spacing w:before="0" w:after="240" w:line="240" w:lineRule="auto"/>
    </w:pPr>
    <w:rPr>
      <w:szCs w:val="20"/>
      <w:lang w:val="x-none" w:eastAsia="x-none"/>
    </w:rPr>
  </w:style>
  <w:style w:type="character" w:customStyle="1" w:styleId="Normal12Char">
    <w:name w:val="Normal12 Char"/>
    <w:link w:val="Normal12"/>
    <w:locked/>
    <w:rsid w:val="00DF5568"/>
    <w:rPr>
      <w:sz w:val="24"/>
      <w:lang w:val="x-none" w:eastAsia="x-none"/>
    </w:rPr>
  </w:style>
  <w:style w:type="character" w:styleId="SubtleEmphasis">
    <w:name w:val="Subtle Emphasis"/>
    <w:uiPriority w:val="19"/>
    <w:qFormat/>
    <w:rsid w:val="00DF5568"/>
    <w:rPr>
      <w:i/>
      <w:color w:val="5A5A5A"/>
    </w:rPr>
  </w:style>
  <w:style w:type="paragraph" w:customStyle="1" w:styleId="ATHeading1">
    <w:name w:val="AT Heading 1"/>
    <w:basedOn w:val="Normal"/>
    <w:next w:val="Normal"/>
    <w:rsid w:val="00DF5568"/>
    <w:pPr>
      <w:keepNext/>
      <w:keepLines/>
      <w:spacing w:before="0" w:line="240" w:lineRule="auto"/>
      <w:outlineLvl w:val="0"/>
    </w:pPr>
    <w:rPr>
      <w:b/>
      <w:noProof/>
      <w:sz w:val="28"/>
      <w:szCs w:val="20"/>
      <w:lang w:eastAsia="en-GB"/>
    </w:rPr>
  </w:style>
  <w:style w:type="character" w:customStyle="1" w:styleId="yiv3791937573">
    <w:name w:val="yiv3791937573"/>
    <w:rsid w:val="00DF5568"/>
  </w:style>
  <w:style w:type="character" w:customStyle="1" w:styleId="apple-converted-space">
    <w:name w:val="apple-converted-space"/>
    <w:rsid w:val="00DF5568"/>
  </w:style>
  <w:style w:type="paragraph" w:customStyle="1" w:styleId="yiv8020451098msonormal">
    <w:name w:val="yiv8020451098msonormal"/>
    <w:basedOn w:val="Normal"/>
    <w:rsid w:val="00DF5568"/>
    <w:pPr>
      <w:spacing w:before="100" w:beforeAutospacing="1" w:after="100" w:afterAutospacing="1" w:line="240" w:lineRule="auto"/>
    </w:pPr>
    <w:rPr>
      <w:lang w:val="it-IT" w:eastAsia="it-IT"/>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0E095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0">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B8507A"/>
    <w:pPr>
      <w:spacing w:before="0" w:after="600" w:line="240" w:lineRule="auto"/>
      <w:jc w:val="center"/>
    </w:pPr>
    <w:rPr>
      <w:b/>
      <w:caps/>
      <w:lang w:eastAsia="de-DE"/>
    </w:rPr>
  </w:style>
  <w:style w:type="paragraph" w:customStyle="1" w:styleId="Rfrenceinterne">
    <w:name w:val="Référence interne"/>
    <w:basedOn w:val="Normal"/>
    <w:next w:val="Normal"/>
    <w:rsid w:val="00B8507A"/>
    <w:pPr>
      <w:spacing w:before="0" w:after="600" w:line="240" w:lineRule="auto"/>
      <w:jc w:val="center"/>
    </w:pPr>
    <w:rPr>
      <w:b/>
      <w:lang w:eastAsia="de-DE"/>
    </w:rPr>
  </w:style>
  <w:style w:type="paragraph" w:customStyle="1" w:styleId="HeaderCouncilLarge">
    <w:name w:val="Header Council Large"/>
    <w:basedOn w:val="Normal"/>
    <w:link w:val="HeaderCouncilLargeChar"/>
    <w:rsid w:val="00B8507A"/>
    <w:pPr>
      <w:spacing w:before="0" w:after="440"/>
    </w:pPr>
    <w:rPr>
      <w:sz w:val="2"/>
    </w:rPr>
  </w:style>
  <w:style w:type="character" w:customStyle="1" w:styleId="LignefinalChar">
    <w:name w:val="Ligne final Char"/>
    <w:basedOn w:val="DefaultParagraphFont"/>
    <w:rsid w:val="00B8507A"/>
    <w:rPr>
      <w:b/>
      <w:sz w:val="24"/>
      <w:szCs w:val="24"/>
      <w:lang w:val="fr-FR" w:eastAsia="en-US"/>
    </w:rPr>
  </w:style>
  <w:style w:type="character" w:customStyle="1" w:styleId="HeaderCouncilLargeChar">
    <w:name w:val="Header Council Large Char"/>
    <w:basedOn w:val="LignefinalChar"/>
    <w:link w:val="HeaderCouncilLarge"/>
    <w:rsid w:val="00B8507A"/>
    <w:rPr>
      <w:b w:val="0"/>
      <w:sz w:val="2"/>
      <w:szCs w:val="24"/>
      <w:lang w:val="fr-FR" w:eastAsia="en-US"/>
    </w:rPr>
  </w:style>
  <w:style w:type="paragraph" w:customStyle="1" w:styleId="FooterText">
    <w:name w:val="Footer Text"/>
    <w:basedOn w:val="Normal"/>
    <w:rsid w:val="00B8507A"/>
    <w:pPr>
      <w:spacing w:before="0" w:after="0" w:line="240" w:lineRule="auto"/>
    </w:pPr>
    <w:rPr>
      <w:lang w:val="en-GB"/>
    </w:rPr>
  </w:style>
  <w:style w:type="paragraph" w:customStyle="1" w:styleId="NormalJustified">
    <w:name w:val="Normal Justified"/>
    <w:basedOn w:val="Normal"/>
    <w:rsid w:val="00DF5568"/>
    <w:pPr>
      <w:spacing w:before="200"/>
      <w:jc w:val="both"/>
    </w:pPr>
  </w:style>
  <w:style w:type="paragraph" w:customStyle="1" w:styleId="FinalLine">
    <w:name w:val="Final Line"/>
    <w:basedOn w:val="Normal"/>
    <w:next w:val="Normal"/>
    <w:rsid w:val="00DF5568"/>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DF5568"/>
    <w:pPr>
      <w:pBdr>
        <w:bottom w:val="single" w:sz="4" w:space="0" w:color="000000"/>
      </w:pBdr>
      <w:spacing w:before="360"/>
      <w:ind w:left="5868" w:right="5868"/>
      <w:jc w:val="center"/>
    </w:pPr>
    <w:rPr>
      <w:b/>
    </w:rPr>
  </w:style>
  <w:style w:type="paragraph" w:customStyle="1" w:styleId="Text5">
    <w:name w:val="Text 5"/>
    <w:basedOn w:val="Normal"/>
    <w:rsid w:val="00DF5568"/>
    <w:pPr>
      <w:ind w:left="2835"/>
      <w:outlineLvl w:val="4"/>
    </w:pPr>
  </w:style>
  <w:style w:type="paragraph" w:customStyle="1" w:styleId="Text6">
    <w:name w:val="Text 6"/>
    <w:basedOn w:val="Normal"/>
    <w:rsid w:val="00DF5568"/>
    <w:pPr>
      <w:ind w:left="3402"/>
      <w:outlineLvl w:val="5"/>
    </w:pPr>
  </w:style>
  <w:style w:type="paragraph" w:customStyle="1" w:styleId="PointManual">
    <w:name w:val="Point Manual"/>
    <w:basedOn w:val="Normal"/>
    <w:rsid w:val="00DF5568"/>
    <w:pPr>
      <w:ind w:left="567" w:hanging="567"/>
    </w:pPr>
  </w:style>
  <w:style w:type="paragraph" w:customStyle="1" w:styleId="PointManual1">
    <w:name w:val="Point Manual (1)"/>
    <w:basedOn w:val="Normal"/>
    <w:rsid w:val="00DF5568"/>
    <w:pPr>
      <w:ind w:left="1134" w:hanging="567"/>
      <w:outlineLvl w:val="0"/>
    </w:pPr>
  </w:style>
  <w:style w:type="paragraph" w:customStyle="1" w:styleId="PointManual2">
    <w:name w:val="Point Manual (2)"/>
    <w:basedOn w:val="Normal"/>
    <w:rsid w:val="00DF5568"/>
    <w:pPr>
      <w:ind w:left="1701" w:hanging="567"/>
      <w:outlineLvl w:val="1"/>
    </w:pPr>
  </w:style>
  <w:style w:type="paragraph" w:customStyle="1" w:styleId="PointManual3">
    <w:name w:val="Point Manual (3)"/>
    <w:basedOn w:val="Normal"/>
    <w:rsid w:val="00DF5568"/>
    <w:pPr>
      <w:ind w:left="2268" w:hanging="567"/>
      <w:outlineLvl w:val="2"/>
    </w:pPr>
  </w:style>
  <w:style w:type="paragraph" w:customStyle="1" w:styleId="PointManual4">
    <w:name w:val="Point Manual (4)"/>
    <w:basedOn w:val="Normal"/>
    <w:rsid w:val="00DF5568"/>
    <w:pPr>
      <w:ind w:left="2835" w:hanging="567"/>
      <w:outlineLvl w:val="3"/>
    </w:pPr>
  </w:style>
  <w:style w:type="paragraph" w:customStyle="1" w:styleId="PointDoubleManual">
    <w:name w:val="Point Double Manual"/>
    <w:basedOn w:val="Normal"/>
    <w:rsid w:val="00DF5568"/>
    <w:pPr>
      <w:tabs>
        <w:tab w:val="left" w:pos="567"/>
      </w:tabs>
      <w:ind w:left="1134" w:hanging="1134"/>
    </w:pPr>
  </w:style>
  <w:style w:type="paragraph" w:customStyle="1" w:styleId="PointDoubleManual1">
    <w:name w:val="Point Double Manual (1)"/>
    <w:basedOn w:val="Normal"/>
    <w:rsid w:val="00DF5568"/>
    <w:pPr>
      <w:tabs>
        <w:tab w:val="left" w:pos="1134"/>
      </w:tabs>
      <w:ind w:left="1701" w:hanging="1134"/>
      <w:outlineLvl w:val="0"/>
    </w:pPr>
  </w:style>
  <w:style w:type="paragraph" w:customStyle="1" w:styleId="PointDoubleManual2">
    <w:name w:val="Point Double Manual (2)"/>
    <w:basedOn w:val="Normal"/>
    <w:rsid w:val="00DF5568"/>
    <w:pPr>
      <w:tabs>
        <w:tab w:val="left" w:pos="1701"/>
      </w:tabs>
      <w:ind w:left="2268" w:hanging="1134"/>
      <w:outlineLvl w:val="1"/>
    </w:pPr>
  </w:style>
  <w:style w:type="paragraph" w:customStyle="1" w:styleId="PointDoubleManual3">
    <w:name w:val="Point Double Manual (3)"/>
    <w:basedOn w:val="Normal"/>
    <w:rsid w:val="00DF5568"/>
    <w:pPr>
      <w:tabs>
        <w:tab w:val="left" w:pos="2268"/>
      </w:tabs>
      <w:ind w:left="2835" w:hanging="1134"/>
      <w:outlineLvl w:val="2"/>
    </w:pPr>
  </w:style>
  <w:style w:type="paragraph" w:customStyle="1" w:styleId="PointDoubleManual4">
    <w:name w:val="Point Double Manual (4)"/>
    <w:basedOn w:val="Normal"/>
    <w:rsid w:val="00DF5568"/>
    <w:pPr>
      <w:tabs>
        <w:tab w:val="left" w:pos="2835"/>
      </w:tabs>
      <w:ind w:left="3402" w:hanging="1134"/>
      <w:outlineLvl w:val="3"/>
    </w:pPr>
  </w:style>
  <w:style w:type="paragraph" w:customStyle="1" w:styleId="Pointabc">
    <w:name w:val="Point abc"/>
    <w:basedOn w:val="Normal"/>
    <w:rsid w:val="00DF5568"/>
    <w:pPr>
      <w:numPr>
        <w:ilvl w:val="1"/>
        <w:numId w:val="12"/>
      </w:numPr>
    </w:pPr>
  </w:style>
  <w:style w:type="paragraph" w:customStyle="1" w:styleId="Pointabc1">
    <w:name w:val="Point abc (1)"/>
    <w:basedOn w:val="Normal"/>
    <w:rsid w:val="00DF5568"/>
    <w:pPr>
      <w:numPr>
        <w:ilvl w:val="3"/>
        <w:numId w:val="12"/>
      </w:numPr>
      <w:outlineLvl w:val="0"/>
    </w:pPr>
  </w:style>
  <w:style w:type="paragraph" w:customStyle="1" w:styleId="Pointabc2">
    <w:name w:val="Point abc (2)"/>
    <w:basedOn w:val="Normal"/>
    <w:rsid w:val="00DF5568"/>
    <w:pPr>
      <w:numPr>
        <w:ilvl w:val="5"/>
        <w:numId w:val="12"/>
      </w:numPr>
      <w:outlineLvl w:val="1"/>
    </w:pPr>
  </w:style>
  <w:style w:type="paragraph" w:customStyle="1" w:styleId="Pointabc3">
    <w:name w:val="Point abc (3)"/>
    <w:basedOn w:val="Normal"/>
    <w:rsid w:val="00DF5568"/>
    <w:pPr>
      <w:numPr>
        <w:ilvl w:val="7"/>
        <w:numId w:val="12"/>
      </w:numPr>
      <w:outlineLvl w:val="2"/>
    </w:pPr>
  </w:style>
  <w:style w:type="paragraph" w:customStyle="1" w:styleId="Pointabc4">
    <w:name w:val="Point abc (4)"/>
    <w:basedOn w:val="Normal"/>
    <w:rsid w:val="00DF5568"/>
    <w:pPr>
      <w:numPr>
        <w:ilvl w:val="8"/>
        <w:numId w:val="12"/>
      </w:numPr>
      <w:outlineLvl w:val="3"/>
    </w:pPr>
  </w:style>
  <w:style w:type="paragraph" w:customStyle="1" w:styleId="Point123">
    <w:name w:val="Point 123"/>
    <w:basedOn w:val="Normal"/>
    <w:rsid w:val="00DF5568"/>
    <w:pPr>
      <w:numPr>
        <w:numId w:val="12"/>
      </w:numPr>
    </w:pPr>
  </w:style>
  <w:style w:type="paragraph" w:customStyle="1" w:styleId="Point1231">
    <w:name w:val="Point 123 (1)"/>
    <w:basedOn w:val="Normal"/>
    <w:rsid w:val="00DF5568"/>
    <w:pPr>
      <w:numPr>
        <w:ilvl w:val="2"/>
        <w:numId w:val="12"/>
      </w:numPr>
      <w:outlineLvl w:val="0"/>
    </w:pPr>
  </w:style>
  <w:style w:type="paragraph" w:customStyle="1" w:styleId="Point1232">
    <w:name w:val="Point 123 (2)"/>
    <w:basedOn w:val="Normal"/>
    <w:rsid w:val="00DF5568"/>
    <w:pPr>
      <w:numPr>
        <w:ilvl w:val="4"/>
        <w:numId w:val="12"/>
      </w:numPr>
      <w:outlineLvl w:val="1"/>
    </w:pPr>
  </w:style>
  <w:style w:type="paragraph" w:customStyle="1" w:styleId="Point1233">
    <w:name w:val="Point 123 (3)"/>
    <w:basedOn w:val="Normal"/>
    <w:rsid w:val="00DF5568"/>
    <w:pPr>
      <w:numPr>
        <w:ilvl w:val="6"/>
        <w:numId w:val="12"/>
      </w:numPr>
      <w:outlineLvl w:val="2"/>
    </w:pPr>
  </w:style>
  <w:style w:type="paragraph" w:customStyle="1" w:styleId="Pointivx">
    <w:name w:val="Point ivx"/>
    <w:basedOn w:val="Normal"/>
    <w:rsid w:val="00DF5568"/>
    <w:pPr>
      <w:numPr>
        <w:numId w:val="13"/>
      </w:numPr>
    </w:pPr>
  </w:style>
  <w:style w:type="paragraph" w:customStyle="1" w:styleId="Pointivx1">
    <w:name w:val="Point ivx (1)"/>
    <w:basedOn w:val="Normal"/>
    <w:rsid w:val="00DF5568"/>
    <w:pPr>
      <w:numPr>
        <w:ilvl w:val="1"/>
        <w:numId w:val="13"/>
      </w:numPr>
      <w:outlineLvl w:val="0"/>
    </w:pPr>
  </w:style>
  <w:style w:type="paragraph" w:customStyle="1" w:styleId="Pointivx2">
    <w:name w:val="Point ivx (2)"/>
    <w:basedOn w:val="Normal"/>
    <w:rsid w:val="00DF5568"/>
    <w:pPr>
      <w:numPr>
        <w:ilvl w:val="2"/>
        <w:numId w:val="13"/>
      </w:numPr>
      <w:outlineLvl w:val="1"/>
    </w:pPr>
  </w:style>
  <w:style w:type="paragraph" w:customStyle="1" w:styleId="Pointivx3">
    <w:name w:val="Point ivx (3)"/>
    <w:basedOn w:val="Normal"/>
    <w:rsid w:val="00DF5568"/>
    <w:pPr>
      <w:numPr>
        <w:ilvl w:val="3"/>
        <w:numId w:val="13"/>
      </w:numPr>
      <w:outlineLvl w:val="2"/>
    </w:pPr>
  </w:style>
  <w:style w:type="paragraph" w:customStyle="1" w:styleId="Pointivx4">
    <w:name w:val="Point ivx (4)"/>
    <w:basedOn w:val="Normal"/>
    <w:rsid w:val="00DF5568"/>
    <w:pPr>
      <w:numPr>
        <w:ilvl w:val="4"/>
        <w:numId w:val="13"/>
      </w:numPr>
      <w:outlineLvl w:val="3"/>
    </w:pPr>
  </w:style>
  <w:style w:type="paragraph" w:customStyle="1" w:styleId="Bullet">
    <w:name w:val="Bullet"/>
    <w:basedOn w:val="Normal"/>
    <w:rsid w:val="00DF5568"/>
    <w:pPr>
      <w:numPr>
        <w:numId w:val="11"/>
      </w:numPr>
    </w:pPr>
  </w:style>
  <w:style w:type="paragraph" w:customStyle="1" w:styleId="Dash">
    <w:name w:val="Dash"/>
    <w:basedOn w:val="Normal"/>
    <w:rsid w:val="00DF5568"/>
    <w:pPr>
      <w:numPr>
        <w:numId w:val="1"/>
      </w:numPr>
    </w:pPr>
  </w:style>
  <w:style w:type="paragraph" w:customStyle="1" w:styleId="Dash1">
    <w:name w:val="Dash 1"/>
    <w:basedOn w:val="Normal"/>
    <w:rsid w:val="00DF5568"/>
    <w:pPr>
      <w:numPr>
        <w:numId w:val="2"/>
      </w:numPr>
      <w:outlineLvl w:val="0"/>
    </w:pPr>
  </w:style>
  <w:style w:type="paragraph" w:customStyle="1" w:styleId="Dash2">
    <w:name w:val="Dash 2"/>
    <w:basedOn w:val="Normal"/>
    <w:rsid w:val="00DF5568"/>
    <w:pPr>
      <w:numPr>
        <w:numId w:val="3"/>
      </w:numPr>
      <w:outlineLvl w:val="1"/>
    </w:pPr>
  </w:style>
  <w:style w:type="paragraph" w:customStyle="1" w:styleId="Dash3">
    <w:name w:val="Dash 3"/>
    <w:basedOn w:val="Normal"/>
    <w:rsid w:val="00DF5568"/>
    <w:pPr>
      <w:numPr>
        <w:numId w:val="4"/>
      </w:numPr>
      <w:outlineLvl w:val="2"/>
    </w:pPr>
  </w:style>
  <w:style w:type="paragraph" w:customStyle="1" w:styleId="Dash4">
    <w:name w:val="Dash 4"/>
    <w:basedOn w:val="Normal"/>
    <w:rsid w:val="00DF5568"/>
    <w:pPr>
      <w:numPr>
        <w:numId w:val="5"/>
      </w:numPr>
      <w:outlineLvl w:val="3"/>
    </w:pPr>
  </w:style>
  <w:style w:type="paragraph" w:customStyle="1" w:styleId="DashEqual">
    <w:name w:val="Dash Equal"/>
    <w:basedOn w:val="Dash"/>
    <w:rsid w:val="00DF5568"/>
    <w:pPr>
      <w:numPr>
        <w:numId w:val="6"/>
      </w:numPr>
    </w:pPr>
  </w:style>
  <w:style w:type="paragraph" w:customStyle="1" w:styleId="DashEqual1">
    <w:name w:val="Dash Equal 1"/>
    <w:basedOn w:val="Dash1"/>
    <w:rsid w:val="00DF5568"/>
    <w:pPr>
      <w:numPr>
        <w:numId w:val="7"/>
      </w:numPr>
    </w:pPr>
  </w:style>
  <w:style w:type="paragraph" w:customStyle="1" w:styleId="DashEqual2">
    <w:name w:val="Dash Equal 2"/>
    <w:basedOn w:val="Dash2"/>
    <w:rsid w:val="00DF5568"/>
    <w:pPr>
      <w:numPr>
        <w:numId w:val="8"/>
      </w:numPr>
    </w:pPr>
  </w:style>
  <w:style w:type="paragraph" w:customStyle="1" w:styleId="DashEqual3">
    <w:name w:val="Dash Equal 3"/>
    <w:basedOn w:val="Dash3"/>
    <w:rsid w:val="00DF5568"/>
    <w:pPr>
      <w:numPr>
        <w:numId w:val="9"/>
      </w:numPr>
    </w:pPr>
  </w:style>
  <w:style w:type="paragraph" w:customStyle="1" w:styleId="DashEqual4">
    <w:name w:val="Dash Equal 4"/>
    <w:basedOn w:val="Dash4"/>
    <w:rsid w:val="00DF5568"/>
    <w:pPr>
      <w:numPr>
        <w:numId w:val="10"/>
      </w:numPr>
    </w:pPr>
  </w:style>
  <w:style w:type="paragraph" w:customStyle="1" w:styleId="HeadingLeft">
    <w:name w:val="Heading Left"/>
    <w:basedOn w:val="Normal"/>
    <w:next w:val="Normal"/>
    <w:rsid w:val="00DF5568"/>
    <w:pPr>
      <w:spacing w:before="360"/>
      <w:outlineLvl w:val="0"/>
    </w:pPr>
    <w:rPr>
      <w:b/>
      <w:caps/>
      <w:u w:val="single"/>
    </w:rPr>
  </w:style>
  <w:style w:type="paragraph" w:customStyle="1" w:styleId="HeadingIVX">
    <w:name w:val="Heading IVX"/>
    <w:basedOn w:val="HeadingLeft"/>
    <w:next w:val="Normal"/>
    <w:rsid w:val="00DF5568"/>
    <w:pPr>
      <w:numPr>
        <w:numId w:val="16"/>
      </w:numPr>
    </w:pPr>
  </w:style>
  <w:style w:type="paragraph" w:customStyle="1" w:styleId="Heading123">
    <w:name w:val="Heading 123"/>
    <w:basedOn w:val="HeadingLeft"/>
    <w:next w:val="Normal"/>
    <w:rsid w:val="00DF5568"/>
    <w:pPr>
      <w:numPr>
        <w:numId w:val="15"/>
      </w:numPr>
    </w:pPr>
  </w:style>
  <w:style w:type="paragraph" w:customStyle="1" w:styleId="HeadingABC">
    <w:name w:val="Heading ABC"/>
    <w:basedOn w:val="HeadingLeft"/>
    <w:next w:val="Normal"/>
    <w:rsid w:val="00DF5568"/>
    <w:pPr>
      <w:numPr>
        <w:numId w:val="14"/>
      </w:numPr>
    </w:pPr>
  </w:style>
  <w:style w:type="paragraph" w:customStyle="1" w:styleId="HeadingCentered">
    <w:name w:val="Heading Centered"/>
    <w:basedOn w:val="HeadingLeft"/>
    <w:next w:val="Normal"/>
    <w:rsid w:val="00DF5568"/>
    <w:pPr>
      <w:jc w:val="center"/>
    </w:pPr>
  </w:style>
  <w:style w:type="paragraph" w:customStyle="1" w:styleId="Amendment">
    <w:name w:val="Amendment"/>
    <w:basedOn w:val="Normal"/>
    <w:next w:val="Normal"/>
    <w:rsid w:val="00DF5568"/>
    <w:rPr>
      <w:i/>
      <w:u w:val="single"/>
    </w:rPr>
  </w:style>
  <w:style w:type="paragraph" w:customStyle="1" w:styleId="AmendmentList">
    <w:name w:val="Amendment List"/>
    <w:basedOn w:val="Normal"/>
    <w:rsid w:val="00DF5568"/>
    <w:pPr>
      <w:ind w:left="2268" w:hanging="2268"/>
    </w:pPr>
  </w:style>
  <w:style w:type="paragraph" w:customStyle="1" w:styleId="ReplyRE">
    <w:name w:val="Reply RE"/>
    <w:basedOn w:val="Normal"/>
    <w:next w:val="Normal"/>
    <w:rsid w:val="00DF5568"/>
    <w:pPr>
      <w:spacing w:after="480" w:line="240" w:lineRule="auto"/>
      <w:contextualSpacing/>
    </w:pPr>
  </w:style>
  <w:style w:type="paragraph" w:customStyle="1" w:styleId="ReplyBold">
    <w:name w:val="Reply Bold"/>
    <w:basedOn w:val="ReplyRE"/>
    <w:next w:val="Normal"/>
    <w:rsid w:val="00DF5568"/>
    <w:rPr>
      <w:b/>
    </w:rPr>
  </w:style>
  <w:style w:type="paragraph" w:customStyle="1" w:styleId="Annex">
    <w:name w:val="Annex"/>
    <w:basedOn w:val="Normal"/>
    <w:next w:val="Normal"/>
    <w:rsid w:val="00DF5568"/>
    <w:pPr>
      <w:jc w:val="right"/>
    </w:pPr>
    <w:rPr>
      <w:b/>
      <w:u w:val="single"/>
    </w:rPr>
  </w:style>
  <w:style w:type="paragraph" w:customStyle="1" w:styleId="Sign">
    <w:name w:val="Sign"/>
    <w:basedOn w:val="Normal"/>
    <w:rsid w:val="00DF5568"/>
    <w:pPr>
      <w:tabs>
        <w:tab w:val="center" w:pos="7087"/>
      </w:tabs>
    </w:pPr>
  </w:style>
  <w:style w:type="paragraph" w:customStyle="1" w:styleId="NotDeclassified">
    <w:name w:val="Not Declassified"/>
    <w:basedOn w:val="Normal"/>
    <w:qFormat/>
    <w:rsid w:val="00DF5568"/>
    <w:rPr>
      <w:b/>
      <w:bCs/>
      <w:bdr w:val="single" w:sz="4" w:space="0" w:color="auto"/>
      <w:shd w:val="solid" w:color="CCCCCC" w:fill="CCCCCC"/>
      <w:lang w:val="de-LU"/>
    </w:rPr>
  </w:style>
  <w:style w:type="character" w:customStyle="1" w:styleId="TechnicalBlockChar">
    <w:name w:val="Technical Block Char"/>
    <w:rsid w:val="00DF5568"/>
    <w:rPr>
      <w:sz w:val="24"/>
      <w:szCs w:val="24"/>
      <w:lang w:val="fr-FR" w:eastAsia="en-US"/>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DF5568"/>
    <w:rPr>
      <w:sz w:val="24"/>
      <w:lang w:val="fr-FR" w:eastAsia="en-US"/>
    </w:rPr>
  </w:style>
  <w:style w:type="paragraph" w:styleId="ListParagraph">
    <w:name w:val="List Paragraph"/>
    <w:basedOn w:val="Normal"/>
    <w:link w:val="ListParagraphChar"/>
    <w:qFormat/>
    <w:rsid w:val="00DF5568"/>
    <w:pPr>
      <w:spacing w:before="0" w:after="0" w:line="240" w:lineRule="auto"/>
      <w:ind w:left="720"/>
    </w:pPr>
    <w:rPr>
      <w:sz w:val="22"/>
      <w:szCs w:val="22"/>
      <w:lang w:val="en-US"/>
    </w:rPr>
  </w:style>
  <w:style w:type="character" w:customStyle="1" w:styleId="ListParagraphChar">
    <w:name w:val="List Paragraph Char"/>
    <w:link w:val="ListParagraph"/>
    <w:rsid w:val="00DF5568"/>
    <w:rPr>
      <w:sz w:val="22"/>
      <w:szCs w:val="22"/>
      <w:lang w:val="en-US" w:eastAsia="en-US"/>
    </w:rPr>
  </w:style>
  <w:style w:type="paragraph" w:customStyle="1" w:styleId="Normal6">
    <w:name w:val="Normal6"/>
    <w:basedOn w:val="Normal"/>
    <w:link w:val="Normal6Char"/>
    <w:rsid w:val="00DF5568"/>
    <w:pPr>
      <w:widowControl w:val="0"/>
      <w:spacing w:before="0" w:line="240" w:lineRule="auto"/>
    </w:pPr>
    <w:rPr>
      <w:szCs w:val="20"/>
      <w:lang w:eastAsia="en-GB"/>
    </w:rPr>
  </w:style>
  <w:style w:type="character" w:customStyle="1" w:styleId="Normal6Char">
    <w:name w:val="Normal6 Char"/>
    <w:link w:val="Normal6"/>
    <w:rsid w:val="00DF5568"/>
    <w:rPr>
      <w:sz w:val="24"/>
      <w:lang w:val="fr-FR" w:eastAsia="en-GB"/>
    </w:rPr>
  </w:style>
  <w:style w:type="character" w:styleId="Strong">
    <w:name w:val="Strong"/>
    <w:uiPriority w:val="22"/>
    <w:qFormat/>
    <w:rsid w:val="00DF5568"/>
    <w:rPr>
      <w:rFonts w:cs="Times New Roman"/>
      <w:b/>
      <w:bCs/>
      <w:shd w:val="clear" w:color="auto" w:fill="auto"/>
    </w:rPr>
  </w:style>
  <w:style w:type="character" w:customStyle="1" w:styleId="Heading1Char">
    <w:name w:val="Heading 1 Char"/>
    <w:rsid w:val="00DF5568"/>
    <w:rPr>
      <w:b/>
      <w:bCs/>
      <w:smallCaps/>
      <w:sz w:val="24"/>
      <w:szCs w:val="32"/>
      <w:lang w:val="fr-FR" w:eastAsia="en-US"/>
    </w:rPr>
  </w:style>
  <w:style w:type="character" w:customStyle="1" w:styleId="Heading2Char">
    <w:name w:val="Heading 2 Char"/>
    <w:rsid w:val="00DF5568"/>
    <w:rPr>
      <w:b/>
      <w:bCs/>
      <w:iCs/>
      <w:sz w:val="24"/>
      <w:szCs w:val="28"/>
      <w:lang w:val="fr-FR" w:eastAsia="en-US"/>
    </w:rPr>
  </w:style>
  <w:style w:type="character" w:customStyle="1" w:styleId="Heading3Char">
    <w:name w:val="Heading 3 Char"/>
    <w:rsid w:val="00DF5568"/>
    <w:rPr>
      <w:bCs/>
      <w:i/>
      <w:sz w:val="24"/>
      <w:szCs w:val="26"/>
      <w:lang w:val="fr-FR" w:eastAsia="en-US"/>
    </w:rPr>
  </w:style>
  <w:style w:type="character" w:customStyle="1" w:styleId="Heading4Char">
    <w:name w:val="Heading 4 Char"/>
    <w:rsid w:val="00DF5568"/>
    <w:rPr>
      <w:bCs/>
      <w:sz w:val="24"/>
      <w:szCs w:val="28"/>
      <w:lang w:val="fr-FR" w:eastAsia="en-US"/>
    </w:rPr>
  </w:style>
  <w:style w:type="character" w:customStyle="1" w:styleId="HeaderChar">
    <w:name w:val="Header Char"/>
    <w:rsid w:val="00DF5568"/>
    <w:rPr>
      <w:sz w:val="24"/>
      <w:szCs w:val="24"/>
      <w:lang w:val="fr-FR" w:eastAsia="en-US"/>
    </w:rPr>
  </w:style>
  <w:style w:type="character" w:customStyle="1" w:styleId="FooterChar">
    <w:name w:val="Footer Char"/>
    <w:uiPriority w:val="99"/>
    <w:rsid w:val="00DF5568"/>
    <w:rPr>
      <w:sz w:val="24"/>
      <w:szCs w:val="24"/>
      <w:lang w:val="fr-FR" w:eastAsia="en-US"/>
    </w:rPr>
  </w:style>
  <w:style w:type="paragraph" w:customStyle="1" w:styleId="CM2">
    <w:name w:val="CM2"/>
    <w:basedOn w:val="Normal"/>
    <w:next w:val="Normal"/>
    <w:rsid w:val="00DF5568"/>
    <w:pPr>
      <w:widowControl w:val="0"/>
      <w:autoSpaceDE w:val="0"/>
      <w:autoSpaceDN w:val="0"/>
      <w:adjustRightInd w:val="0"/>
      <w:spacing w:before="0" w:after="0" w:line="276" w:lineRule="atLeast"/>
    </w:pPr>
    <w:rPr>
      <w:rFonts w:ascii="Arial" w:hAnsi="Arial"/>
      <w:lang w:eastAsia="en-GB"/>
    </w:rPr>
  </w:style>
  <w:style w:type="character" w:customStyle="1" w:styleId="Added">
    <w:name w:val="Added"/>
    <w:rsid w:val="00DF5568"/>
    <w:rPr>
      <w:rFonts w:cs="Times New Roman"/>
      <w:b/>
      <w:u w:val="single"/>
      <w:shd w:val="clear" w:color="auto" w:fill="auto"/>
    </w:rPr>
  </w:style>
  <w:style w:type="character" w:styleId="CommentReference">
    <w:name w:val="annotation reference"/>
    <w:rsid w:val="00DF5568"/>
    <w:rPr>
      <w:rFonts w:cs="Times New Roman"/>
      <w:sz w:val="16"/>
      <w:szCs w:val="16"/>
      <w:shd w:val="clear" w:color="auto" w:fill="auto"/>
    </w:rPr>
  </w:style>
  <w:style w:type="character" w:styleId="Emphasis">
    <w:name w:val="Emphasis"/>
    <w:qFormat/>
    <w:rsid w:val="00DF5568"/>
    <w:rPr>
      <w:i/>
    </w:rPr>
  </w:style>
  <w:style w:type="character" w:styleId="PageNumber">
    <w:name w:val="page number"/>
    <w:rsid w:val="00DF5568"/>
  </w:style>
  <w:style w:type="character" w:customStyle="1" w:styleId="italic1">
    <w:name w:val="italic1"/>
    <w:rsid w:val="00DF5568"/>
    <w:rPr>
      <w:rFonts w:cs="Times New Roman"/>
      <w:i/>
      <w:iCs/>
    </w:rPr>
  </w:style>
  <w:style w:type="paragraph" w:styleId="ListBullet">
    <w:name w:val="List Bullet"/>
    <w:basedOn w:val="Normal"/>
    <w:rsid w:val="00DF5568"/>
    <w:pPr>
      <w:numPr>
        <w:numId w:val="17"/>
      </w:numPr>
      <w:spacing w:line="240" w:lineRule="auto"/>
      <w:jc w:val="both"/>
    </w:pPr>
    <w:rPr>
      <w:lang w:eastAsia="de-DE"/>
    </w:rPr>
  </w:style>
  <w:style w:type="paragraph" w:styleId="ListNumber">
    <w:name w:val="List Number"/>
    <w:basedOn w:val="Normal"/>
    <w:rsid w:val="00DF5568"/>
    <w:pPr>
      <w:numPr>
        <w:numId w:val="18"/>
      </w:numPr>
      <w:spacing w:line="240" w:lineRule="auto"/>
      <w:jc w:val="both"/>
    </w:pPr>
    <w:rPr>
      <w:lang w:eastAsia="de-DE"/>
    </w:rPr>
  </w:style>
  <w:style w:type="paragraph" w:customStyle="1" w:styleId="ListNumberLevel2">
    <w:name w:val="List Number (Level 2)"/>
    <w:basedOn w:val="Normal"/>
    <w:rsid w:val="00DF5568"/>
    <w:pPr>
      <w:numPr>
        <w:ilvl w:val="1"/>
        <w:numId w:val="18"/>
      </w:numPr>
      <w:spacing w:line="240" w:lineRule="auto"/>
      <w:jc w:val="both"/>
    </w:pPr>
    <w:rPr>
      <w:lang w:eastAsia="de-DE"/>
    </w:rPr>
  </w:style>
  <w:style w:type="paragraph" w:customStyle="1" w:styleId="ListNumberLevel3">
    <w:name w:val="List Number (Level 3)"/>
    <w:basedOn w:val="Normal"/>
    <w:rsid w:val="00DF5568"/>
    <w:pPr>
      <w:numPr>
        <w:ilvl w:val="2"/>
        <w:numId w:val="18"/>
      </w:numPr>
      <w:spacing w:line="240" w:lineRule="auto"/>
      <w:jc w:val="both"/>
    </w:pPr>
    <w:rPr>
      <w:lang w:eastAsia="de-DE"/>
    </w:rPr>
  </w:style>
  <w:style w:type="paragraph" w:customStyle="1" w:styleId="ListNumberLevel4">
    <w:name w:val="List Number (Level 4)"/>
    <w:basedOn w:val="Normal"/>
    <w:rsid w:val="00DF5568"/>
    <w:pPr>
      <w:numPr>
        <w:ilvl w:val="3"/>
        <w:numId w:val="18"/>
      </w:numPr>
      <w:spacing w:line="240" w:lineRule="auto"/>
      <w:jc w:val="both"/>
    </w:pPr>
    <w:rPr>
      <w:lang w:eastAsia="de-DE"/>
    </w:rPr>
  </w:style>
  <w:style w:type="character" w:customStyle="1" w:styleId="Marker2">
    <w:name w:val="Marker2"/>
    <w:rsid w:val="00DF5568"/>
    <w:rPr>
      <w:rFonts w:cs="Times New Roman"/>
      <w:color w:val="FF0000"/>
      <w:shd w:val="clear" w:color="auto" w:fill="auto"/>
    </w:rPr>
  </w:style>
  <w:style w:type="paragraph" w:customStyle="1" w:styleId="Annexetitreexpos">
    <w:name w:val="Annexe titre (exposé)"/>
    <w:basedOn w:val="Normal"/>
    <w:next w:val="Normal"/>
    <w:rsid w:val="00DF5568"/>
    <w:pPr>
      <w:spacing w:line="240" w:lineRule="auto"/>
      <w:jc w:val="center"/>
    </w:pPr>
    <w:rPr>
      <w:b/>
      <w:u w:val="single"/>
    </w:rPr>
  </w:style>
  <w:style w:type="paragraph" w:customStyle="1" w:styleId="Annexetitrefichefinancire">
    <w:name w:val="Annexe titre (fiche financière)"/>
    <w:basedOn w:val="Normal"/>
    <w:next w:val="Normal"/>
    <w:rsid w:val="00DF5568"/>
    <w:pPr>
      <w:spacing w:line="240" w:lineRule="auto"/>
      <w:jc w:val="center"/>
    </w:pPr>
    <w:rPr>
      <w:b/>
      <w:u w:val="single"/>
    </w:rPr>
  </w:style>
  <w:style w:type="paragraph" w:customStyle="1" w:styleId="Avertissementtitre">
    <w:name w:val="Avertissement titre"/>
    <w:basedOn w:val="Normal"/>
    <w:next w:val="Normal"/>
    <w:rsid w:val="00DF5568"/>
    <w:pPr>
      <w:keepNext/>
      <w:spacing w:before="480" w:line="240" w:lineRule="auto"/>
      <w:jc w:val="both"/>
    </w:pPr>
    <w:rPr>
      <w:u w:val="single"/>
    </w:rPr>
  </w:style>
  <w:style w:type="paragraph" w:customStyle="1" w:styleId="Confidence">
    <w:name w:val="Confidence"/>
    <w:basedOn w:val="Normal"/>
    <w:next w:val="Normal"/>
    <w:rsid w:val="00DF5568"/>
    <w:pPr>
      <w:spacing w:before="360" w:line="240" w:lineRule="auto"/>
      <w:jc w:val="center"/>
    </w:pPr>
  </w:style>
  <w:style w:type="paragraph" w:customStyle="1" w:styleId="Confidentialit">
    <w:name w:val="Confidentialité"/>
    <w:basedOn w:val="Normal"/>
    <w:next w:val="TypedudocumentPagedecouverture"/>
    <w:rsid w:val="00DF5568"/>
    <w:pPr>
      <w:spacing w:before="240" w:after="240" w:line="240" w:lineRule="auto"/>
      <w:ind w:left="5103"/>
      <w:jc w:val="both"/>
    </w:pPr>
    <w:rPr>
      <w:i/>
      <w:sz w:val="32"/>
    </w:rPr>
  </w:style>
  <w:style w:type="paragraph" w:customStyle="1" w:styleId="TypedudocumentPagedecouverture">
    <w:name w:val="Type du document (Page de couverture)"/>
    <w:basedOn w:val="Typedudocument"/>
    <w:next w:val="TitreobjetPagedecouverture"/>
    <w:rsid w:val="00DF5568"/>
    <w:pPr>
      <w:spacing w:line="240" w:lineRule="auto"/>
    </w:pPr>
  </w:style>
  <w:style w:type="paragraph" w:customStyle="1" w:styleId="TitreobjetPagedecouverture">
    <w:name w:val="Titre objet (Page de couverture)"/>
    <w:basedOn w:val="Titreobjet"/>
    <w:next w:val="Sous-titreobjetPagedecouverture"/>
    <w:rsid w:val="00DF5568"/>
    <w:pPr>
      <w:spacing w:line="240" w:lineRule="auto"/>
    </w:pPr>
  </w:style>
  <w:style w:type="paragraph" w:customStyle="1" w:styleId="Sous-titreobjetPagedecouverture">
    <w:name w:val="Sous-titre objet (Page de couverture)"/>
    <w:basedOn w:val="Sous-titreobjet"/>
    <w:rsid w:val="00DF5568"/>
    <w:pPr>
      <w:spacing w:line="240" w:lineRule="auto"/>
    </w:pPr>
  </w:style>
  <w:style w:type="paragraph" w:customStyle="1" w:styleId="Corrigendum">
    <w:name w:val="Corrigendum"/>
    <w:basedOn w:val="Normal"/>
    <w:next w:val="Normal"/>
    <w:rsid w:val="00DF5568"/>
    <w:pPr>
      <w:spacing w:before="0" w:after="240" w:line="240" w:lineRule="auto"/>
    </w:pPr>
  </w:style>
  <w:style w:type="paragraph" w:customStyle="1" w:styleId="Emission">
    <w:name w:val="Emission"/>
    <w:basedOn w:val="Normal"/>
    <w:next w:val="Rfrenceinstitutionnelle"/>
    <w:rsid w:val="00DF5568"/>
    <w:pPr>
      <w:spacing w:before="0" w:after="0" w:line="240" w:lineRule="auto"/>
      <w:ind w:left="5103"/>
    </w:pPr>
  </w:style>
  <w:style w:type="paragraph" w:customStyle="1" w:styleId="Rfrenceinstitutionnelle">
    <w:name w:val="Référence institutionnelle"/>
    <w:basedOn w:val="Normal"/>
    <w:next w:val="Confidentialit"/>
    <w:rsid w:val="00DF5568"/>
    <w:pPr>
      <w:spacing w:before="0" w:after="240" w:line="240" w:lineRule="auto"/>
      <w:ind w:left="5103"/>
    </w:pPr>
  </w:style>
  <w:style w:type="paragraph" w:customStyle="1" w:styleId="Exposdesmotifstitre">
    <w:name w:val="Exposé des motifs titre"/>
    <w:basedOn w:val="Normal"/>
    <w:next w:val="Normal"/>
    <w:rsid w:val="00DF5568"/>
    <w:pPr>
      <w:spacing w:line="240" w:lineRule="auto"/>
      <w:jc w:val="center"/>
    </w:pPr>
    <w:rPr>
      <w:b/>
      <w:u w:val="single"/>
    </w:rPr>
  </w:style>
  <w:style w:type="paragraph" w:customStyle="1" w:styleId="Rfrenceinterinstitutionnelle">
    <w:name w:val="Référence interinstitutionnelle"/>
    <w:basedOn w:val="Normal"/>
    <w:next w:val="Statut"/>
    <w:rsid w:val="00DF5568"/>
    <w:pPr>
      <w:spacing w:before="0" w:after="0" w:line="240" w:lineRule="auto"/>
      <w:ind w:left="5103"/>
    </w:pPr>
  </w:style>
  <w:style w:type="paragraph" w:customStyle="1" w:styleId="Nomdelinstitution">
    <w:name w:val="Nom de l'institution"/>
    <w:basedOn w:val="Normal"/>
    <w:next w:val="Emission"/>
    <w:rsid w:val="00DF5568"/>
    <w:pPr>
      <w:spacing w:before="0" w:after="0" w:line="240" w:lineRule="auto"/>
    </w:pPr>
    <w:rPr>
      <w:rFonts w:ascii="Arial" w:hAnsi="Arial" w:cs="Arial"/>
    </w:rPr>
  </w:style>
  <w:style w:type="character" w:customStyle="1" w:styleId="Deleted">
    <w:name w:val="Deleted"/>
    <w:rsid w:val="00DF5568"/>
    <w:rPr>
      <w:rFonts w:cs="Times New Roman"/>
      <w:strike/>
      <w:shd w:val="clear" w:color="auto" w:fill="auto"/>
    </w:rPr>
  </w:style>
  <w:style w:type="paragraph" w:customStyle="1" w:styleId="Address">
    <w:name w:val="Address"/>
    <w:basedOn w:val="Normal"/>
    <w:next w:val="Normal"/>
    <w:rsid w:val="00DF5568"/>
    <w:pPr>
      <w:keepLines/>
      <w:ind w:left="3402"/>
    </w:pPr>
  </w:style>
  <w:style w:type="paragraph" w:customStyle="1" w:styleId="Objetexterne">
    <w:name w:val="Objet externe"/>
    <w:basedOn w:val="Normal"/>
    <w:next w:val="Normal"/>
    <w:rsid w:val="00DF5568"/>
    <w:pPr>
      <w:spacing w:line="240" w:lineRule="auto"/>
      <w:jc w:val="both"/>
    </w:pPr>
    <w:rPr>
      <w:i/>
      <w:caps/>
    </w:rPr>
  </w:style>
  <w:style w:type="paragraph" w:customStyle="1" w:styleId="Pagedecouverture">
    <w:name w:val="Page de couverture"/>
    <w:basedOn w:val="Normal"/>
    <w:next w:val="Normal"/>
    <w:rsid w:val="00DF5568"/>
    <w:pPr>
      <w:spacing w:line="240" w:lineRule="auto"/>
      <w:jc w:val="both"/>
    </w:pPr>
  </w:style>
  <w:style w:type="paragraph" w:customStyle="1" w:styleId="Supertitre">
    <w:name w:val="Supertitre"/>
    <w:basedOn w:val="Normal"/>
    <w:next w:val="Normal"/>
    <w:rsid w:val="00DF5568"/>
    <w:pPr>
      <w:spacing w:before="0" w:after="600" w:line="240" w:lineRule="auto"/>
      <w:jc w:val="center"/>
    </w:pPr>
    <w:rPr>
      <w:b/>
    </w:rPr>
  </w:style>
  <w:style w:type="paragraph" w:customStyle="1" w:styleId="Rfrencecroise">
    <w:name w:val="Référence croisée"/>
    <w:basedOn w:val="Normal"/>
    <w:rsid w:val="00DF5568"/>
    <w:pPr>
      <w:spacing w:before="0" w:after="0" w:line="240" w:lineRule="auto"/>
      <w:jc w:val="center"/>
    </w:pPr>
  </w:style>
  <w:style w:type="paragraph" w:customStyle="1" w:styleId="Fichefinanciretitre">
    <w:name w:val="Fiche financière titre"/>
    <w:basedOn w:val="Normal"/>
    <w:next w:val="Normal"/>
    <w:rsid w:val="00DF5568"/>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DF5568"/>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DF5568"/>
  </w:style>
  <w:style w:type="paragraph" w:customStyle="1" w:styleId="StatutPagedecouverture">
    <w:name w:val="Statut (Page de couverture)"/>
    <w:basedOn w:val="Statut"/>
    <w:next w:val="TypedudocumentPagedecouverture"/>
    <w:rsid w:val="00DF5568"/>
    <w:pPr>
      <w:spacing w:line="240" w:lineRule="auto"/>
    </w:pPr>
  </w:style>
  <w:style w:type="paragraph" w:customStyle="1" w:styleId="Volume">
    <w:name w:val="Volume"/>
    <w:basedOn w:val="Normal"/>
    <w:next w:val="Confidentialit"/>
    <w:rsid w:val="00DF5568"/>
    <w:pPr>
      <w:spacing w:before="0" w:after="240" w:line="240" w:lineRule="auto"/>
      <w:ind w:left="5103"/>
    </w:pPr>
  </w:style>
  <w:style w:type="paragraph" w:customStyle="1" w:styleId="Accompagnant">
    <w:name w:val="Accompagnant"/>
    <w:basedOn w:val="Normal"/>
    <w:next w:val="Typeacteprincipal"/>
    <w:rsid w:val="00DF5568"/>
    <w:pPr>
      <w:spacing w:before="0" w:after="240" w:line="240" w:lineRule="auto"/>
      <w:jc w:val="center"/>
    </w:pPr>
    <w:rPr>
      <w:b/>
      <w:i/>
    </w:rPr>
  </w:style>
  <w:style w:type="paragraph" w:customStyle="1" w:styleId="Typeacteprincipal">
    <w:name w:val="Type acte principal"/>
    <w:basedOn w:val="Normal"/>
    <w:next w:val="Objetacteprincipal"/>
    <w:rsid w:val="00DF5568"/>
    <w:pPr>
      <w:spacing w:before="0" w:after="240" w:line="240" w:lineRule="auto"/>
      <w:jc w:val="center"/>
    </w:pPr>
    <w:rPr>
      <w:b/>
    </w:rPr>
  </w:style>
  <w:style w:type="paragraph" w:customStyle="1" w:styleId="Objetacteprincipal">
    <w:name w:val="Objet acte principal"/>
    <w:basedOn w:val="Normal"/>
    <w:next w:val="Titrearticle"/>
    <w:rsid w:val="00DF5568"/>
    <w:pPr>
      <w:spacing w:before="0" w:after="360" w:line="240" w:lineRule="auto"/>
      <w:jc w:val="center"/>
    </w:pPr>
    <w:rPr>
      <w:b/>
    </w:rPr>
  </w:style>
  <w:style w:type="paragraph" w:customStyle="1" w:styleId="IntrtEEEPagedecouverture">
    <w:name w:val="Intérêt EEE (Page de couverture)"/>
    <w:basedOn w:val="IntrtEEE"/>
    <w:next w:val="Rfrencecroise"/>
    <w:rsid w:val="00DF5568"/>
    <w:pPr>
      <w:spacing w:line="240" w:lineRule="auto"/>
    </w:pPr>
  </w:style>
  <w:style w:type="paragraph" w:customStyle="1" w:styleId="AccompagnantPagedecouverture">
    <w:name w:val="Accompagnant (Page de couverture)"/>
    <w:basedOn w:val="Accompagnant"/>
    <w:next w:val="TypeacteprincipalPagedecouverture"/>
    <w:rsid w:val="00DF5568"/>
  </w:style>
  <w:style w:type="paragraph" w:customStyle="1" w:styleId="TypeacteprincipalPagedecouverture">
    <w:name w:val="Type acte principal (Page de couverture)"/>
    <w:basedOn w:val="Typeacteprincipal"/>
    <w:next w:val="ObjetacteprincipalPagedecouverture"/>
    <w:rsid w:val="00DF5568"/>
  </w:style>
  <w:style w:type="paragraph" w:customStyle="1" w:styleId="ObjetacteprincipalPagedecouverture">
    <w:name w:val="Objet acte principal (Page de couverture)"/>
    <w:basedOn w:val="Objetacteprincipal"/>
    <w:next w:val="Rfrencecroise"/>
    <w:rsid w:val="00DF5568"/>
  </w:style>
  <w:style w:type="paragraph" w:customStyle="1" w:styleId="LanguesfaisantfoiPagedecouverture">
    <w:name w:val="Langues faisant foi (Page de couverture)"/>
    <w:basedOn w:val="Normal"/>
    <w:next w:val="Normal"/>
    <w:rsid w:val="00DF5568"/>
    <w:pPr>
      <w:spacing w:before="360" w:after="0" w:line="240" w:lineRule="auto"/>
      <w:jc w:val="center"/>
    </w:pPr>
  </w:style>
  <w:style w:type="paragraph" w:styleId="ListBullet2">
    <w:name w:val="List Bullet 2"/>
    <w:basedOn w:val="Normal"/>
    <w:rsid w:val="00DF5568"/>
    <w:pPr>
      <w:numPr>
        <w:numId w:val="23"/>
      </w:numPr>
      <w:spacing w:line="240" w:lineRule="auto"/>
      <w:jc w:val="both"/>
    </w:pPr>
    <w:rPr>
      <w:lang w:eastAsia="de-DE"/>
    </w:rPr>
  </w:style>
  <w:style w:type="paragraph" w:styleId="ListBullet3">
    <w:name w:val="List Bullet 3"/>
    <w:basedOn w:val="Normal"/>
    <w:rsid w:val="00DF5568"/>
    <w:pPr>
      <w:numPr>
        <w:numId w:val="24"/>
      </w:numPr>
      <w:spacing w:line="240" w:lineRule="auto"/>
      <w:jc w:val="both"/>
    </w:pPr>
    <w:rPr>
      <w:lang w:eastAsia="de-DE"/>
    </w:rPr>
  </w:style>
  <w:style w:type="paragraph" w:styleId="ListBullet4">
    <w:name w:val="List Bullet 4"/>
    <w:basedOn w:val="Normal"/>
    <w:rsid w:val="00DF5568"/>
    <w:pPr>
      <w:numPr>
        <w:numId w:val="25"/>
      </w:numPr>
      <w:spacing w:line="240" w:lineRule="auto"/>
      <w:jc w:val="both"/>
    </w:pPr>
    <w:rPr>
      <w:lang w:eastAsia="de-DE"/>
    </w:rPr>
  </w:style>
  <w:style w:type="paragraph" w:styleId="ListNumber2">
    <w:name w:val="List Number 2"/>
    <w:basedOn w:val="Normal"/>
    <w:rsid w:val="00DF5568"/>
    <w:pPr>
      <w:tabs>
        <w:tab w:val="num" w:pos="1560"/>
      </w:tabs>
      <w:spacing w:line="240" w:lineRule="auto"/>
      <w:ind w:left="1560" w:hanging="709"/>
      <w:jc w:val="both"/>
    </w:pPr>
    <w:rPr>
      <w:lang w:eastAsia="de-DE"/>
    </w:rPr>
  </w:style>
  <w:style w:type="paragraph" w:styleId="ListNumber3">
    <w:name w:val="List Number 3"/>
    <w:basedOn w:val="Normal"/>
    <w:rsid w:val="00DF5568"/>
    <w:pPr>
      <w:numPr>
        <w:numId w:val="20"/>
      </w:numPr>
      <w:spacing w:line="240" w:lineRule="auto"/>
      <w:jc w:val="both"/>
    </w:pPr>
    <w:rPr>
      <w:lang w:eastAsia="de-DE"/>
    </w:rPr>
  </w:style>
  <w:style w:type="paragraph" w:styleId="ListNumber4">
    <w:name w:val="List Number 4"/>
    <w:basedOn w:val="Normal"/>
    <w:rsid w:val="00DF5568"/>
    <w:pPr>
      <w:numPr>
        <w:numId w:val="21"/>
      </w:numPr>
      <w:spacing w:line="240" w:lineRule="auto"/>
      <w:jc w:val="both"/>
    </w:pPr>
    <w:rPr>
      <w:lang w:eastAsia="de-DE"/>
    </w:rPr>
  </w:style>
  <w:style w:type="paragraph" w:customStyle="1" w:styleId="ListBullet1">
    <w:name w:val="List Bullet 1"/>
    <w:basedOn w:val="Normal"/>
    <w:rsid w:val="00DF5568"/>
    <w:pPr>
      <w:numPr>
        <w:numId w:val="22"/>
      </w:numPr>
      <w:spacing w:line="240" w:lineRule="auto"/>
      <w:jc w:val="both"/>
    </w:pPr>
    <w:rPr>
      <w:lang w:eastAsia="de-DE"/>
    </w:rPr>
  </w:style>
  <w:style w:type="paragraph" w:customStyle="1" w:styleId="ListDash">
    <w:name w:val="List Dash"/>
    <w:basedOn w:val="Normal"/>
    <w:rsid w:val="00DF5568"/>
    <w:pPr>
      <w:numPr>
        <w:numId w:val="26"/>
      </w:numPr>
      <w:spacing w:line="240" w:lineRule="auto"/>
      <w:jc w:val="both"/>
    </w:pPr>
    <w:rPr>
      <w:lang w:eastAsia="de-DE"/>
    </w:rPr>
  </w:style>
  <w:style w:type="paragraph" w:customStyle="1" w:styleId="ListDash1">
    <w:name w:val="List Dash 1"/>
    <w:basedOn w:val="Normal"/>
    <w:rsid w:val="00DF5568"/>
    <w:pPr>
      <w:numPr>
        <w:numId w:val="27"/>
      </w:numPr>
      <w:spacing w:line="240" w:lineRule="auto"/>
      <w:jc w:val="both"/>
    </w:pPr>
    <w:rPr>
      <w:lang w:eastAsia="de-DE"/>
    </w:rPr>
  </w:style>
  <w:style w:type="paragraph" w:customStyle="1" w:styleId="ListDash2">
    <w:name w:val="List Dash 2"/>
    <w:basedOn w:val="Normal"/>
    <w:rsid w:val="00DF5568"/>
    <w:pPr>
      <w:numPr>
        <w:numId w:val="28"/>
      </w:numPr>
      <w:spacing w:line="240" w:lineRule="auto"/>
      <w:jc w:val="both"/>
    </w:pPr>
    <w:rPr>
      <w:lang w:eastAsia="de-DE"/>
    </w:rPr>
  </w:style>
  <w:style w:type="paragraph" w:customStyle="1" w:styleId="ListDash3">
    <w:name w:val="List Dash 3"/>
    <w:basedOn w:val="Normal"/>
    <w:rsid w:val="00DF5568"/>
    <w:pPr>
      <w:numPr>
        <w:numId w:val="29"/>
      </w:numPr>
      <w:spacing w:line="240" w:lineRule="auto"/>
      <w:jc w:val="both"/>
    </w:pPr>
    <w:rPr>
      <w:lang w:eastAsia="de-DE"/>
    </w:rPr>
  </w:style>
  <w:style w:type="paragraph" w:customStyle="1" w:styleId="ListDash4">
    <w:name w:val="List Dash 4"/>
    <w:basedOn w:val="Normal"/>
    <w:rsid w:val="00DF5568"/>
    <w:pPr>
      <w:numPr>
        <w:numId w:val="30"/>
      </w:numPr>
      <w:spacing w:line="240" w:lineRule="auto"/>
      <w:jc w:val="both"/>
    </w:pPr>
    <w:rPr>
      <w:lang w:eastAsia="de-DE"/>
    </w:rPr>
  </w:style>
  <w:style w:type="paragraph" w:customStyle="1" w:styleId="ListNumber1">
    <w:name w:val="List Number 1"/>
    <w:basedOn w:val="Text1"/>
    <w:rsid w:val="00DF5568"/>
    <w:pPr>
      <w:numPr>
        <w:numId w:val="19"/>
      </w:numPr>
      <w:spacing w:line="240" w:lineRule="auto"/>
      <w:jc w:val="both"/>
      <w:outlineLvl w:val="9"/>
    </w:pPr>
    <w:rPr>
      <w:lang w:eastAsia="de-DE"/>
    </w:rPr>
  </w:style>
  <w:style w:type="paragraph" w:customStyle="1" w:styleId="ListNumber1Level2">
    <w:name w:val="List Number 1 (Level 2)"/>
    <w:basedOn w:val="Text1"/>
    <w:rsid w:val="00DF5568"/>
    <w:pPr>
      <w:numPr>
        <w:ilvl w:val="1"/>
        <w:numId w:val="19"/>
      </w:numPr>
      <w:spacing w:line="240" w:lineRule="auto"/>
      <w:jc w:val="both"/>
      <w:outlineLvl w:val="9"/>
    </w:pPr>
    <w:rPr>
      <w:lang w:eastAsia="de-DE"/>
    </w:rPr>
  </w:style>
  <w:style w:type="paragraph" w:customStyle="1" w:styleId="ListNumber2Level2">
    <w:name w:val="List Number 2 (Level 2)"/>
    <w:basedOn w:val="Text2"/>
    <w:rsid w:val="00DF5568"/>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rsid w:val="00DF5568"/>
    <w:pPr>
      <w:numPr>
        <w:ilvl w:val="1"/>
        <w:numId w:val="20"/>
      </w:numPr>
      <w:spacing w:line="240" w:lineRule="auto"/>
      <w:jc w:val="both"/>
      <w:outlineLvl w:val="9"/>
    </w:pPr>
    <w:rPr>
      <w:lang w:eastAsia="de-DE"/>
    </w:rPr>
  </w:style>
  <w:style w:type="paragraph" w:customStyle="1" w:styleId="ListNumber4Level2">
    <w:name w:val="List Number 4 (Level 2)"/>
    <w:basedOn w:val="Text4"/>
    <w:rsid w:val="00DF5568"/>
    <w:pPr>
      <w:numPr>
        <w:ilvl w:val="1"/>
        <w:numId w:val="21"/>
      </w:numPr>
      <w:spacing w:line="240" w:lineRule="auto"/>
      <w:jc w:val="both"/>
      <w:outlineLvl w:val="9"/>
    </w:pPr>
    <w:rPr>
      <w:lang w:eastAsia="de-DE"/>
    </w:rPr>
  </w:style>
  <w:style w:type="paragraph" w:customStyle="1" w:styleId="ListNumber1Level3">
    <w:name w:val="List Number 1 (Level 3)"/>
    <w:basedOn w:val="Text1"/>
    <w:rsid w:val="00DF5568"/>
    <w:pPr>
      <w:numPr>
        <w:ilvl w:val="2"/>
        <w:numId w:val="19"/>
      </w:numPr>
      <w:spacing w:line="240" w:lineRule="auto"/>
      <w:jc w:val="both"/>
      <w:outlineLvl w:val="9"/>
    </w:pPr>
    <w:rPr>
      <w:lang w:eastAsia="de-DE"/>
    </w:rPr>
  </w:style>
  <w:style w:type="paragraph" w:customStyle="1" w:styleId="ListNumber2Level3">
    <w:name w:val="List Number 2 (Level 3)"/>
    <w:basedOn w:val="Text2"/>
    <w:rsid w:val="00DF5568"/>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rsid w:val="00DF5568"/>
    <w:pPr>
      <w:numPr>
        <w:ilvl w:val="2"/>
        <w:numId w:val="20"/>
      </w:numPr>
      <w:spacing w:line="240" w:lineRule="auto"/>
      <w:jc w:val="both"/>
      <w:outlineLvl w:val="9"/>
    </w:pPr>
    <w:rPr>
      <w:lang w:eastAsia="de-DE"/>
    </w:rPr>
  </w:style>
  <w:style w:type="paragraph" w:customStyle="1" w:styleId="ListNumber4Level3">
    <w:name w:val="List Number 4 (Level 3)"/>
    <w:basedOn w:val="Text4"/>
    <w:rsid w:val="00DF5568"/>
    <w:pPr>
      <w:numPr>
        <w:ilvl w:val="2"/>
        <w:numId w:val="21"/>
      </w:numPr>
      <w:spacing w:line="240" w:lineRule="auto"/>
      <w:jc w:val="both"/>
      <w:outlineLvl w:val="9"/>
    </w:pPr>
    <w:rPr>
      <w:lang w:eastAsia="de-DE"/>
    </w:rPr>
  </w:style>
  <w:style w:type="paragraph" w:customStyle="1" w:styleId="ListNumber1Level4">
    <w:name w:val="List Number 1 (Level 4)"/>
    <w:basedOn w:val="Text1"/>
    <w:rsid w:val="00DF5568"/>
    <w:pPr>
      <w:numPr>
        <w:ilvl w:val="3"/>
        <w:numId w:val="19"/>
      </w:numPr>
      <w:spacing w:line="240" w:lineRule="auto"/>
      <w:jc w:val="both"/>
      <w:outlineLvl w:val="9"/>
    </w:pPr>
    <w:rPr>
      <w:lang w:eastAsia="de-DE"/>
    </w:rPr>
  </w:style>
  <w:style w:type="paragraph" w:customStyle="1" w:styleId="ListNumber2Level4">
    <w:name w:val="List Number 2 (Level 4)"/>
    <w:basedOn w:val="Text2"/>
    <w:rsid w:val="00DF5568"/>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rsid w:val="00DF5568"/>
    <w:pPr>
      <w:numPr>
        <w:ilvl w:val="3"/>
        <w:numId w:val="20"/>
      </w:numPr>
      <w:spacing w:line="240" w:lineRule="auto"/>
      <w:jc w:val="both"/>
      <w:outlineLvl w:val="9"/>
    </w:pPr>
    <w:rPr>
      <w:lang w:eastAsia="de-DE"/>
    </w:rPr>
  </w:style>
  <w:style w:type="paragraph" w:customStyle="1" w:styleId="ListNumber4Level4">
    <w:name w:val="List Number 4 (Level 4)"/>
    <w:basedOn w:val="Text4"/>
    <w:rsid w:val="00DF5568"/>
    <w:pPr>
      <w:numPr>
        <w:ilvl w:val="3"/>
        <w:numId w:val="21"/>
      </w:numPr>
      <w:spacing w:line="240" w:lineRule="auto"/>
      <w:jc w:val="both"/>
      <w:outlineLvl w:val="9"/>
    </w:pPr>
    <w:rPr>
      <w:lang w:eastAsia="de-DE"/>
    </w:rPr>
  </w:style>
  <w:style w:type="paragraph" w:customStyle="1" w:styleId="Rfrenceinterinstitutionelleprliminaire">
    <w:name w:val="Référence interinstitutionelle (préliminaire)"/>
    <w:basedOn w:val="Normal"/>
    <w:next w:val="Normal"/>
    <w:rsid w:val="00DF5568"/>
    <w:pPr>
      <w:spacing w:before="0" w:after="0" w:line="240" w:lineRule="auto"/>
      <w:ind w:left="5103"/>
    </w:pPr>
    <w:rPr>
      <w:lang w:eastAsia="de-DE"/>
    </w:rPr>
  </w:style>
  <w:style w:type="paragraph" w:customStyle="1" w:styleId="Sous-titreobjetprliminaire">
    <w:name w:val="Sous-titre objet (préliminaire)"/>
    <w:basedOn w:val="Normal"/>
    <w:rsid w:val="00DF5568"/>
    <w:pPr>
      <w:spacing w:before="0" w:after="0" w:line="240" w:lineRule="auto"/>
      <w:jc w:val="center"/>
    </w:pPr>
    <w:rPr>
      <w:b/>
      <w:lang w:eastAsia="de-DE"/>
    </w:rPr>
  </w:style>
  <w:style w:type="paragraph" w:customStyle="1" w:styleId="Statutprliminaire">
    <w:name w:val="Statut (préliminaire)"/>
    <w:basedOn w:val="Normal"/>
    <w:next w:val="Normal"/>
    <w:rsid w:val="00DF5568"/>
    <w:pPr>
      <w:spacing w:before="360" w:after="0" w:line="240" w:lineRule="auto"/>
      <w:jc w:val="center"/>
    </w:pPr>
    <w:rPr>
      <w:lang w:eastAsia="de-DE"/>
    </w:rPr>
  </w:style>
  <w:style w:type="paragraph" w:customStyle="1" w:styleId="Titreobjetprliminaire">
    <w:name w:val="Titre objet (préliminaire)"/>
    <w:basedOn w:val="Normal"/>
    <w:next w:val="Normal"/>
    <w:rsid w:val="00DF5568"/>
    <w:pPr>
      <w:spacing w:before="360" w:after="360" w:line="240" w:lineRule="auto"/>
      <w:jc w:val="center"/>
    </w:pPr>
    <w:rPr>
      <w:b/>
      <w:lang w:eastAsia="de-DE"/>
    </w:rPr>
  </w:style>
  <w:style w:type="paragraph" w:customStyle="1" w:styleId="Typedudocumentprliminaire">
    <w:name w:val="Type du document (préliminaire)"/>
    <w:basedOn w:val="Normal"/>
    <w:next w:val="Normal"/>
    <w:rsid w:val="00DF5568"/>
    <w:pPr>
      <w:spacing w:before="360" w:after="0" w:line="240" w:lineRule="auto"/>
      <w:jc w:val="center"/>
    </w:pPr>
    <w:rPr>
      <w:b/>
      <w:lang w:eastAsia="de-DE"/>
    </w:rPr>
  </w:style>
  <w:style w:type="character" w:customStyle="1" w:styleId="manualnumpar1char">
    <w:name w:val="manualnumpar1char"/>
    <w:rsid w:val="00DF5568"/>
    <w:rPr>
      <w:rFonts w:cs="Times New Roman"/>
      <w:shd w:val="clear" w:color="auto" w:fill="auto"/>
    </w:rPr>
  </w:style>
  <w:style w:type="character" w:customStyle="1" w:styleId="DeltaViewInsertion">
    <w:name w:val="DeltaView Insertion"/>
    <w:rsid w:val="00DF5568"/>
    <w:rPr>
      <w:b/>
      <w:color w:val="FFFFFF"/>
      <w:spacing w:val="0"/>
      <w:u w:val="single"/>
    </w:rPr>
  </w:style>
  <w:style w:type="paragraph" w:styleId="BalloonText">
    <w:name w:val="Balloon Text"/>
    <w:basedOn w:val="Normal"/>
    <w:link w:val="BalloonTextChar"/>
    <w:semiHidden/>
    <w:rsid w:val="00DF5568"/>
    <w:pPr>
      <w:spacing w:line="240" w:lineRule="auto"/>
      <w:jc w:val="both"/>
    </w:pPr>
    <w:rPr>
      <w:rFonts w:ascii="Tahoma" w:hAnsi="Tahoma" w:cs="Tahoma"/>
      <w:sz w:val="16"/>
      <w:szCs w:val="16"/>
      <w:lang w:eastAsia="de-DE"/>
    </w:rPr>
  </w:style>
  <w:style w:type="character" w:customStyle="1" w:styleId="BalloonTextChar">
    <w:name w:val="Balloon Text Char"/>
    <w:basedOn w:val="DefaultParagraphFont"/>
    <w:link w:val="BalloonText"/>
    <w:semiHidden/>
    <w:rsid w:val="00DF5568"/>
    <w:rPr>
      <w:rFonts w:ascii="Tahoma" w:hAnsi="Tahoma" w:cs="Tahoma"/>
      <w:sz w:val="16"/>
      <w:szCs w:val="16"/>
      <w:lang w:val="fr-FR"/>
    </w:rPr>
  </w:style>
  <w:style w:type="paragraph" w:styleId="CommentText">
    <w:name w:val="annotation text"/>
    <w:basedOn w:val="Normal"/>
    <w:link w:val="CommentTextChar"/>
    <w:rsid w:val="00DF5568"/>
    <w:pPr>
      <w:spacing w:before="0" w:after="0" w:line="240" w:lineRule="auto"/>
    </w:pPr>
    <w:rPr>
      <w:sz w:val="20"/>
      <w:szCs w:val="20"/>
      <w:lang w:eastAsia="en-GB"/>
    </w:rPr>
  </w:style>
  <w:style w:type="character" w:customStyle="1" w:styleId="CommentTextChar">
    <w:name w:val="Comment Text Char"/>
    <w:basedOn w:val="DefaultParagraphFont"/>
    <w:link w:val="CommentText"/>
    <w:rsid w:val="00DF5568"/>
    <w:rPr>
      <w:lang w:val="fr-FR" w:eastAsia="en-GB"/>
    </w:rPr>
  </w:style>
  <w:style w:type="paragraph" w:customStyle="1" w:styleId="Style1">
    <w:name w:val="Style1"/>
    <w:basedOn w:val="NumPar1"/>
    <w:rsid w:val="00DF5568"/>
  </w:style>
  <w:style w:type="paragraph" w:customStyle="1" w:styleId="Titre">
    <w:name w:val="Ti tre"/>
    <w:basedOn w:val="Titrearticle"/>
    <w:rsid w:val="00DF5568"/>
    <w:pPr>
      <w:spacing w:line="240" w:lineRule="auto"/>
    </w:pPr>
    <w:rPr>
      <w:noProof/>
    </w:rPr>
  </w:style>
  <w:style w:type="paragraph" w:customStyle="1" w:styleId="1">
    <w:name w:val="1."/>
    <w:basedOn w:val="NumPar1"/>
    <w:rsid w:val="00DF5568"/>
  </w:style>
  <w:style w:type="paragraph" w:styleId="Caption">
    <w:name w:val="caption"/>
    <w:basedOn w:val="Normal"/>
    <w:next w:val="Normal"/>
    <w:qFormat/>
    <w:rsid w:val="00DF5568"/>
    <w:pPr>
      <w:spacing w:line="240" w:lineRule="auto"/>
      <w:jc w:val="both"/>
    </w:pPr>
    <w:rPr>
      <w:b/>
      <w:bCs/>
      <w:sz w:val="20"/>
      <w:szCs w:val="20"/>
    </w:rPr>
  </w:style>
  <w:style w:type="paragraph" w:styleId="TableofFigures">
    <w:name w:val="table of figures"/>
    <w:basedOn w:val="Normal"/>
    <w:next w:val="Normal"/>
    <w:semiHidden/>
    <w:rsid w:val="00DF5568"/>
    <w:pPr>
      <w:spacing w:line="240" w:lineRule="auto"/>
      <w:jc w:val="both"/>
    </w:pPr>
  </w:style>
  <w:style w:type="paragraph" w:styleId="CommentSubject">
    <w:name w:val="annotation subject"/>
    <w:basedOn w:val="CommentText"/>
    <w:next w:val="CommentText"/>
    <w:link w:val="CommentSubjectChar"/>
    <w:semiHidden/>
    <w:rsid w:val="00DF5568"/>
    <w:pPr>
      <w:spacing w:before="120" w:after="120"/>
      <w:jc w:val="both"/>
    </w:pPr>
    <w:rPr>
      <w:b/>
      <w:bCs/>
      <w:lang w:eastAsia="en-US"/>
    </w:rPr>
  </w:style>
  <w:style w:type="character" w:customStyle="1" w:styleId="CommentSubjectChar">
    <w:name w:val="Comment Subject Char"/>
    <w:basedOn w:val="CommentTextChar"/>
    <w:link w:val="CommentSubject"/>
    <w:semiHidden/>
    <w:rsid w:val="00DF5568"/>
    <w:rPr>
      <w:b/>
      <w:bCs/>
      <w:lang w:val="fr-FR" w:eastAsia="en-US"/>
    </w:rPr>
  </w:style>
  <w:style w:type="character" w:styleId="Hyperlink">
    <w:name w:val="Hyperlink"/>
    <w:rsid w:val="00DF5568"/>
    <w:rPr>
      <w:rFonts w:cs="Times New Roman"/>
      <w:color w:val="0000FF"/>
      <w:u w:val="single"/>
    </w:rPr>
  </w:style>
  <w:style w:type="character" w:styleId="FollowedHyperlink">
    <w:name w:val="FollowedHyperlink"/>
    <w:rsid w:val="00DF5568"/>
    <w:rPr>
      <w:rFonts w:cs="Times New Roman"/>
      <w:color w:val="800080"/>
      <w:u w:val="single"/>
    </w:rPr>
  </w:style>
  <w:style w:type="paragraph" w:styleId="PlainText">
    <w:name w:val="Plain Text"/>
    <w:basedOn w:val="Normal"/>
    <w:link w:val="PlainTextChar"/>
    <w:rsid w:val="00DF5568"/>
    <w:pPr>
      <w:spacing w:line="240" w:lineRule="auto"/>
      <w:jc w:val="both"/>
    </w:pPr>
    <w:rPr>
      <w:rFonts w:ascii="Courier New" w:hAnsi="Courier New" w:cs="Courier New"/>
      <w:sz w:val="20"/>
      <w:szCs w:val="20"/>
    </w:rPr>
  </w:style>
  <w:style w:type="character" w:customStyle="1" w:styleId="PlainTextChar">
    <w:name w:val="Plain Text Char"/>
    <w:basedOn w:val="DefaultParagraphFont"/>
    <w:link w:val="PlainText"/>
    <w:rsid w:val="00DF5568"/>
    <w:rPr>
      <w:rFonts w:ascii="Courier New" w:hAnsi="Courier New" w:cs="Courier New"/>
      <w:lang w:val="fr-FR" w:eastAsia="en-US"/>
    </w:rPr>
  </w:style>
  <w:style w:type="table" w:styleId="TableGrid">
    <w:name w:val="Table Grid"/>
    <w:basedOn w:val="TableNormal"/>
    <w:rsid w:val="00DF5568"/>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F5568"/>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F5568"/>
    <w:rPr>
      <w:rFonts w:ascii="Arial" w:hAnsi="Arial" w:cs="Arial"/>
      <w:b/>
      <w:bCs/>
      <w:kern w:val="28"/>
      <w:sz w:val="32"/>
      <w:szCs w:val="32"/>
      <w:lang w:val="fr-FR" w:eastAsia="en-US"/>
    </w:rPr>
  </w:style>
  <w:style w:type="paragraph" w:styleId="DocumentMap">
    <w:name w:val="Document Map"/>
    <w:basedOn w:val="Normal"/>
    <w:link w:val="DocumentMapChar"/>
    <w:semiHidden/>
    <w:rsid w:val="00DF5568"/>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sid w:val="00DF5568"/>
    <w:rPr>
      <w:rFonts w:ascii="Tahoma" w:hAnsi="Tahoma" w:cs="Tahoma"/>
      <w:shd w:val="clear" w:color="auto" w:fill="000080"/>
      <w:lang w:val="fr-FR" w:eastAsia="en-US"/>
    </w:rPr>
  </w:style>
  <w:style w:type="paragraph" w:customStyle="1" w:styleId="Point1">
    <w:name w:val="Point1"/>
    <w:basedOn w:val="NumPar1"/>
    <w:rsid w:val="00DF5568"/>
    <w:pPr>
      <w:numPr>
        <w:numId w:val="0"/>
      </w:numPr>
      <w:spacing w:line="240" w:lineRule="auto"/>
      <w:jc w:val="both"/>
      <w:outlineLvl w:val="9"/>
    </w:pPr>
  </w:style>
  <w:style w:type="paragraph" w:customStyle="1" w:styleId="Poin">
    <w:name w:val="Poin"/>
    <w:basedOn w:val="Text1"/>
    <w:rsid w:val="00DF5568"/>
    <w:pPr>
      <w:spacing w:line="240" w:lineRule="auto"/>
      <w:jc w:val="both"/>
      <w:outlineLvl w:val="9"/>
    </w:pPr>
  </w:style>
  <w:style w:type="paragraph" w:customStyle="1" w:styleId="CM3">
    <w:name w:val="CM3"/>
    <w:basedOn w:val="Normal"/>
    <w:next w:val="Normal"/>
    <w:rsid w:val="00DF5568"/>
    <w:pPr>
      <w:autoSpaceDE w:val="0"/>
      <w:autoSpaceDN w:val="0"/>
      <w:adjustRightInd w:val="0"/>
      <w:spacing w:before="0" w:after="0" w:line="240" w:lineRule="auto"/>
    </w:pPr>
    <w:rPr>
      <w:rFonts w:ascii="EUAlbertina" w:eastAsia="Calibri" w:hAnsi="EUAlbertina"/>
      <w:lang w:eastAsia="en-GB"/>
    </w:rPr>
  </w:style>
  <w:style w:type="paragraph" w:customStyle="1" w:styleId="CM4">
    <w:name w:val="CM4"/>
    <w:basedOn w:val="Normal"/>
    <w:next w:val="Normal"/>
    <w:rsid w:val="00DF5568"/>
    <w:pPr>
      <w:autoSpaceDE w:val="0"/>
      <w:autoSpaceDN w:val="0"/>
      <w:adjustRightInd w:val="0"/>
      <w:spacing w:before="0" w:after="0" w:line="240" w:lineRule="auto"/>
    </w:pPr>
    <w:rPr>
      <w:rFonts w:ascii="EUAlbertina" w:eastAsia="Calibri" w:hAnsi="EUAlbertina"/>
      <w:lang w:eastAsia="en-GB"/>
    </w:rPr>
  </w:style>
  <w:style w:type="paragraph" w:styleId="EndnoteText">
    <w:name w:val="endnote text"/>
    <w:basedOn w:val="Normal"/>
    <w:link w:val="EndnoteTextChar"/>
    <w:rsid w:val="00DF5568"/>
    <w:pPr>
      <w:spacing w:line="240" w:lineRule="auto"/>
      <w:jc w:val="both"/>
    </w:pPr>
    <w:rPr>
      <w:sz w:val="20"/>
      <w:szCs w:val="20"/>
      <w:lang w:val="x-none"/>
    </w:rPr>
  </w:style>
  <w:style w:type="character" w:customStyle="1" w:styleId="EndnoteTextChar">
    <w:name w:val="Endnote Text Char"/>
    <w:basedOn w:val="DefaultParagraphFont"/>
    <w:link w:val="EndnoteText"/>
    <w:rsid w:val="00DF5568"/>
    <w:rPr>
      <w:lang w:val="x-none" w:eastAsia="en-US"/>
    </w:rPr>
  </w:style>
  <w:style w:type="character" w:styleId="EndnoteReference">
    <w:name w:val="endnote reference"/>
    <w:rsid w:val="00DF5568"/>
    <w:rPr>
      <w:vertAlign w:val="superscript"/>
    </w:rPr>
  </w:style>
  <w:style w:type="paragraph" w:customStyle="1" w:styleId="CONSIDERANT">
    <w:name w:val="CONSIDERANT"/>
    <w:basedOn w:val="ManualConsidrant"/>
    <w:rsid w:val="00DF5568"/>
    <w:pPr>
      <w:spacing w:line="240" w:lineRule="auto"/>
      <w:ind w:left="709" w:hanging="709"/>
      <w:jc w:val="both"/>
    </w:pPr>
  </w:style>
  <w:style w:type="character" w:customStyle="1" w:styleId="Char12">
    <w:name w:val="Char12"/>
    <w:rsid w:val="00DF5568"/>
    <w:rPr>
      <w:rFonts w:ascii="Times New Roman" w:hAnsi="Times New Roman"/>
      <w:sz w:val="24"/>
      <w:szCs w:val="22"/>
      <w:lang w:val="en-US" w:eastAsia="en-US"/>
    </w:rPr>
  </w:style>
  <w:style w:type="paragraph" w:customStyle="1" w:styleId="pj">
    <w:name w:val="p.j."/>
    <w:basedOn w:val="Normal"/>
    <w:link w:val="pjChar"/>
    <w:rsid w:val="00DF5568"/>
    <w:pPr>
      <w:spacing w:before="1200" w:line="240" w:lineRule="auto"/>
      <w:ind w:left="1440" w:hanging="1440"/>
    </w:pPr>
    <w:rPr>
      <w:szCs w:val="22"/>
      <w:lang w:val="en-US"/>
    </w:rPr>
  </w:style>
  <w:style w:type="character" w:customStyle="1" w:styleId="pjChar">
    <w:name w:val="p.j. Char"/>
    <w:link w:val="pj"/>
    <w:rsid w:val="00DF5568"/>
    <w:rPr>
      <w:sz w:val="24"/>
      <w:szCs w:val="22"/>
      <w:lang w:val="en-US" w:eastAsia="en-US"/>
    </w:rPr>
  </w:style>
  <w:style w:type="character" w:customStyle="1" w:styleId="HeaderCouncilChar">
    <w:name w:val="Header Council Char"/>
    <w:rsid w:val="00DF5568"/>
    <w:rPr>
      <w:sz w:val="2"/>
      <w:szCs w:val="24"/>
      <w:lang w:val="fr-FR" w:eastAsia="en-US"/>
    </w:rPr>
  </w:style>
  <w:style w:type="character" w:customStyle="1" w:styleId="FooterCouncilChar">
    <w:name w:val="Footer Council Char"/>
    <w:rsid w:val="00DF5568"/>
    <w:rPr>
      <w:sz w:val="2"/>
      <w:szCs w:val="24"/>
      <w:lang w:val="fr-FR" w:eastAsia="en-US"/>
    </w:rPr>
  </w:style>
  <w:style w:type="character" w:customStyle="1" w:styleId="Char17">
    <w:name w:val="Char17"/>
    <w:rsid w:val="00DF5568"/>
    <w:rPr>
      <w:rFonts w:ascii="Times New Roman" w:eastAsia="Times New Roman" w:hAnsi="Times New Roman" w:cs="Times New Roman"/>
      <w:b/>
      <w:bCs/>
      <w:smallCaps/>
      <w:sz w:val="24"/>
      <w:szCs w:val="32"/>
      <w:lang w:val="en-US" w:eastAsia="en-US"/>
    </w:rPr>
  </w:style>
  <w:style w:type="character" w:customStyle="1" w:styleId="Char16">
    <w:name w:val="Char16"/>
    <w:rsid w:val="00DF5568"/>
    <w:rPr>
      <w:rFonts w:ascii="Times New Roman" w:eastAsia="Times New Roman" w:hAnsi="Times New Roman" w:cs="Times New Roman"/>
      <w:b/>
      <w:bCs/>
      <w:iCs/>
      <w:sz w:val="24"/>
      <w:szCs w:val="28"/>
      <w:lang w:val="en-US" w:eastAsia="en-US"/>
    </w:rPr>
  </w:style>
  <w:style w:type="character" w:customStyle="1" w:styleId="Char15">
    <w:name w:val="Char15"/>
    <w:rsid w:val="00DF5568"/>
    <w:rPr>
      <w:rFonts w:ascii="Times New Roman" w:eastAsia="Times New Roman" w:hAnsi="Times New Roman" w:cs="Times New Roman"/>
      <w:bCs/>
      <w:i/>
      <w:sz w:val="24"/>
      <w:szCs w:val="26"/>
      <w:lang w:val="en-US" w:eastAsia="en-US"/>
    </w:rPr>
  </w:style>
  <w:style w:type="character" w:customStyle="1" w:styleId="Char14">
    <w:name w:val="Char14"/>
    <w:rsid w:val="00DF5568"/>
    <w:rPr>
      <w:rFonts w:ascii="Times New Roman" w:eastAsia="Times New Roman" w:hAnsi="Times New Roman" w:cs="Times New Roman"/>
      <w:bCs/>
      <w:sz w:val="24"/>
      <w:szCs w:val="28"/>
      <w:lang w:val="en-US" w:eastAsia="en-US"/>
    </w:rPr>
  </w:style>
  <w:style w:type="numbering" w:customStyle="1" w:styleId="NoList1">
    <w:name w:val="No List1"/>
    <w:next w:val="NoList"/>
    <w:semiHidden/>
    <w:unhideWhenUsed/>
    <w:rsid w:val="00DF5568"/>
  </w:style>
  <w:style w:type="character" w:customStyle="1" w:styleId="Char11">
    <w:name w:val="Char11"/>
    <w:rsid w:val="00DF5568"/>
    <w:rPr>
      <w:rFonts w:ascii="Times New Roman" w:eastAsia="Times New Roman" w:hAnsi="Times New Roman" w:cs="Times New Roman"/>
      <w:sz w:val="24"/>
      <w:lang w:eastAsia="en-US"/>
    </w:rPr>
  </w:style>
  <w:style w:type="numbering" w:customStyle="1" w:styleId="NoList11">
    <w:name w:val="No List11"/>
    <w:next w:val="NoList"/>
    <w:semiHidden/>
    <w:rsid w:val="00DF5568"/>
  </w:style>
  <w:style w:type="paragraph" w:customStyle="1" w:styleId="Default">
    <w:name w:val="Default"/>
    <w:rsid w:val="00DF5568"/>
    <w:pPr>
      <w:autoSpaceDE w:val="0"/>
      <w:autoSpaceDN w:val="0"/>
      <w:adjustRightInd w:val="0"/>
    </w:pPr>
    <w:rPr>
      <w:rFonts w:ascii="EUAlbertina" w:hAnsi="EUAlbertina" w:cs="EUAlbertina"/>
      <w:color w:val="000000"/>
      <w:sz w:val="24"/>
      <w:szCs w:val="24"/>
      <w:lang w:val="en-US" w:eastAsia="en-US"/>
    </w:rPr>
  </w:style>
  <w:style w:type="character" w:customStyle="1" w:styleId="highlight">
    <w:name w:val="highlight"/>
    <w:rsid w:val="00DF5568"/>
  </w:style>
  <w:style w:type="character" w:customStyle="1" w:styleId="ManualNumPar1Char0">
    <w:name w:val="Manual NumPar 1 Char"/>
    <w:rsid w:val="00DF5568"/>
    <w:rPr>
      <w:sz w:val="24"/>
      <w:szCs w:val="24"/>
      <w:lang w:val="fr-FR" w:eastAsia="en-US"/>
    </w:rPr>
  </w:style>
  <w:style w:type="character" w:customStyle="1" w:styleId="Text1Carcter">
    <w:name w:val="Text 1 Carácter"/>
    <w:uiPriority w:val="99"/>
    <w:rsid w:val="00DF5568"/>
    <w:rPr>
      <w:sz w:val="24"/>
      <w:szCs w:val="24"/>
      <w:lang w:val="fr-FR" w:eastAsia="en-US"/>
    </w:rPr>
  </w:style>
  <w:style w:type="paragraph" w:customStyle="1" w:styleId="ManualConsidrant0">
    <w:name w:val="Manual  Considérant"/>
    <w:basedOn w:val="NumPar1"/>
    <w:rsid w:val="00DF5568"/>
    <w:pPr>
      <w:numPr>
        <w:numId w:val="0"/>
      </w:numPr>
      <w:tabs>
        <w:tab w:val="num" w:pos="1134"/>
      </w:tabs>
      <w:spacing w:line="240" w:lineRule="auto"/>
      <w:ind w:left="1134" w:hanging="567"/>
      <w:jc w:val="both"/>
      <w:outlineLvl w:val="9"/>
    </w:pPr>
  </w:style>
  <w:style w:type="paragraph" w:styleId="NormalWeb">
    <w:name w:val="Normal (Web)"/>
    <w:basedOn w:val="Normal"/>
    <w:semiHidden/>
    <w:rsid w:val="00DF5568"/>
    <w:pPr>
      <w:spacing w:before="100" w:beforeAutospacing="1" w:after="100" w:afterAutospacing="1" w:line="240" w:lineRule="auto"/>
    </w:pPr>
    <w:rPr>
      <w:lang w:val="en-US"/>
    </w:rPr>
  </w:style>
  <w:style w:type="paragraph" w:customStyle="1" w:styleId="Sev">
    <w:name w:val="Sev"/>
    <w:basedOn w:val="Text1"/>
    <w:rsid w:val="00DF5568"/>
    <w:pPr>
      <w:spacing w:line="240" w:lineRule="auto"/>
      <w:jc w:val="both"/>
      <w:outlineLvl w:val="9"/>
    </w:pPr>
    <w:rPr>
      <w:lang w:val="en-US"/>
    </w:rPr>
  </w:style>
  <w:style w:type="paragraph" w:styleId="BodyText3">
    <w:name w:val="Body Text 3"/>
    <w:basedOn w:val="Normal"/>
    <w:link w:val="BodyText3Char"/>
    <w:rsid w:val="00DF5568"/>
    <w:pPr>
      <w:spacing w:line="240" w:lineRule="auto"/>
      <w:jc w:val="both"/>
    </w:pPr>
    <w:rPr>
      <w:lang w:val="en-US"/>
    </w:rPr>
  </w:style>
  <w:style w:type="character" w:customStyle="1" w:styleId="BodyText3Char">
    <w:name w:val="Body Text 3 Char"/>
    <w:basedOn w:val="DefaultParagraphFont"/>
    <w:link w:val="BodyText3"/>
    <w:rsid w:val="00DF5568"/>
    <w:rPr>
      <w:sz w:val="24"/>
      <w:szCs w:val="24"/>
      <w:lang w:val="en-US" w:eastAsia="en-US"/>
    </w:rPr>
  </w:style>
  <w:style w:type="paragraph" w:styleId="BodyText">
    <w:name w:val="Body Text"/>
    <w:basedOn w:val="Normal"/>
    <w:link w:val="BodyTextChar"/>
    <w:semiHidden/>
    <w:rsid w:val="00DF5568"/>
    <w:pPr>
      <w:spacing w:line="240" w:lineRule="auto"/>
      <w:jc w:val="both"/>
    </w:pPr>
    <w:rPr>
      <w:szCs w:val="20"/>
      <w:lang w:val="en-US"/>
    </w:rPr>
  </w:style>
  <w:style w:type="character" w:customStyle="1" w:styleId="BodyTextChar">
    <w:name w:val="Body Text Char"/>
    <w:basedOn w:val="DefaultParagraphFont"/>
    <w:link w:val="BodyText"/>
    <w:semiHidden/>
    <w:rsid w:val="00DF5568"/>
    <w:rPr>
      <w:sz w:val="24"/>
      <w:lang w:val="en-US" w:eastAsia="en-US"/>
    </w:rPr>
  </w:style>
  <w:style w:type="paragraph" w:styleId="BodyTextFirstIndent">
    <w:name w:val="Body Text First Indent"/>
    <w:basedOn w:val="BodyText"/>
    <w:link w:val="BodyTextFirstIndentChar"/>
    <w:rsid w:val="00DF5568"/>
    <w:pPr>
      <w:ind w:firstLine="210"/>
    </w:pPr>
    <w:rPr>
      <w:szCs w:val="24"/>
    </w:rPr>
  </w:style>
  <w:style w:type="character" w:customStyle="1" w:styleId="BodyTextFirstIndentChar">
    <w:name w:val="Body Text First Indent Char"/>
    <w:basedOn w:val="BodyTextChar"/>
    <w:link w:val="BodyTextFirstIndent"/>
    <w:rsid w:val="00DF5568"/>
    <w:rPr>
      <w:sz w:val="24"/>
      <w:szCs w:val="24"/>
      <w:lang w:val="en-US" w:eastAsia="en-US"/>
    </w:rPr>
  </w:style>
  <w:style w:type="paragraph" w:styleId="BodyTextIndent">
    <w:name w:val="Body Text Indent"/>
    <w:basedOn w:val="Normal"/>
    <w:link w:val="BodyTextIndentChar"/>
    <w:rsid w:val="00DF5568"/>
    <w:pPr>
      <w:spacing w:line="240" w:lineRule="auto"/>
      <w:ind w:left="283"/>
      <w:jc w:val="both"/>
    </w:pPr>
    <w:rPr>
      <w:szCs w:val="20"/>
      <w:lang w:val="en-US"/>
    </w:rPr>
  </w:style>
  <w:style w:type="character" w:customStyle="1" w:styleId="BodyTextIndentChar">
    <w:name w:val="Body Text Indent Char"/>
    <w:basedOn w:val="DefaultParagraphFont"/>
    <w:link w:val="BodyTextIndent"/>
    <w:rsid w:val="00DF5568"/>
    <w:rPr>
      <w:sz w:val="24"/>
      <w:lang w:val="en-US" w:eastAsia="en-US"/>
    </w:rPr>
  </w:style>
  <w:style w:type="paragraph" w:styleId="BodyTextFirstIndent2">
    <w:name w:val="Body Text First Indent 2"/>
    <w:basedOn w:val="BodyTextIndent"/>
    <w:link w:val="BodyTextFirstIndent2Char"/>
    <w:rsid w:val="00DF5568"/>
    <w:pPr>
      <w:ind w:firstLine="210"/>
    </w:pPr>
    <w:rPr>
      <w:szCs w:val="24"/>
    </w:rPr>
  </w:style>
  <w:style w:type="character" w:customStyle="1" w:styleId="BodyTextFirstIndent2Char">
    <w:name w:val="Body Text First Indent 2 Char"/>
    <w:basedOn w:val="BodyTextIndentChar"/>
    <w:link w:val="BodyTextFirstIndent2"/>
    <w:rsid w:val="00DF5568"/>
    <w:rPr>
      <w:sz w:val="24"/>
      <w:szCs w:val="24"/>
      <w:lang w:val="en-US" w:eastAsia="en-US"/>
    </w:rPr>
  </w:style>
  <w:style w:type="character" w:customStyle="1" w:styleId="tw4winMark">
    <w:name w:val="tw4winMark"/>
    <w:rsid w:val="00DF5568"/>
    <w:rPr>
      <w:vanish/>
      <w:color w:val="800080"/>
      <w:vertAlign w:val="subscript"/>
    </w:rPr>
  </w:style>
  <w:style w:type="paragraph" w:styleId="Revision">
    <w:name w:val="Revision"/>
    <w:hidden/>
    <w:semiHidden/>
    <w:rsid w:val="00DF5568"/>
    <w:rPr>
      <w:sz w:val="24"/>
      <w:szCs w:val="24"/>
      <w:lang w:val="en-GB" w:eastAsia="en-US"/>
    </w:rPr>
  </w:style>
  <w:style w:type="paragraph" w:customStyle="1" w:styleId="num">
    <w:name w:val="num"/>
    <w:basedOn w:val="ManualNumPar1"/>
    <w:rsid w:val="00DF5568"/>
    <w:pPr>
      <w:spacing w:line="240" w:lineRule="auto"/>
      <w:jc w:val="both"/>
      <w:outlineLvl w:val="9"/>
    </w:pPr>
    <w:rPr>
      <w:lang w:val="en-US"/>
    </w:rPr>
  </w:style>
  <w:style w:type="character" w:customStyle="1" w:styleId="at2">
    <w:name w:val="a__t2"/>
    <w:rsid w:val="00DF5568"/>
  </w:style>
  <w:style w:type="paragraph" w:customStyle="1" w:styleId="Foonote">
    <w:name w:val="Foonote"/>
    <w:basedOn w:val="Default"/>
    <w:rsid w:val="00DF5568"/>
    <w:pPr>
      <w:jc w:val="both"/>
    </w:pPr>
    <w:rPr>
      <w:rFonts w:ascii="Times New Roman" w:hAnsi="Times New Roman" w:cs="Times New Roman"/>
      <w:bCs/>
      <w:sz w:val="20"/>
      <w:szCs w:val="20"/>
    </w:rPr>
  </w:style>
  <w:style w:type="character" w:customStyle="1" w:styleId="Point1letterChar">
    <w:name w:val="Point 1 (letter) Char"/>
    <w:rsid w:val="00DF5568"/>
    <w:rPr>
      <w:sz w:val="24"/>
      <w:szCs w:val="24"/>
      <w:lang w:val="fr-FR" w:eastAsia="en-US"/>
    </w:rPr>
  </w:style>
  <w:style w:type="paragraph" w:customStyle="1" w:styleId="NormalConseil">
    <w:name w:val="NormalConseil"/>
    <w:basedOn w:val="Normal"/>
    <w:rsid w:val="00DF5568"/>
    <w:pPr>
      <w:spacing w:before="0" w:after="0" w:line="240" w:lineRule="auto"/>
    </w:pPr>
    <w:rPr>
      <w:szCs w:val="20"/>
      <w:lang w:eastAsia="fr-BE"/>
    </w:rPr>
  </w:style>
  <w:style w:type="paragraph" w:customStyle="1" w:styleId="ZnakZnak1Char">
    <w:name w:val="Znak Znak1 Char"/>
    <w:basedOn w:val="Normal"/>
    <w:rsid w:val="00DF5568"/>
    <w:pPr>
      <w:spacing w:before="0" w:after="160" w:line="240" w:lineRule="exact"/>
    </w:pPr>
    <w:rPr>
      <w:rFonts w:ascii="Tahoma" w:hAnsi="Tahoma"/>
      <w:sz w:val="20"/>
      <w:szCs w:val="20"/>
      <w:lang w:val="en-US"/>
    </w:rPr>
  </w:style>
  <w:style w:type="paragraph" w:customStyle="1" w:styleId="CM1">
    <w:name w:val="CM1"/>
    <w:basedOn w:val="Default"/>
    <w:next w:val="Default"/>
    <w:rsid w:val="00DF5568"/>
    <w:rPr>
      <w:rFonts w:cs="Times New Roman"/>
      <w:color w:val="auto"/>
      <w:lang w:val="en-GB" w:eastAsia="en-GB"/>
    </w:rPr>
  </w:style>
  <w:style w:type="numbering" w:customStyle="1" w:styleId="NoList111">
    <w:name w:val="No List111"/>
    <w:next w:val="NoList"/>
    <w:semiHidden/>
    <w:unhideWhenUsed/>
    <w:rsid w:val="00DF5568"/>
  </w:style>
  <w:style w:type="paragraph" w:customStyle="1" w:styleId="ZnakZnak1Char1">
    <w:name w:val="Znak Znak1 Char1"/>
    <w:basedOn w:val="Normal"/>
    <w:rsid w:val="00DF5568"/>
    <w:pPr>
      <w:spacing w:before="0" w:after="160" w:line="240" w:lineRule="exact"/>
    </w:pPr>
    <w:rPr>
      <w:rFonts w:ascii="Tahoma" w:hAnsi="Tahoma"/>
      <w:sz w:val="20"/>
      <w:szCs w:val="20"/>
      <w:lang w:val="en-US"/>
    </w:rPr>
  </w:style>
  <w:style w:type="paragraph" w:customStyle="1" w:styleId="CharChar1CharCharCharCharCharCharCharCharCharCharCharCharChar">
    <w:name w:val="Char Char1 Char Char Char Char Char Char Char Char Char Char Char Char Char"/>
    <w:basedOn w:val="Normal"/>
    <w:rsid w:val="00DF5568"/>
    <w:pPr>
      <w:tabs>
        <w:tab w:val="left" w:pos="851"/>
        <w:tab w:val="right" w:pos="9356"/>
      </w:tabs>
      <w:spacing w:before="60" w:after="160" w:line="240" w:lineRule="exact"/>
      <w:jc w:val="both"/>
    </w:pPr>
    <w:rPr>
      <w:rFonts w:ascii="Verdana" w:hAnsi="Verdana"/>
      <w:sz w:val="20"/>
      <w:szCs w:val="20"/>
      <w:lang w:val="en-US"/>
    </w:rPr>
  </w:style>
  <w:style w:type="paragraph" w:customStyle="1" w:styleId="xmsonormal">
    <w:name w:val="x_msonormal"/>
    <w:basedOn w:val="Normal"/>
    <w:rsid w:val="00DF5568"/>
    <w:pPr>
      <w:spacing w:before="100" w:beforeAutospacing="1" w:after="100" w:afterAutospacing="1" w:line="240" w:lineRule="auto"/>
    </w:pPr>
    <w:rPr>
      <w:lang w:val="lt-LT" w:eastAsia="zh-CN"/>
    </w:rPr>
  </w:style>
  <w:style w:type="character" w:styleId="HTMLCite">
    <w:name w:val="HTML Cite"/>
    <w:uiPriority w:val="99"/>
    <w:unhideWhenUsed/>
    <w:rsid w:val="00DF5568"/>
    <w:rPr>
      <w:i/>
      <w:iCs/>
    </w:rPr>
  </w:style>
  <w:style w:type="character" w:customStyle="1" w:styleId="PP">
    <w:name w:val="PP"/>
    <w:qFormat/>
    <w:rsid w:val="00DF5568"/>
    <w:rPr>
      <w:rFonts w:ascii="Times New Roman" w:hAnsi="Times New Roman"/>
      <w:b w:val="0"/>
      <w:i w:val="0"/>
      <w:strike/>
      <w:dstrike w:val="0"/>
      <w:sz w:val="24"/>
    </w:rPr>
  </w:style>
  <w:style w:type="paragraph" w:customStyle="1" w:styleId="Normal12">
    <w:name w:val="Normal12"/>
    <w:basedOn w:val="Normal"/>
    <w:link w:val="Normal12Char"/>
    <w:rsid w:val="00DF5568"/>
    <w:pPr>
      <w:widowControl w:val="0"/>
      <w:spacing w:before="0" w:after="240" w:line="240" w:lineRule="auto"/>
    </w:pPr>
    <w:rPr>
      <w:szCs w:val="20"/>
      <w:lang w:val="x-none" w:eastAsia="x-none"/>
    </w:rPr>
  </w:style>
  <w:style w:type="character" w:customStyle="1" w:styleId="Normal12Char">
    <w:name w:val="Normal12 Char"/>
    <w:link w:val="Normal12"/>
    <w:locked/>
    <w:rsid w:val="00DF5568"/>
    <w:rPr>
      <w:sz w:val="24"/>
      <w:lang w:val="x-none" w:eastAsia="x-none"/>
    </w:rPr>
  </w:style>
  <w:style w:type="character" w:styleId="SubtleEmphasis">
    <w:name w:val="Subtle Emphasis"/>
    <w:uiPriority w:val="19"/>
    <w:qFormat/>
    <w:rsid w:val="00DF5568"/>
    <w:rPr>
      <w:i/>
      <w:color w:val="5A5A5A"/>
    </w:rPr>
  </w:style>
  <w:style w:type="paragraph" w:customStyle="1" w:styleId="ATHeading1">
    <w:name w:val="AT Heading 1"/>
    <w:basedOn w:val="Normal"/>
    <w:next w:val="Normal"/>
    <w:rsid w:val="00DF5568"/>
    <w:pPr>
      <w:keepNext/>
      <w:keepLines/>
      <w:spacing w:before="0" w:line="240" w:lineRule="auto"/>
      <w:outlineLvl w:val="0"/>
    </w:pPr>
    <w:rPr>
      <w:b/>
      <w:noProof/>
      <w:sz w:val="28"/>
      <w:szCs w:val="20"/>
      <w:lang w:eastAsia="en-GB"/>
    </w:rPr>
  </w:style>
  <w:style w:type="character" w:customStyle="1" w:styleId="yiv3791937573">
    <w:name w:val="yiv3791937573"/>
    <w:rsid w:val="00DF5568"/>
  </w:style>
  <w:style w:type="character" w:customStyle="1" w:styleId="apple-converted-space">
    <w:name w:val="apple-converted-space"/>
    <w:rsid w:val="00DF5568"/>
  </w:style>
  <w:style w:type="paragraph" w:customStyle="1" w:styleId="yiv8020451098msonormal">
    <w:name w:val="yiv8020451098msonormal"/>
    <w:basedOn w:val="Normal"/>
    <w:rsid w:val="00DF5568"/>
    <w:pPr>
      <w:spacing w:before="100" w:beforeAutospacing="1" w:after="100" w:afterAutospacing="1" w:line="240" w:lineRule="auto"/>
    </w:pPr>
    <w:rPr>
      <w:lang w:val="it-IT" w:eastAsia="it-IT"/>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0E095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0">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32B7-EA23-4482-BA60-72DCC2AC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51</Pages>
  <Words>10054</Words>
  <Characters>55101</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SCHOORISSE Valerie</dc:creator>
  <cp:lastModifiedBy>JAMET Sylvie</cp:lastModifiedBy>
  <cp:revision>3</cp:revision>
  <dcterms:created xsi:type="dcterms:W3CDTF">2015-04-21T06:55:00Z</dcterms:created>
  <dcterms:modified xsi:type="dcterms:W3CDTF">2015-04-21T10:10:00Z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