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27A" w:rsidRPr="000E6D45" w:rsidRDefault="000E6D45" w:rsidP="000E6D45">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22eb36ec-1cf5-4bc4-ad1e-f9e7ff09686f" style="width:568.5pt;height:413.3pt">
            <v:imagedata r:id="rId8" o:title=""/>
          </v:shape>
        </w:pict>
      </w:r>
      <w:bookmarkEnd w:id="0"/>
    </w:p>
    <w:p w:rsidR="00857CF5" w:rsidRDefault="00C9127A" w:rsidP="00CE72EC">
      <w:pPr>
        <w:pStyle w:val="HeadingIVX"/>
        <w:spacing w:before="0" w:after="0"/>
      </w:pPr>
      <w:r>
        <w:br w:type="page"/>
      </w:r>
      <w:r w:rsidR="00857CF5" w:rsidRPr="002C6CA9">
        <w:lastRenderedPageBreak/>
        <w:t>INTRODUCTION</w:t>
      </w:r>
    </w:p>
    <w:p w:rsidR="00857CF5" w:rsidRPr="009B5DF3" w:rsidRDefault="00857CF5" w:rsidP="00BD00D6">
      <w:pPr>
        <w:widowControl w:val="0"/>
        <w:tabs>
          <w:tab w:val="left" w:pos="1560"/>
        </w:tabs>
        <w:suppressAutoHyphens/>
        <w:ind w:left="601" w:hanging="601"/>
        <w:rPr>
          <w:lang w:eastAsia="fr-BE"/>
        </w:rPr>
      </w:pPr>
      <w:r w:rsidRPr="009B5DF3">
        <w:rPr>
          <w:lang w:eastAsia="de-DE"/>
        </w:rPr>
        <w:t xml:space="preserve">On </w:t>
      </w:r>
      <w:r w:rsidRPr="009B5DF3">
        <w:rPr>
          <w:lang w:eastAsia="fr-BE"/>
        </w:rPr>
        <w:t>7 February 2013, the Commission presented a package composed of two elements:</w:t>
      </w:r>
    </w:p>
    <w:p w:rsidR="00857CF5" w:rsidRPr="003208C6" w:rsidRDefault="00857CF5" w:rsidP="004934D9">
      <w:pPr>
        <w:widowControl w:val="0"/>
        <w:tabs>
          <w:tab w:val="num" w:pos="1560"/>
        </w:tabs>
        <w:suppressAutoHyphens/>
        <w:ind w:left="1134" w:hanging="567"/>
        <w:rPr>
          <w:lang w:eastAsia="fr-BE"/>
        </w:rPr>
      </w:pPr>
      <w:r w:rsidRPr="009B5DF3">
        <w:rPr>
          <w:lang w:eastAsia="fr-BE"/>
        </w:rPr>
        <w:t>-</w:t>
      </w:r>
      <w:r w:rsidRPr="009B5DF3">
        <w:rPr>
          <w:lang w:eastAsia="fr-BE"/>
        </w:rPr>
        <w:tab/>
        <w:t>a proposal for a Directive of the European Parliament and of the Council on the prevention of the use of the financial system for the purpose of money laundering and terrorist financing (</w:t>
      </w:r>
      <w:r w:rsidRPr="003208C6">
        <w:rPr>
          <w:lang w:eastAsia="fr-BE"/>
        </w:rPr>
        <w:t>AML</w:t>
      </w:r>
      <w:r>
        <w:rPr>
          <w:lang w:eastAsia="fr-BE"/>
        </w:rPr>
        <w:t>D</w:t>
      </w:r>
      <w:r w:rsidRPr="003208C6">
        <w:rPr>
          <w:lang w:eastAsia="fr-BE"/>
        </w:rPr>
        <w:t>)</w:t>
      </w:r>
      <w:r w:rsidRPr="003208C6">
        <w:rPr>
          <w:rStyle w:val="FootnoteReference"/>
          <w:lang w:eastAsia="fr-BE"/>
        </w:rPr>
        <w:footnoteReference w:id="1"/>
      </w:r>
      <w:r w:rsidRPr="003208C6">
        <w:rPr>
          <w:lang w:eastAsia="fr-BE"/>
        </w:rPr>
        <w:t>;</w:t>
      </w:r>
    </w:p>
    <w:p w:rsidR="00857CF5" w:rsidRPr="003208C6" w:rsidRDefault="00857CF5" w:rsidP="004934D9">
      <w:pPr>
        <w:widowControl w:val="0"/>
        <w:tabs>
          <w:tab w:val="num" w:pos="1560"/>
        </w:tabs>
        <w:suppressAutoHyphens/>
        <w:ind w:left="1134" w:hanging="567"/>
        <w:rPr>
          <w:lang w:eastAsia="fr-BE"/>
        </w:rPr>
      </w:pPr>
      <w:r w:rsidRPr="003208C6">
        <w:rPr>
          <w:lang w:eastAsia="fr-BE"/>
        </w:rPr>
        <w:t>-</w:t>
      </w:r>
      <w:r w:rsidRPr="003208C6">
        <w:rPr>
          <w:lang w:eastAsia="fr-BE"/>
        </w:rPr>
        <w:tab/>
        <w:t>a proposal for a Regulation of the European Parliament and the Council on information accompanying transfers of funds (AMLR)</w:t>
      </w:r>
      <w:r w:rsidRPr="003208C6">
        <w:rPr>
          <w:vertAlign w:val="superscript"/>
          <w:lang w:eastAsia="fr-BE"/>
        </w:rPr>
        <w:footnoteReference w:id="2"/>
      </w:r>
      <w:r w:rsidRPr="003208C6">
        <w:rPr>
          <w:lang w:eastAsia="fr-BE"/>
        </w:rPr>
        <w:t>.</w:t>
      </w:r>
    </w:p>
    <w:p w:rsidR="00857CF5" w:rsidRDefault="00857CF5" w:rsidP="00BD00D6">
      <w:pPr>
        <w:widowControl w:val="0"/>
        <w:rPr>
          <w:szCs w:val="20"/>
          <w:lang w:eastAsia="fr-BE"/>
        </w:rPr>
      </w:pPr>
      <w:r w:rsidRPr="00FE1BE8">
        <w:rPr>
          <w:szCs w:val="20"/>
          <w:lang w:eastAsia="fr-BE"/>
        </w:rPr>
        <w:t xml:space="preserve">The </w:t>
      </w:r>
      <w:r w:rsidRPr="00FE1BE8">
        <w:rPr>
          <w:szCs w:val="20"/>
          <w:u w:val="single"/>
          <w:lang w:eastAsia="fr-BE"/>
        </w:rPr>
        <w:t>European Parliament</w:t>
      </w:r>
      <w:r w:rsidRPr="00FE1BE8">
        <w:rPr>
          <w:szCs w:val="20"/>
          <w:lang w:eastAsia="fr-BE"/>
        </w:rPr>
        <w:t xml:space="preserve"> adopted its position at first reading at its plenary session on 11 March 2014.</w:t>
      </w:r>
      <w:r w:rsidRPr="0018258C">
        <w:rPr>
          <w:szCs w:val="20"/>
          <w:lang w:eastAsia="fr-BE"/>
        </w:rPr>
        <w:t xml:space="preserve"> </w:t>
      </w:r>
    </w:p>
    <w:p w:rsidR="00857CF5" w:rsidRDefault="00857CF5" w:rsidP="00BD00D6">
      <w:pPr>
        <w:widowControl w:val="0"/>
        <w:rPr>
          <w:szCs w:val="20"/>
          <w:lang w:eastAsia="fr-BE"/>
        </w:rPr>
      </w:pPr>
      <w:r w:rsidRPr="0018258C">
        <w:rPr>
          <w:szCs w:val="20"/>
          <w:lang w:eastAsia="fr-BE"/>
        </w:rPr>
        <w:t xml:space="preserve">The </w:t>
      </w:r>
      <w:r w:rsidRPr="0018258C">
        <w:rPr>
          <w:szCs w:val="20"/>
          <w:u w:val="single"/>
          <w:lang w:eastAsia="fr-BE"/>
        </w:rPr>
        <w:t>Working Party on Financial Services</w:t>
      </w:r>
      <w:r w:rsidRPr="0018258C">
        <w:rPr>
          <w:szCs w:val="20"/>
          <w:lang w:eastAsia="fr-BE"/>
        </w:rPr>
        <w:t xml:space="preserve"> </w:t>
      </w:r>
      <w:r w:rsidRPr="00FE1BE8">
        <w:rPr>
          <w:szCs w:val="20"/>
          <w:lang w:eastAsia="fr-BE"/>
        </w:rPr>
        <w:t>examined the proposed Regulation and Directive on twenty-four occasions under various Presidencies.</w:t>
      </w:r>
    </w:p>
    <w:p w:rsidR="00857CF5" w:rsidRDefault="00857CF5" w:rsidP="00BD00D6">
      <w:pPr>
        <w:widowControl w:val="0"/>
        <w:rPr>
          <w:szCs w:val="20"/>
          <w:lang w:eastAsia="fr-BE"/>
        </w:rPr>
      </w:pPr>
      <w:r>
        <w:rPr>
          <w:szCs w:val="20"/>
          <w:lang w:eastAsia="fr-BE"/>
        </w:rPr>
        <w:t>In December 2014</w:t>
      </w:r>
      <w:r w:rsidRPr="0018258C">
        <w:rPr>
          <w:szCs w:val="20"/>
          <w:lang w:eastAsia="fr-BE"/>
        </w:rPr>
        <w:t xml:space="preserve">, final compromises with the European Parliament were found both on the </w:t>
      </w:r>
      <w:r w:rsidRPr="00FE1BE8">
        <w:rPr>
          <w:szCs w:val="20"/>
          <w:lang w:eastAsia="fr-BE"/>
        </w:rPr>
        <w:t>Regulation and Directive</w:t>
      </w:r>
      <w:r w:rsidRPr="0018258C">
        <w:rPr>
          <w:szCs w:val="20"/>
          <w:lang w:eastAsia="fr-BE"/>
        </w:rPr>
        <w:t xml:space="preserve">, which permitted the conclusion of the negotiations concerning the two dossiers. At the </w:t>
      </w:r>
      <w:r w:rsidRPr="00FE1BE8">
        <w:rPr>
          <w:szCs w:val="20"/>
          <w:lang w:eastAsia="fr-BE"/>
        </w:rPr>
        <w:t xml:space="preserve">16 December 2014 </w:t>
      </w:r>
      <w:proofErr w:type="spellStart"/>
      <w:r w:rsidRPr="00FE1BE8">
        <w:rPr>
          <w:szCs w:val="20"/>
          <w:lang w:eastAsia="fr-BE"/>
        </w:rPr>
        <w:t>trilogue</w:t>
      </w:r>
      <w:proofErr w:type="spellEnd"/>
      <w:r w:rsidRPr="0018258C">
        <w:rPr>
          <w:szCs w:val="20"/>
          <w:lang w:eastAsia="fr-BE"/>
        </w:rPr>
        <w:t xml:space="preserve">, a provisional agreement was reached between the co-legislators with a view to an early second-reading agreement. </w:t>
      </w:r>
    </w:p>
    <w:p w:rsidR="00857CF5" w:rsidRPr="00FE1BE8" w:rsidRDefault="00857CF5" w:rsidP="00BD00D6">
      <w:pPr>
        <w:widowControl w:val="0"/>
        <w:rPr>
          <w:szCs w:val="20"/>
          <w:lang w:eastAsia="fr-BE"/>
        </w:rPr>
      </w:pPr>
      <w:r w:rsidRPr="00FE1BE8">
        <w:rPr>
          <w:szCs w:val="20"/>
          <w:lang w:eastAsia="fr-BE"/>
        </w:rPr>
        <w:t>On 27</w:t>
      </w:r>
      <w:r>
        <w:rPr>
          <w:szCs w:val="20"/>
          <w:lang w:eastAsia="fr-BE"/>
        </w:rPr>
        <w:t xml:space="preserve"> January 2015</w:t>
      </w:r>
      <w:r w:rsidRPr="0018258C">
        <w:rPr>
          <w:szCs w:val="20"/>
          <w:lang w:eastAsia="fr-BE"/>
        </w:rPr>
        <w:t xml:space="preserve">, the Committee on </w:t>
      </w:r>
      <w:r w:rsidRPr="00FE1BE8">
        <w:rPr>
          <w:szCs w:val="20"/>
          <w:lang w:eastAsia="fr-BE"/>
        </w:rPr>
        <w:t>Economic and Monetary Affairs (ECON) and the Committee on Civil Liberties, Justice and Home Affairs (LIBE) of the European Parliament</w:t>
      </w:r>
      <w:r w:rsidRPr="00FE1BE8">
        <w:rPr>
          <w:szCs w:val="20"/>
          <w:lang w:val="en-US" w:eastAsia="fr-BE"/>
        </w:rPr>
        <w:t xml:space="preserve"> approved</w:t>
      </w:r>
      <w:r w:rsidRPr="00FE1BE8">
        <w:rPr>
          <w:szCs w:val="20"/>
          <w:lang w:eastAsia="fr-BE"/>
        </w:rPr>
        <w:t xml:space="preserve"> the outcome of the </w:t>
      </w:r>
      <w:proofErr w:type="spellStart"/>
      <w:r w:rsidRPr="00FE1BE8">
        <w:rPr>
          <w:szCs w:val="20"/>
          <w:lang w:eastAsia="fr-BE"/>
        </w:rPr>
        <w:t>trilogue</w:t>
      </w:r>
      <w:proofErr w:type="spellEnd"/>
      <w:r w:rsidRPr="00FE1BE8">
        <w:rPr>
          <w:szCs w:val="20"/>
          <w:lang w:eastAsia="fr-BE"/>
        </w:rPr>
        <w:t xml:space="preserve"> negotiations. On 29 January 2015, the Chairs of those Committees addressed a letter to the Presidency indicating that, should the Council transmit formally to the Parliament its position in the form that it was presented in the Annex to that letter, the Chairs would recommend to the Plenary to accept the Council's position without amendment.</w:t>
      </w:r>
      <w:r>
        <w:rPr>
          <w:rStyle w:val="FootnoteReference"/>
          <w:szCs w:val="20"/>
          <w:lang w:eastAsia="fr-BE"/>
        </w:rPr>
        <w:footnoteReference w:id="3"/>
      </w:r>
    </w:p>
    <w:p w:rsidR="00857CF5" w:rsidRDefault="00857CF5" w:rsidP="00BD00D6">
      <w:pPr>
        <w:widowControl w:val="0"/>
        <w:rPr>
          <w:szCs w:val="20"/>
          <w:lang w:eastAsia="fr-BE"/>
        </w:rPr>
      </w:pPr>
      <w:r>
        <w:rPr>
          <w:szCs w:val="20"/>
          <w:lang w:eastAsia="fr-BE"/>
        </w:rPr>
        <w:br w:type="page"/>
      </w:r>
      <w:r w:rsidRPr="00FE1BE8">
        <w:rPr>
          <w:szCs w:val="20"/>
          <w:lang w:eastAsia="fr-BE"/>
        </w:rPr>
        <w:lastRenderedPageBreak/>
        <w:t xml:space="preserve">On 10 February 2015 the </w:t>
      </w:r>
      <w:r w:rsidRPr="00FE1BE8">
        <w:rPr>
          <w:szCs w:val="20"/>
          <w:u w:val="single"/>
          <w:lang w:eastAsia="fr-BE"/>
        </w:rPr>
        <w:t>Council</w:t>
      </w:r>
      <w:r w:rsidRPr="00FE1BE8">
        <w:rPr>
          <w:szCs w:val="20"/>
          <w:lang w:eastAsia="fr-BE"/>
        </w:rPr>
        <w:t xml:space="preserve"> reached a political agreement on the revised texts.</w:t>
      </w:r>
    </w:p>
    <w:p w:rsidR="00857CF5" w:rsidRPr="007309B5" w:rsidRDefault="00857CF5" w:rsidP="0089184E">
      <w:pPr>
        <w:rPr>
          <w:bCs/>
          <w:szCs w:val="20"/>
          <w:lang w:eastAsia="fr-BE"/>
        </w:rPr>
      </w:pPr>
      <w:r w:rsidRPr="0018258C">
        <w:rPr>
          <w:szCs w:val="20"/>
          <w:lang w:eastAsia="fr-BE"/>
        </w:rPr>
        <w:t>Taking into account the above agreement and af</w:t>
      </w:r>
      <w:r w:rsidRPr="00CF4779">
        <w:rPr>
          <w:szCs w:val="20"/>
          <w:lang w:eastAsia="fr-BE"/>
        </w:rPr>
        <w:t>ter legal and linguistic revision, the Council adopted its position at first reading on 20 April 2015, in accordance with the ordinary legislative procedure laid down in Article 294 of the Treaty</w:t>
      </w:r>
      <w:r w:rsidRPr="0018258C">
        <w:rPr>
          <w:szCs w:val="20"/>
          <w:lang w:eastAsia="fr-BE"/>
        </w:rPr>
        <w:t xml:space="preserve"> on the Functioning of the European Union (TFEU).</w:t>
      </w:r>
      <w:r w:rsidRPr="00DE7622">
        <w:rPr>
          <w:strike/>
          <w:color w:val="FF0000"/>
          <w:szCs w:val="20"/>
          <w:lang w:eastAsia="fr-BE"/>
        </w:rPr>
        <w:t xml:space="preserve"> </w:t>
      </w:r>
    </w:p>
    <w:p w:rsidR="00857CF5" w:rsidRPr="007309B5" w:rsidRDefault="00857CF5" w:rsidP="0089184E">
      <w:pPr>
        <w:rPr>
          <w:bCs/>
        </w:rPr>
      </w:pPr>
      <w:r w:rsidRPr="007309B5">
        <w:rPr>
          <w:bCs/>
        </w:rPr>
        <w:t xml:space="preserve">All three institutions have treated the Anti-Money Laundering Directive and Regulation as an integral package. The same statement of </w:t>
      </w:r>
      <w:r>
        <w:rPr>
          <w:bCs/>
        </w:rPr>
        <w:t xml:space="preserve">the Council's </w:t>
      </w:r>
      <w:r w:rsidRPr="007309B5">
        <w:rPr>
          <w:bCs/>
        </w:rPr>
        <w:t>reasons has therefore been adopted for both.</w:t>
      </w:r>
    </w:p>
    <w:p w:rsidR="00857CF5" w:rsidRPr="0018258C" w:rsidRDefault="00857CF5" w:rsidP="00BD00D6">
      <w:pPr>
        <w:widowControl w:val="0"/>
        <w:rPr>
          <w:szCs w:val="20"/>
          <w:lang w:eastAsia="fr-BE"/>
        </w:rPr>
      </w:pPr>
    </w:p>
    <w:p w:rsidR="00857CF5" w:rsidRDefault="00857CF5" w:rsidP="00CE72EC">
      <w:pPr>
        <w:pStyle w:val="HeadingIVX"/>
        <w:spacing w:before="0" w:after="0"/>
      </w:pPr>
      <w:r w:rsidRPr="002C6CA9">
        <w:t>OBJECTIVE</w:t>
      </w:r>
    </w:p>
    <w:p w:rsidR="00857CF5" w:rsidRPr="00CE72EC" w:rsidRDefault="00857CF5" w:rsidP="00BD00D6">
      <w:pPr>
        <w:widowControl w:val="0"/>
        <w:rPr>
          <w:szCs w:val="20"/>
          <w:lang w:eastAsia="fr-BE"/>
        </w:rPr>
      </w:pPr>
      <w:r w:rsidRPr="00CE72EC">
        <w:rPr>
          <w:szCs w:val="20"/>
          <w:lang w:eastAsia="fr-BE"/>
        </w:rPr>
        <w:t xml:space="preserve">The proposal </w:t>
      </w:r>
      <w:r>
        <w:rPr>
          <w:szCs w:val="20"/>
          <w:lang w:eastAsia="fr-BE"/>
        </w:rPr>
        <w:t>for an Anti-Money Laundering</w:t>
      </w:r>
      <w:r w:rsidRPr="00CE72EC">
        <w:rPr>
          <w:szCs w:val="20"/>
          <w:lang w:eastAsia="fr-BE"/>
        </w:rPr>
        <w:t xml:space="preserve"> </w:t>
      </w:r>
      <w:r>
        <w:rPr>
          <w:szCs w:val="20"/>
          <w:lang w:eastAsia="fr-BE"/>
        </w:rPr>
        <w:t xml:space="preserve">Directive (AMLD) </w:t>
      </w:r>
      <w:r w:rsidRPr="00CE72EC">
        <w:rPr>
          <w:szCs w:val="20"/>
          <w:lang w:eastAsia="fr-BE"/>
        </w:rPr>
        <w:t xml:space="preserve">was </w:t>
      </w:r>
      <w:r>
        <w:rPr>
          <w:szCs w:val="20"/>
          <w:lang w:eastAsia="fr-BE"/>
        </w:rPr>
        <w:t>adopted</w:t>
      </w:r>
      <w:r w:rsidRPr="00CE72EC">
        <w:rPr>
          <w:szCs w:val="20"/>
          <w:lang w:eastAsia="fr-BE"/>
        </w:rPr>
        <w:t xml:space="preserve"> by the Commission to update and improve the EU’s existing 3rd AMLD with the aim of further strengthening the EU’s defences against money laundering and terrorist financing and of ensuring the soundness, integrity and stability of the financial system. The main objectives of the measures proposed are:</w:t>
      </w:r>
    </w:p>
    <w:p w:rsidR="00857CF5" w:rsidRPr="00CE72EC" w:rsidRDefault="00857CF5" w:rsidP="00857CF5">
      <w:pPr>
        <w:widowControl w:val="0"/>
        <w:numPr>
          <w:ilvl w:val="0"/>
          <w:numId w:val="21"/>
        </w:numPr>
        <w:tabs>
          <w:tab w:val="left" w:pos="851"/>
        </w:tabs>
        <w:spacing w:before="0"/>
        <w:ind w:left="851" w:hanging="284"/>
        <w:rPr>
          <w:szCs w:val="20"/>
          <w:lang w:eastAsia="fr-BE"/>
        </w:rPr>
      </w:pPr>
      <w:r w:rsidRPr="00CE72EC">
        <w:rPr>
          <w:szCs w:val="20"/>
          <w:lang w:eastAsia="fr-BE"/>
        </w:rPr>
        <w:t>to safeguard the interests of society from criminality and terrorist acts;</w:t>
      </w:r>
    </w:p>
    <w:p w:rsidR="00857CF5" w:rsidRPr="00CE72EC" w:rsidRDefault="00857CF5" w:rsidP="00857CF5">
      <w:pPr>
        <w:widowControl w:val="0"/>
        <w:numPr>
          <w:ilvl w:val="0"/>
          <w:numId w:val="21"/>
        </w:numPr>
        <w:tabs>
          <w:tab w:val="left" w:pos="851"/>
        </w:tabs>
        <w:spacing w:before="0"/>
        <w:ind w:left="851" w:hanging="284"/>
        <w:rPr>
          <w:szCs w:val="20"/>
          <w:lang w:eastAsia="fr-BE"/>
        </w:rPr>
      </w:pPr>
      <w:r w:rsidRPr="00CE72EC">
        <w:rPr>
          <w:szCs w:val="20"/>
          <w:lang w:eastAsia="fr-BE"/>
        </w:rPr>
        <w:t>to contribute to financial stability by protecting the soundness, proper functioning and integrity of the financial system.</w:t>
      </w:r>
    </w:p>
    <w:p w:rsidR="00857CF5" w:rsidRDefault="00857CF5" w:rsidP="00857CF5">
      <w:pPr>
        <w:widowControl w:val="0"/>
        <w:numPr>
          <w:ilvl w:val="0"/>
          <w:numId w:val="21"/>
        </w:numPr>
        <w:tabs>
          <w:tab w:val="left" w:pos="851"/>
        </w:tabs>
        <w:spacing w:before="0"/>
        <w:ind w:left="851" w:hanging="284"/>
        <w:rPr>
          <w:szCs w:val="20"/>
          <w:lang w:eastAsia="fr-BE"/>
        </w:rPr>
      </w:pPr>
      <w:r w:rsidRPr="00CE72EC">
        <w:rPr>
          <w:szCs w:val="20"/>
          <w:lang w:eastAsia="fr-BE"/>
        </w:rPr>
        <w:t>to safeguard the economic prosperity of the European Union by ensuring an efficient business environment; and</w:t>
      </w:r>
    </w:p>
    <w:p w:rsidR="00857CF5" w:rsidRPr="00CE72EC" w:rsidRDefault="00857CF5" w:rsidP="00857CF5">
      <w:pPr>
        <w:widowControl w:val="0"/>
        <w:numPr>
          <w:ilvl w:val="0"/>
          <w:numId w:val="21"/>
        </w:numPr>
        <w:tabs>
          <w:tab w:val="left" w:pos="851"/>
        </w:tabs>
        <w:spacing w:before="0"/>
        <w:ind w:left="851" w:hanging="284"/>
        <w:rPr>
          <w:szCs w:val="20"/>
          <w:lang w:eastAsia="fr-BE"/>
        </w:rPr>
      </w:pPr>
      <w:r w:rsidRPr="00CE72EC">
        <w:rPr>
          <w:szCs w:val="20"/>
          <w:lang w:eastAsia="fr-BE"/>
        </w:rPr>
        <w:t>to strengthen the Internal Market by reducing complexity across borders;</w:t>
      </w:r>
    </w:p>
    <w:p w:rsidR="00857CF5" w:rsidRPr="00CE72EC" w:rsidRDefault="00857CF5" w:rsidP="00BD00D6">
      <w:pPr>
        <w:widowControl w:val="0"/>
        <w:rPr>
          <w:szCs w:val="20"/>
          <w:lang w:eastAsia="fr-BE"/>
        </w:rPr>
      </w:pPr>
      <w:r w:rsidRPr="00CE72EC">
        <w:rPr>
          <w:szCs w:val="20"/>
          <w:lang w:eastAsia="fr-BE"/>
        </w:rPr>
        <w:t>These objectives will be achieved by:</w:t>
      </w:r>
    </w:p>
    <w:p w:rsidR="00857CF5" w:rsidRPr="00CE72EC" w:rsidRDefault="00857CF5" w:rsidP="00857CF5">
      <w:pPr>
        <w:widowControl w:val="0"/>
        <w:numPr>
          <w:ilvl w:val="0"/>
          <w:numId w:val="21"/>
        </w:numPr>
        <w:tabs>
          <w:tab w:val="left" w:pos="851"/>
        </w:tabs>
        <w:spacing w:before="0"/>
        <w:ind w:left="851" w:hanging="284"/>
        <w:rPr>
          <w:szCs w:val="20"/>
          <w:lang w:eastAsia="fr-BE"/>
        </w:rPr>
      </w:pPr>
      <w:r w:rsidRPr="00CE72EC">
        <w:rPr>
          <w:szCs w:val="20"/>
          <w:lang w:eastAsia="fr-BE"/>
        </w:rPr>
        <w:t>ensuring consistency between the EU approach and the international one - in particular, alignment with the most recent (February 2012) Recommendations of the Financial Action Task Force (FATF);</w:t>
      </w:r>
    </w:p>
    <w:p w:rsidR="00857CF5" w:rsidRPr="00CE72EC" w:rsidRDefault="00857CF5" w:rsidP="00857CF5">
      <w:pPr>
        <w:widowControl w:val="0"/>
        <w:numPr>
          <w:ilvl w:val="0"/>
          <w:numId w:val="21"/>
        </w:numPr>
        <w:tabs>
          <w:tab w:val="left" w:pos="851"/>
        </w:tabs>
        <w:spacing w:before="0"/>
        <w:ind w:left="851" w:hanging="284"/>
        <w:rPr>
          <w:szCs w:val="20"/>
          <w:lang w:eastAsia="fr-BE"/>
        </w:rPr>
      </w:pPr>
      <w:r w:rsidRPr="00CE72EC">
        <w:rPr>
          <w:szCs w:val="20"/>
          <w:lang w:eastAsia="fr-BE"/>
        </w:rPr>
        <w:t>ensuring consistency between national rules, as well as flexibility in their implementation; and</w:t>
      </w:r>
    </w:p>
    <w:p w:rsidR="00857CF5" w:rsidRPr="00CE72EC" w:rsidRDefault="00857CF5" w:rsidP="00857CF5">
      <w:pPr>
        <w:widowControl w:val="0"/>
        <w:numPr>
          <w:ilvl w:val="0"/>
          <w:numId w:val="21"/>
        </w:numPr>
        <w:tabs>
          <w:tab w:val="left" w:pos="851"/>
        </w:tabs>
        <w:spacing w:before="0"/>
        <w:ind w:left="851" w:hanging="284"/>
        <w:rPr>
          <w:szCs w:val="20"/>
          <w:lang w:eastAsia="fr-BE"/>
        </w:rPr>
      </w:pPr>
      <w:r w:rsidRPr="00CE72EC">
        <w:rPr>
          <w:szCs w:val="20"/>
          <w:lang w:eastAsia="fr-BE"/>
        </w:rPr>
        <w:t>ensuring that the rules are risk-focused and adjusted to address new emerging threats.</w:t>
      </w:r>
    </w:p>
    <w:p w:rsidR="00857CF5" w:rsidRDefault="00857CF5" w:rsidP="00BD00D6">
      <w:pPr>
        <w:widowControl w:val="0"/>
        <w:tabs>
          <w:tab w:val="left" w:pos="851"/>
        </w:tabs>
        <w:rPr>
          <w:szCs w:val="20"/>
          <w:lang w:eastAsia="fr-BE"/>
        </w:rPr>
      </w:pPr>
      <w:r>
        <w:rPr>
          <w:szCs w:val="20"/>
          <w:lang w:eastAsia="fr-BE"/>
        </w:rPr>
        <w:br w:type="page"/>
      </w:r>
      <w:r w:rsidRPr="00CE72EC">
        <w:rPr>
          <w:szCs w:val="20"/>
          <w:lang w:eastAsia="fr-BE"/>
        </w:rPr>
        <w:lastRenderedPageBreak/>
        <w:t xml:space="preserve">The purpose of the </w:t>
      </w:r>
      <w:r>
        <w:rPr>
          <w:szCs w:val="20"/>
          <w:lang w:eastAsia="fr-BE"/>
        </w:rPr>
        <w:t>Anti-Money Laundering</w:t>
      </w:r>
      <w:r w:rsidRPr="00CE72EC">
        <w:rPr>
          <w:szCs w:val="20"/>
          <w:lang w:eastAsia="fr-BE"/>
        </w:rPr>
        <w:t xml:space="preserve"> </w:t>
      </w:r>
      <w:r>
        <w:rPr>
          <w:szCs w:val="20"/>
          <w:lang w:eastAsia="fr-BE"/>
        </w:rPr>
        <w:t xml:space="preserve">Regulation (AMLR), which was adopted at the same time as the AMLD, </w:t>
      </w:r>
      <w:r w:rsidRPr="00CE72EC">
        <w:rPr>
          <w:szCs w:val="20"/>
          <w:lang w:eastAsia="fr-BE"/>
        </w:rPr>
        <w:t>is to update and revise the existing 3rd AMLR in ways which improve traceability of payments and ensure that the EU framework remains fully compliant with international standards (FATF recommendations).</w:t>
      </w:r>
    </w:p>
    <w:p w:rsidR="00857CF5" w:rsidRPr="00CE72EC" w:rsidRDefault="00857CF5" w:rsidP="00BD00D6">
      <w:pPr>
        <w:widowControl w:val="0"/>
        <w:tabs>
          <w:tab w:val="left" w:pos="851"/>
        </w:tabs>
        <w:rPr>
          <w:szCs w:val="20"/>
          <w:lang w:eastAsia="fr-BE"/>
        </w:rPr>
      </w:pPr>
    </w:p>
    <w:p w:rsidR="00857CF5" w:rsidRDefault="00857CF5" w:rsidP="00CE72EC">
      <w:pPr>
        <w:pStyle w:val="HeadingIVX"/>
        <w:spacing w:before="0" w:after="0"/>
      </w:pPr>
      <w:r w:rsidRPr="002C6CA9">
        <w:t>ANALYSIS OF THE COUNCIL'S POSITION AT FIRST READING</w:t>
      </w:r>
    </w:p>
    <w:p w:rsidR="00857CF5" w:rsidRPr="00CF4779" w:rsidRDefault="00857CF5" w:rsidP="00BD00D6">
      <w:pPr>
        <w:widowControl w:val="0"/>
        <w:rPr>
          <w:szCs w:val="20"/>
          <w:lang w:eastAsia="fr-BE"/>
        </w:rPr>
      </w:pPr>
      <w:r w:rsidRPr="007804F3">
        <w:rPr>
          <w:szCs w:val="20"/>
          <w:lang w:eastAsia="fr-BE"/>
        </w:rPr>
        <w:t>The amendments of the Council aim</w:t>
      </w:r>
      <w:r>
        <w:rPr>
          <w:szCs w:val="20"/>
          <w:lang w:eastAsia="fr-BE"/>
        </w:rPr>
        <w:t xml:space="preserve"> to </w:t>
      </w:r>
      <w:r w:rsidRPr="00AD664F">
        <w:rPr>
          <w:szCs w:val="20"/>
          <w:lang w:eastAsia="fr-BE"/>
        </w:rPr>
        <w:t xml:space="preserve">strengthen the EU’s defences against money laundering and terrorist financing </w:t>
      </w:r>
      <w:r w:rsidRPr="00CF4779">
        <w:rPr>
          <w:szCs w:val="20"/>
          <w:lang w:eastAsia="fr-BE"/>
        </w:rPr>
        <w:t xml:space="preserve">while </w:t>
      </w:r>
      <w:r>
        <w:rPr>
          <w:szCs w:val="20"/>
          <w:lang w:eastAsia="fr-BE"/>
        </w:rPr>
        <w:t xml:space="preserve">ensuring consistency with the approach followed at international level, notably the FATF recommendations. </w:t>
      </w:r>
      <w:r w:rsidRPr="00CF4779">
        <w:rPr>
          <w:szCs w:val="20"/>
          <w:lang w:eastAsia="fr-BE"/>
        </w:rPr>
        <w:t>On some issues, the new EU rules expand on the FATF's requirements and provide additional safeguards.</w:t>
      </w:r>
    </w:p>
    <w:p w:rsidR="00857CF5" w:rsidRDefault="00857CF5" w:rsidP="006063B8">
      <w:pPr>
        <w:widowControl w:val="0"/>
      </w:pPr>
      <w:r w:rsidRPr="00D91B8A">
        <w:rPr>
          <w:szCs w:val="20"/>
          <w:lang w:eastAsia="fr-BE"/>
        </w:rPr>
        <w:t xml:space="preserve">For gambling services posing higher risks, the </w:t>
      </w:r>
      <w:r>
        <w:rPr>
          <w:szCs w:val="20"/>
          <w:lang w:eastAsia="fr-BE"/>
        </w:rPr>
        <w:t>Directive</w:t>
      </w:r>
      <w:r w:rsidRPr="00D91B8A">
        <w:rPr>
          <w:szCs w:val="20"/>
          <w:lang w:eastAsia="fr-BE"/>
        </w:rPr>
        <w:t xml:space="preserve"> requires service providers to conduct due diligence for transactions of €</w:t>
      </w:r>
      <w:r>
        <w:rPr>
          <w:szCs w:val="20"/>
          <w:lang w:eastAsia="fr-BE"/>
        </w:rPr>
        <w:t xml:space="preserve"> </w:t>
      </w:r>
      <w:r w:rsidRPr="00D91B8A">
        <w:rPr>
          <w:szCs w:val="20"/>
          <w:lang w:eastAsia="fr-BE"/>
        </w:rPr>
        <w:t xml:space="preserve">2000 or more. </w:t>
      </w:r>
      <w:r>
        <w:rPr>
          <w:szCs w:val="20"/>
          <w:lang w:eastAsia="fr-BE"/>
        </w:rPr>
        <w:t>W</w:t>
      </w:r>
      <w:r w:rsidRPr="00D91B8A">
        <w:rPr>
          <w:szCs w:val="20"/>
          <w:lang w:eastAsia="fr-BE"/>
        </w:rPr>
        <w:t xml:space="preserve">ith the exception of casinos, Member </w:t>
      </w:r>
      <w:r>
        <w:rPr>
          <w:szCs w:val="20"/>
          <w:lang w:eastAsia="fr-BE"/>
        </w:rPr>
        <w:t>S</w:t>
      </w:r>
      <w:r w:rsidRPr="00D91B8A">
        <w:rPr>
          <w:szCs w:val="20"/>
          <w:lang w:eastAsia="fr-BE"/>
        </w:rPr>
        <w:t xml:space="preserve">tates will be allowed to exempt gambling services from some or all requirements, in strictly limited and justified circumstances. Such exemptions will be subject to </w:t>
      </w:r>
      <w:r>
        <w:rPr>
          <w:szCs w:val="20"/>
          <w:lang w:eastAsia="fr-BE"/>
        </w:rPr>
        <w:t>an appropriate</w:t>
      </w:r>
      <w:r w:rsidRPr="00D91B8A">
        <w:rPr>
          <w:szCs w:val="20"/>
          <w:lang w:eastAsia="fr-BE"/>
        </w:rPr>
        <w:t xml:space="preserve"> risk assessment.</w:t>
      </w:r>
    </w:p>
    <w:p w:rsidR="00857CF5" w:rsidRDefault="00857CF5" w:rsidP="00BD00D6">
      <w:pPr>
        <w:widowControl w:val="0"/>
      </w:pPr>
      <w:r>
        <w:t>Furthermore, in certain proven low-risk circumstances and under strict mitigating conditions, Member States are allowed to exempt electronic money products from certain customer due diligence measures.</w:t>
      </w:r>
    </w:p>
    <w:p w:rsidR="00857CF5" w:rsidRDefault="00857CF5" w:rsidP="007309B5">
      <w:pPr>
        <w:widowControl w:val="0"/>
      </w:pPr>
      <w:r>
        <w:t>The Directive applies a risk-based approach</w:t>
      </w:r>
      <w:r w:rsidDel="006063B8">
        <w:t xml:space="preserve"> </w:t>
      </w:r>
      <w:r>
        <w:t xml:space="preserve"> to better target risks. The importance of a supra-national approach to risk  assessment has been recognised at international level. As the Commission is well placed to review specific cross-border threats, it has been entrusted with the responsibility of coordinating the assessment of money laundering and terrorist financing risks </w:t>
      </w:r>
      <w:r w:rsidRPr="007309B5">
        <w:t>affecting</w:t>
      </w:r>
      <w:r>
        <w:t xml:space="preserve"> the internal market and relating to cross-border </w:t>
      </w:r>
      <w:r w:rsidRPr="007309B5">
        <w:rPr>
          <w:bCs/>
        </w:rPr>
        <w:t>activities</w:t>
      </w:r>
      <w:r>
        <w:t>.</w:t>
      </w:r>
    </w:p>
    <w:p w:rsidR="00857CF5" w:rsidRDefault="00857CF5" w:rsidP="00BD00D6">
      <w:pPr>
        <w:widowControl w:val="0"/>
      </w:pPr>
      <w:r>
        <w:br w:type="page"/>
        <w:t>With regard to the treatment of politically exposed persons, the Directive does not distinguish between persons who hold or have held prominent functions domestically and those who hold or have held such functions abroad.</w:t>
      </w:r>
    </w:p>
    <w:p w:rsidR="00857CF5" w:rsidRDefault="00857CF5" w:rsidP="00F43875">
      <w:pPr>
        <w:widowControl w:val="0"/>
        <w:rPr>
          <w:szCs w:val="20"/>
          <w:lang w:eastAsia="fr-BE"/>
        </w:rPr>
      </w:pPr>
      <w:r>
        <w:rPr>
          <w:szCs w:val="20"/>
          <w:lang w:eastAsia="fr-BE"/>
        </w:rPr>
        <w:t>As a result of the Directive, b</w:t>
      </w:r>
      <w:r w:rsidRPr="00CF4779">
        <w:rPr>
          <w:szCs w:val="20"/>
          <w:lang w:eastAsia="fr-BE"/>
        </w:rPr>
        <w:t>eneficial</w:t>
      </w:r>
      <w:r>
        <w:rPr>
          <w:szCs w:val="20"/>
          <w:lang w:eastAsia="fr-BE"/>
        </w:rPr>
        <w:t xml:space="preserve"> ownership information on corporate and other legal entities will have to be  held in a central register in each Member State. </w:t>
      </w:r>
      <w:r w:rsidRPr="00D91B8A">
        <w:rPr>
          <w:szCs w:val="20"/>
          <w:lang w:eastAsia="fr-BE"/>
        </w:rPr>
        <w:t xml:space="preserve">Member </w:t>
      </w:r>
      <w:r>
        <w:rPr>
          <w:szCs w:val="20"/>
          <w:lang w:eastAsia="fr-BE"/>
        </w:rPr>
        <w:t>S</w:t>
      </w:r>
      <w:r w:rsidRPr="00D91B8A">
        <w:rPr>
          <w:szCs w:val="20"/>
          <w:lang w:eastAsia="fr-BE"/>
        </w:rPr>
        <w:t xml:space="preserve">tates that so wish may use a public register. </w:t>
      </w:r>
      <w:r>
        <w:rPr>
          <w:szCs w:val="20"/>
          <w:lang w:eastAsia="fr-BE"/>
        </w:rPr>
        <w:t xml:space="preserve">Beneficial ownership </w:t>
      </w:r>
      <w:r w:rsidRPr="00D91B8A">
        <w:rPr>
          <w:szCs w:val="20"/>
          <w:lang w:eastAsia="fr-BE"/>
        </w:rPr>
        <w:t xml:space="preserve">information will be accessible to competent authorities and </w:t>
      </w:r>
      <w:r>
        <w:rPr>
          <w:szCs w:val="20"/>
          <w:lang w:eastAsia="fr-BE"/>
        </w:rPr>
        <w:t>financial intelligence units</w:t>
      </w:r>
      <w:r w:rsidRPr="00D91B8A">
        <w:rPr>
          <w:szCs w:val="20"/>
          <w:lang w:eastAsia="fr-BE"/>
        </w:rPr>
        <w:t xml:space="preserve"> and, in the framework of the conduct of customer due diligence, to ob</w:t>
      </w:r>
      <w:r>
        <w:rPr>
          <w:szCs w:val="20"/>
          <w:lang w:eastAsia="fr-BE"/>
        </w:rPr>
        <w:t>liged entities. The Directive</w:t>
      </w:r>
      <w:r w:rsidRPr="00D91B8A">
        <w:rPr>
          <w:szCs w:val="20"/>
          <w:lang w:eastAsia="fr-BE"/>
        </w:rPr>
        <w:t xml:space="preserve"> also enable</w:t>
      </w:r>
      <w:r>
        <w:rPr>
          <w:szCs w:val="20"/>
          <w:lang w:eastAsia="fr-BE"/>
        </w:rPr>
        <w:t>s</w:t>
      </w:r>
      <w:r w:rsidRPr="00D91B8A">
        <w:rPr>
          <w:szCs w:val="20"/>
          <w:lang w:eastAsia="fr-BE"/>
        </w:rPr>
        <w:t xml:space="preserve"> persons </w:t>
      </w:r>
      <w:r>
        <w:rPr>
          <w:szCs w:val="20"/>
          <w:lang w:eastAsia="fr-BE"/>
        </w:rPr>
        <w:t>or organisations that</w:t>
      </w:r>
      <w:r w:rsidRPr="00D91B8A">
        <w:rPr>
          <w:szCs w:val="20"/>
          <w:lang w:eastAsia="fr-BE"/>
        </w:rPr>
        <w:t xml:space="preserve"> can demonstrate a legitimate interest to access </w:t>
      </w:r>
      <w:r>
        <w:rPr>
          <w:szCs w:val="20"/>
          <w:lang w:eastAsia="fr-BE"/>
        </w:rPr>
        <w:t xml:space="preserve">at least </w:t>
      </w:r>
      <w:r w:rsidRPr="00D91B8A">
        <w:rPr>
          <w:szCs w:val="20"/>
          <w:lang w:eastAsia="fr-BE"/>
        </w:rPr>
        <w:t>the following  information</w:t>
      </w:r>
      <w:r>
        <w:rPr>
          <w:szCs w:val="20"/>
          <w:lang w:eastAsia="fr-BE"/>
        </w:rPr>
        <w:t xml:space="preserve"> on the beneficial owner</w:t>
      </w:r>
      <w:r w:rsidRPr="00D91B8A">
        <w:rPr>
          <w:szCs w:val="20"/>
          <w:lang w:eastAsia="fr-BE"/>
        </w:rPr>
        <w:t>:</w:t>
      </w:r>
      <w:r>
        <w:rPr>
          <w:szCs w:val="20"/>
          <w:lang w:eastAsia="fr-BE"/>
        </w:rPr>
        <w:t xml:space="preserve"> its </w:t>
      </w:r>
      <w:r w:rsidRPr="00D91B8A">
        <w:rPr>
          <w:szCs w:val="20"/>
          <w:lang w:eastAsia="fr-BE"/>
        </w:rPr>
        <w:t>name,</w:t>
      </w:r>
      <w:r>
        <w:rPr>
          <w:szCs w:val="20"/>
          <w:lang w:eastAsia="fr-BE"/>
        </w:rPr>
        <w:t xml:space="preserve"> </w:t>
      </w:r>
      <w:r w:rsidRPr="00D91B8A">
        <w:rPr>
          <w:szCs w:val="20"/>
          <w:lang w:eastAsia="fr-BE"/>
        </w:rPr>
        <w:t>month and year of birth,</w:t>
      </w:r>
      <w:r>
        <w:rPr>
          <w:szCs w:val="20"/>
          <w:lang w:eastAsia="fr-BE"/>
        </w:rPr>
        <w:t xml:space="preserve"> </w:t>
      </w:r>
      <w:r w:rsidRPr="00D91B8A">
        <w:rPr>
          <w:szCs w:val="20"/>
          <w:lang w:eastAsia="fr-BE"/>
        </w:rPr>
        <w:t>nationality</w:t>
      </w:r>
      <w:r>
        <w:rPr>
          <w:szCs w:val="20"/>
          <w:lang w:eastAsia="fr-BE"/>
        </w:rPr>
        <w:t xml:space="preserve"> and </w:t>
      </w:r>
      <w:r w:rsidRPr="00D91B8A">
        <w:rPr>
          <w:szCs w:val="20"/>
          <w:lang w:eastAsia="fr-BE"/>
        </w:rPr>
        <w:t>country of residence,</w:t>
      </w:r>
      <w:r>
        <w:rPr>
          <w:szCs w:val="20"/>
          <w:lang w:eastAsia="fr-BE"/>
        </w:rPr>
        <w:t xml:space="preserve"> as well as the </w:t>
      </w:r>
      <w:r w:rsidRPr="00D91B8A">
        <w:rPr>
          <w:szCs w:val="20"/>
          <w:lang w:eastAsia="fr-BE"/>
        </w:rPr>
        <w:t>nature and  extent of the beneficial interest held.</w:t>
      </w:r>
      <w:r>
        <w:rPr>
          <w:szCs w:val="20"/>
          <w:lang w:eastAsia="fr-BE"/>
        </w:rPr>
        <w:t xml:space="preserve"> </w:t>
      </w:r>
      <w:r w:rsidRPr="00D91B8A">
        <w:rPr>
          <w:szCs w:val="20"/>
          <w:lang w:eastAsia="fr-BE"/>
        </w:rPr>
        <w:t xml:space="preserve">As for trusts, central registration of beneficial ownership information will be used when the trust generates </w:t>
      </w:r>
      <w:r>
        <w:rPr>
          <w:szCs w:val="20"/>
          <w:lang w:eastAsia="fr-BE"/>
        </w:rPr>
        <w:t xml:space="preserve">tax </w:t>
      </w:r>
      <w:r w:rsidRPr="00D91B8A">
        <w:rPr>
          <w:szCs w:val="20"/>
          <w:lang w:eastAsia="fr-BE"/>
        </w:rPr>
        <w:t>consequences.</w:t>
      </w:r>
    </w:p>
    <w:p w:rsidR="00857CF5" w:rsidRDefault="00857CF5" w:rsidP="00F43875">
      <w:pPr>
        <w:widowControl w:val="0"/>
      </w:pPr>
      <w:r>
        <w:t>As concerns sanctions, the text provides for maximum administrative pecuniary sanctions of at least twice the amount of the benefit derived from the breach, where that benefit can be determined,  or at least €1 million. For breaches involving credit or financial institutions, it provides for:</w:t>
      </w:r>
    </w:p>
    <w:p w:rsidR="00857CF5" w:rsidRDefault="00857CF5" w:rsidP="00BD00D6">
      <w:pPr>
        <w:widowControl w:val="0"/>
        <w:spacing w:before="0"/>
        <w:ind w:left="567" w:hanging="567"/>
      </w:pPr>
      <w:r>
        <w:t>-</w:t>
      </w:r>
      <w:r>
        <w:tab/>
        <w:t>a maximum pecuniary sanction of at least €5 million or 10% of the total annual turnover in the case of a legal person;</w:t>
      </w:r>
    </w:p>
    <w:p w:rsidR="00857CF5" w:rsidRDefault="00857CF5" w:rsidP="00BD00D6">
      <w:pPr>
        <w:widowControl w:val="0"/>
        <w:spacing w:before="0"/>
        <w:ind w:left="567" w:hanging="567"/>
      </w:pPr>
      <w:r>
        <w:t>-</w:t>
      </w:r>
      <w:r>
        <w:tab/>
        <w:t>a maximum pecuniary sanction of at least €5 million in the case of a natural person.</w:t>
      </w:r>
    </w:p>
    <w:p w:rsidR="00857CF5" w:rsidRDefault="00857CF5" w:rsidP="00BD00D6">
      <w:pPr>
        <w:widowControl w:val="0"/>
        <w:ind w:left="567" w:hanging="567"/>
      </w:pPr>
      <w:r>
        <w:t>The provisions relating to sanctions of the Regulation have been aligned to those of the Directive.</w:t>
      </w:r>
    </w:p>
    <w:p w:rsidR="00857CF5" w:rsidRDefault="00857CF5" w:rsidP="00A93F14">
      <w:pPr>
        <w:widowControl w:val="0"/>
      </w:pPr>
      <w:r>
        <w:t>In order to protect the proper functioning of the EU financial system and of the internal market from money laundering and terrorist financing, the Commission will identify, by means of delegated acts, third country jurisdictions which have strategic deficiencies in their national regimes in the field of anti-money laundering and countering the financing of terrorism.</w:t>
      </w:r>
    </w:p>
    <w:p w:rsidR="00857CF5" w:rsidRDefault="00857CF5" w:rsidP="00F43875">
      <w:pPr>
        <w:widowControl w:val="0"/>
      </w:pPr>
      <w:r>
        <w:br w:type="page"/>
      </w:r>
      <w:bookmarkStart w:id="2" w:name="ControlPages"/>
      <w:bookmarkEnd w:id="2"/>
      <w:r>
        <w:t>The full traceability of transfers of funds can be a particularly important and valuable tool in the prevention, detection and investigation of money laundering and terrorist financing. This includes the requirement to include information on the payee with a transfer of funds.  Under the Regulation, the European Banking Authority</w:t>
      </w:r>
      <w:r w:rsidRPr="007804F3">
        <w:t xml:space="preserve">, </w:t>
      </w:r>
      <w:r>
        <w:t>the</w:t>
      </w:r>
      <w:r w:rsidRPr="007804F3">
        <w:t xml:space="preserve"> European Insurance and Occupational Pensions Authority and the European Securities and Markets Authority shall issue guidelines addressed to competent authorities and the payment service providers on measures to be taken in accordance with this Regulation, especially as regards </w:t>
      </w:r>
      <w:r>
        <w:t>transfer of funds with missing or incomplete information on the payer or the payee.</w:t>
      </w:r>
    </w:p>
    <w:p w:rsidR="00857CF5" w:rsidRDefault="00857CF5" w:rsidP="007309B5">
      <w:pPr>
        <w:widowControl w:val="0"/>
      </w:pPr>
      <w:r>
        <w:t>Additionally, amendments have been made to both the Directive and the Regulation to ensure that alignment with the FATF Recommendations is carried out in full compliance with Union law, especially as regards Union data protection law and the protection of fundamental rights.</w:t>
      </w:r>
    </w:p>
    <w:p w:rsidR="00857CF5" w:rsidRDefault="00857CF5" w:rsidP="00BD00D6">
      <w:pPr>
        <w:widowControl w:val="0"/>
        <w:rPr>
          <w:szCs w:val="20"/>
          <w:lang w:eastAsia="fr-BE"/>
        </w:rPr>
      </w:pPr>
      <w:r w:rsidRPr="007804F3">
        <w:rPr>
          <w:szCs w:val="20"/>
          <w:lang w:eastAsia="fr-BE"/>
        </w:rPr>
        <w:t>The European Parliament could accept these changes.</w:t>
      </w:r>
      <w:r w:rsidRPr="0018258C">
        <w:rPr>
          <w:szCs w:val="20"/>
          <w:lang w:eastAsia="fr-BE"/>
        </w:rPr>
        <w:t xml:space="preserve"> </w:t>
      </w:r>
    </w:p>
    <w:p w:rsidR="00857CF5" w:rsidRPr="0018258C" w:rsidRDefault="00857CF5" w:rsidP="00BD00D6">
      <w:pPr>
        <w:widowControl w:val="0"/>
        <w:rPr>
          <w:szCs w:val="20"/>
          <w:lang w:eastAsia="fr-BE"/>
        </w:rPr>
      </w:pPr>
    </w:p>
    <w:p w:rsidR="00857CF5" w:rsidRDefault="00857CF5" w:rsidP="00CE72EC">
      <w:pPr>
        <w:pStyle w:val="HeadingIVX"/>
        <w:spacing w:before="0" w:after="0"/>
      </w:pPr>
      <w:r w:rsidRPr="002C6CA9">
        <w:t>CONCLUSION</w:t>
      </w:r>
    </w:p>
    <w:p w:rsidR="00857CF5" w:rsidRPr="00CE72EC" w:rsidRDefault="00857CF5" w:rsidP="00BD00D6">
      <w:pPr>
        <w:widowControl w:val="0"/>
        <w:rPr>
          <w:szCs w:val="20"/>
          <w:lang w:eastAsia="fr-BE"/>
        </w:rPr>
      </w:pPr>
      <w:r w:rsidRPr="0018258C">
        <w:rPr>
          <w:szCs w:val="20"/>
          <w:lang w:eastAsia="fr-BE"/>
        </w:rPr>
        <w:t xml:space="preserve">The Council's Position at first reading reflects the compromise reached in negotiations between the Council and the European </w:t>
      </w:r>
      <w:r w:rsidRPr="00CE72EC">
        <w:rPr>
          <w:szCs w:val="20"/>
          <w:lang w:eastAsia="fr-BE"/>
        </w:rPr>
        <w:t>Parliament, with the support of the Commission.</w:t>
      </w:r>
    </w:p>
    <w:p w:rsidR="00857CF5" w:rsidRPr="00CE72EC" w:rsidRDefault="00857CF5" w:rsidP="00BD00D6">
      <w:pPr>
        <w:widowControl w:val="0"/>
        <w:rPr>
          <w:szCs w:val="20"/>
          <w:lang w:eastAsia="fr-BE"/>
        </w:rPr>
      </w:pPr>
      <w:r w:rsidRPr="00CE72EC">
        <w:rPr>
          <w:szCs w:val="20"/>
          <w:lang w:eastAsia="fr-BE"/>
        </w:rPr>
        <w:t>This compromise was confirmed by a letter from the Chairs of the European Parliament ECON and LIBE Committees addressed to the Presidency and dated 29 January 201</w:t>
      </w:r>
      <w:r>
        <w:rPr>
          <w:szCs w:val="20"/>
          <w:lang w:eastAsia="fr-BE"/>
        </w:rPr>
        <w:t>5</w:t>
      </w:r>
      <w:r w:rsidRPr="00CE72EC">
        <w:rPr>
          <w:szCs w:val="20"/>
          <w:lang w:eastAsia="fr-BE"/>
        </w:rPr>
        <w:t>. It was subsequently endorsed by the General Affairs Council on 10 February 201</w:t>
      </w:r>
      <w:r>
        <w:rPr>
          <w:szCs w:val="20"/>
          <w:lang w:eastAsia="fr-BE"/>
        </w:rPr>
        <w:t>5</w:t>
      </w:r>
      <w:r w:rsidRPr="00CE72EC">
        <w:rPr>
          <w:szCs w:val="20"/>
          <w:lang w:eastAsia="fr-BE"/>
        </w:rPr>
        <w:t xml:space="preserve"> through the adoption of the political agreement.</w:t>
      </w:r>
    </w:p>
    <w:p w:rsidR="00857CF5" w:rsidRPr="0018258C" w:rsidRDefault="00857CF5" w:rsidP="00BD00D6">
      <w:pPr>
        <w:widowControl w:val="0"/>
        <w:rPr>
          <w:szCs w:val="20"/>
          <w:lang w:eastAsia="fr-BE"/>
        </w:rPr>
      </w:pPr>
      <w:r w:rsidRPr="00CE72EC">
        <w:rPr>
          <w:szCs w:val="20"/>
          <w:lang w:eastAsia="fr-BE"/>
        </w:rPr>
        <w:t>The Council believes that its position at first reading represents a balanced package and that, once adopted, the new Directive and Regulation will make a significant contribution to the fight against money laundering and terrorist financing in the Union.</w:t>
      </w:r>
    </w:p>
    <w:p w:rsidR="00857CF5" w:rsidRPr="002C6CA9" w:rsidRDefault="00857CF5" w:rsidP="000E6D45">
      <w:pPr>
        <w:pStyle w:val="FinalLine"/>
        <w:keepNext/>
        <w:spacing w:before="0" w:after="0"/>
      </w:pPr>
    </w:p>
    <w:p w:rsidR="00857CF5" w:rsidRPr="002C6CA9" w:rsidRDefault="00857CF5">
      <w:pPr>
        <w:pStyle w:val="FinalLine"/>
        <w:spacing w:before="0" w:after="0"/>
      </w:pPr>
    </w:p>
    <w:p w:rsidR="00204186" w:rsidRPr="00204186" w:rsidRDefault="00204186" w:rsidP="00C9127A"/>
    <w:sectPr w:rsidR="00204186" w:rsidRPr="00204186" w:rsidSect="000E6D45">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FE" w:rsidRDefault="008A3BFE" w:rsidP="008A3BFE">
      <w:pPr>
        <w:spacing w:before="0" w:after="0" w:line="240" w:lineRule="auto"/>
      </w:pPr>
      <w:r>
        <w:separator/>
      </w:r>
    </w:p>
  </w:endnote>
  <w:endnote w:type="continuationSeparator" w:id="0">
    <w:p w:rsidR="008A3BFE" w:rsidRDefault="008A3BFE" w:rsidP="008A3B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D45" w:rsidRPr="000E6D45" w:rsidRDefault="000E6D45" w:rsidP="000E6D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0E6D45" w:rsidRPr="00D94637" w:rsidTr="000E6D45">
      <w:trPr>
        <w:jc w:val="center"/>
      </w:trPr>
      <w:tc>
        <w:tcPr>
          <w:tcW w:w="5000" w:type="pct"/>
          <w:gridSpan w:val="7"/>
          <w:shd w:val="clear" w:color="auto" w:fill="auto"/>
          <w:tcMar>
            <w:top w:w="57" w:type="dxa"/>
          </w:tcMar>
        </w:tcPr>
        <w:p w:rsidR="000E6D45" w:rsidRPr="00D94637" w:rsidRDefault="000E6D45" w:rsidP="00D94637">
          <w:pPr>
            <w:pStyle w:val="FooterText"/>
            <w:pBdr>
              <w:top w:val="single" w:sz="4" w:space="1" w:color="auto"/>
            </w:pBdr>
            <w:spacing w:before="200"/>
            <w:rPr>
              <w:sz w:val="2"/>
              <w:szCs w:val="2"/>
            </w:rPr>
          </w:pPr>
          <w:bookmarkStart w:id="3" w:name="FOOTER_STANDARD"/>
        </w:p>
      </w:tc>
    </w:tr>
    <w:tr w:rsidR="000E6D45" w:rsidRPr="00B310DC" w:rsidTr="000E6D45">
      <w:trPr>
        <w:jc w:val="center"/>
      </w:trPr>
      <w:tc>
        <w:tcPr>
          <w:tcW w:w="2500" w:type="pct"/>
          <w:gridSpan w:val="2"/>
          <w:shd w:val="clear" w:color="auto" w:fill="auto"/>
          <w:tcMar>
            <w:top w:w="0" w:type="dxa"/>
          </w:tcMar>
        </w:tcPr>
        <w:p w:rsidR="000E6D45" w:rsidRPr="00AD7BF2" w:rsidRDefault="000E6D45" w:rsidP="004F54B2">
          <w:pPr>
            <w:pStyle w:val="FooterText"/>
          </w:pPr>
          <w:r>
            <w:t>5933/3/15</w:t>
          </w:r>
          <w:r w:rsidRPr="002511D8">
            <w:t xml:space="preserve"> </w:t>
          </w:r>
          <w:r>
            <w:t>REV 3 ADD 1</w:t>
          </w:r>
        </w:p>
      </w:tc>
      <w:tc>
        <w:tcPr>
          <w:tcW w:w="625" w:type="pct"/>
          <w:shd w:val="clear" w:color="auto" w:fill="auto"/>
          <w:tcMar>
            <w:top w:w="0" w:type="dxa"/>
          </w:tcMar>
        </w:tcPr>
        <w:p w:rsidR="000E6D45" w:rsidRPr="00AD7BF2" w:rsidRDefault="000E6D45" w:rsidP="00D94637">
          <w:pPr>
            <w:pStyle w:val="FooterText"/>
            <w:jc w:val="center"/>
          </w:pPr>
        </w:p>
      </w:tc>
      <w:tc>
        <w:tcPr>
          <w:tcW w:w="1287" w:type="pct"/>
          <w:gridSpan w:val="3"/>
          <w:shd w:val="clear" w:color="auto" w:fill="auto"/>
          <w:tcMar>
            <w:top w:w="0" w:type="dxa"/>
          </w:tcMar>
        </w:tcPr>
        <w:p w:rsidR="000E6D45" w:rsidRPr="002511D8" w:rsidRDefault="000E6D45" w:rsidP="00D94637">
          <w:pPr>
            <w:pStyle w:val="FooterText"/>
            <w:jc w:val="center"/>
          </w:pPr>
          <w:proofErr w:type="spellStart"/>
          <w:r>
            <w:t>psc</w:t>
          </w:r>
          <w:proofErr w:type="spellEnd"/>
        </w:p>
      </w:tc>
      <w:tc>
        <w:tcPr>
          <w:tcW w:w="588" w:type="pct"/>
          <w:shd w:val="clear" w:color="auto" w:fill="auto"/>
          <w:tcMar>
            <w:top w:w="0" w:type="dxa"/>
          </w:tcMar>
        </w:tcPr>
        <w:p w:rsidR="000E6D45" w:rsidRPr="00B310DC" w:rsidRDefault="000E6D45" w:rsidP="00D94637">
          <w:pPr>
            <w:pStyle w:val="FooterText"/>
            <w:jc w:val="right"/>
          </w:pPr>
          <w:r>
            <w:fldChar w:fldCharType="begin"/>
          </w:r>
          <w:r>
            <w:instrText xml:space="preserve"> PAGE  \* MERGEFORMAT </w:instrText>
          </w:r>
          <w:r>
            <w:fldChar w:fldCharType="separate"/>
          </w:r>
          <w:r>
            <w:rPr>
              <w:noProof/>
            </w:rPr>
            <w:t>2</w:t>
          </w:r>
          <w:r>
            <w:fldChar w:fldCharType="end"/>
          </w:r>
        </w:p>
      </w:tc>
    </w:tr>
    <w:tr w:rsidR="000E6D45" w:rsidRPr="00D94637" w:rsidTr="000E6D45">
      <w:trPr>
        <w:jc w:val="center"/>
      </w:trPr>
      <w:tc>
        <w:tcPr>
          <w:tcW w:w="1774" w:type="pct"/>
          <w:shd w:val="clear" w:color="auto" w:fill="auto"/>
        </w:tcPr>
        <w:p w:rsidR="000E6D45" w:rsidRPr="00AD7BF2" w:rsidRDefault="000E6D45" w:rsidP="00D94637">
          <w:pPr>
            <w:pStyle w:val="FooterText"/>
            <w:spacing w:before="40"/>
          </w:pPr>
        </w:p>
      </w:tc>
      <w:tc>
        <w:tcPr>
          <w:tcW w:w="1455" w:type="pct"/>
          <w:gridSpan w:val="3"/>
          <w:shd w:val="clear" w:color="auto" w:fill="auto"/>
        </w:tcPr>
        <w:p w:rsidR="000E6D45" w:rsidRPr="00AD7BF2" w:rsidRDefault="000E6D45" w:rsidP="00D204D6">
          <w:pPr>
            <w:pStyle w:val="FooterText"/>
            <w:spacing w:before="40"/>
            <w:jc w:val="center"/>
          </w:pPr>
          <w:r>
            <w:t>DPG</w:t>
          </w:r>
        </w:p>
      </w:tc>
      <w:tc>
        <w:tcPr>
          <w:tcW w:w="1147" w:type="pct"/>
          <w:shd w:val="clear" w:color="auto" w:fill="auto"/>
        </w:tcPr>
        <w:p w:rsidR="000E6D45" w:rsidRPr="00D94637" w:rsidRDefault="000E6D45" w:rsidP="00D94637">
          <w:pPr>
            <w:pStyle w:val="FooterText"/>
            <w:jc w:val="right"/>
            <w:rPr>
              <w:b/>
              <w:position w:val="-4"/>
              <w:sz w:val="36"/>
            </w:rPr>
          </w:pPr>
        </w:p>
      </w:tc>
      <w:tc>
        <w:tcPr>
          <w:tcW w:w="625" w:type="pct"/>
          <w:gridSpan w:val="2"/>
          <w:shd w:val="clear" w:color="auto" w:fill="auto"/>
        </w:tcPr>
        <w:p w:rsidR="000E6D45" w:rsidRPr="00D94637" w:rsidRDefault="000E6D45" w:rsidP="00D94637">
          <w:pPr>
            <w:pStyle w:val="FooterText"/>
            <w:jc w:val="right"/>
            <w:rPr>
              <w:sz w:val="16"/>
            </w:rPr>
          </w:pPr>
          <w:r>
            <w:rPr>
              <w:b/>
              <w:position w:val="-4"/>
              <w:sz w:val="36"/>
            </w:rPr>
            <w:t>EN</w:t>
          </w:r>
        </w:p>
      </w:tc>
    </w:tr>
    <w:bookmarkEnd w:id="3"/>
  </w:tbl>
  <w:p w:rsidR="00B25F3A" w:rsidRPr="000E6D45" w:rsidRDefault="00B25F3A" w:rsidP="000E6D45">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0E6D45" w:rsidRPr="00D94637" w:rsidTr="000E6D45">
      <w:trPr>
        <w:jc w:val="center"/>
      </w:trPr>
      <w:tc>
        <w:tcPr>
          <w:tcW w:w="5000" w:type="pct"/>
          <w:gridSpan w:val="7"/>
          <w:shd w:val="clear" w:color="auto" w:fill="auto"/>
          <w:tcMar>
            <w:top w:w="57" w:type="dxa"/>
          </w:tcMar>
        </w:tcPr>
        <w:p w:rsidR="000E6D45" w:rsidRPr="00D94637" w:rsidRDefault="000E6D45" w:rsidP="00D94637">
          <w:pPr>
            <w:pStyle w:val="FooterText"/>
            <w:pBdr>
              <w:top w:val="single" w:sz="4" w:space="1" w:color="auto"/>
            </w:pBdr>
            <w:spacing w:before="200"/>
            <w:rPr>
              <w:sz w:val="2"/>
              <w:szCs w:val="2"/>
            </w:rPr>
          </w:pPr>
        </w:p>
      </w:tc>
    </w:tr>
    <w:tr w:rsidR="000E6D45" w:rsidRPr="00B310DC" w:rsidTr="000E6D45">
      <w:trPr>
        <w:jc w:val="center"/>
      </w:trPr>
      <w:tc>
        <w:tcPr>
          <w:tcW w:w="2500" w:type="pct"/>
          <w:gridSpan w:val="2"/>
          <w:shd w:val="clear" w:color="auto" w:fill="auto"/>
          <w:tcMar>
            <w:top w:w="0" w:type="dxa"/>
          </w:tcMar>
        </w:tcPr>
        <w:p w:rsidR="000E6D45" w:rsidRPr="00AD7BF2" w:rsidRDefault="000E6D45" w:rsidP="004F54B2">
          <w:pPr>
            <w:pStyle w:val="FooterText"/>
          </w:pPr>
          <w:r>
            <w:t>5933/3/15</w:t>
          </w:r>
          <w:r w:rsidRPr="002511D8">
            <w:t xml:space="preserve"> </w:t>
          </w:r>
          <w:r>
            <w:t>REV 3 ADD 1</w:t>
          </w:r>
        </w:p>
      </w:tc>
      <w:tc>
        <w:tcPr>
          <w:tcW w:w="625" w:type="pct"/>
          <w:shd w:val="clear" w:color="auto" w:fill="auto"/>
          <w:tcMar>
            <w:top w:w="0" w:type="dxa"/>
          </w:tcMar>
        </w:tcPr>
        <w:p w:rsidR="000E6D45" w:rsidRPr="00AD7BF2" w:rsidRDefault="000E6D45" w:rsidP="00D94637">
          <w:pPr>
            <w:pStyle w:val="FooterText"/>
            <w:jc w:val="center"/>
          </w:pPr>
        </w:p>
      </w:tc>
      <w:tc>
        <w:tcPr>
          <w:tcW w:w="1287" w:type="pct"/>
          <w:gridSpan w:val="3"/>
          <w:shd w:val="clear" w:color="auto" w:fill="auto"/>
          <w:tcMar>
            <w:top w:w="0" w:type="dxa"/>
          </w:tcMar>
        </w:tcPr>
        <w:p w:rsidR="000E6D45" w:rsidRPr="002511D8" w:rsidRDefault="000E6D45" w:rsidP="00D94637">
          <w:pPr>
            <w:pStyle w:val="FooterText"/>
            <w:jc w:val="center"/>
          </w:pPr>
          <w:proofErr w:type="spellStart"/>
          <w:r>
            <w:t>psc</w:t>
          </w:r>
          <w:proofErr w:type="spellEnd"/>
        </w:p>
      </w:tc>
      <w:tc>
        <w:tcPr>
          <w:tcW w:w="588" w:type="pct"/>
          <w:shd w:val="clear" w:color="auto" w:fill="auto"/>
          <w:tcMar>
            <w:top w:w="0" w:type="dxa"/>
          </w:tcMar>
        </w:tcPr>
        <w:p w:rsidR="000E6D45" w:rsidRPr="00B310DC" w:rsidRDefault="000E6D45"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0E6D45" w:rsidRPr="00D94637" w:rsidTr="000E6D45">
      <w:trPr>
        <w:jc w:val="center"/>
      </w:trPr>
      <w:tc>
        <w:tcPr>
          <w:tcW w:w="1774" w:type="pct"/>
          <w:shd w:val="clear" w:color="auto" w:fill="auto"/>
        </w:tcPr>
        <w:p w:rsidR="000E6D45" w:rsidRPr="00AD7BF2" w:rsidRDefault="000E6D45" w:rsidP="00D94637">
          <w:pPr>
            <w:pStyle w:val="FooterText"/>
            <w:spacing w:before="40"/>
          </w:pPr>
        </w:p>
      </w:tc>
      <w:tc>
        <w:tcPr>
          <w:tcW w:w="1455" w:type="pct"/>
          <w:gridSpan w:val="3"/>
          <w:shd w:val="clear" w:color="auto" w:fill="auto"/>
        </w:tcPr>
        <w:p w:rsidR="000E6D45" w:rsidRPr="00AD7BF2" w:rsidRDefault="000E6D45" w:rsidP="00D204D6">
          <w:pPr>
            <w:pStyle w:val="FooterText"/>
            <w:spacing w:before="40"/>
            <w:jc w:val="center"/>
          </w:pPr>
          <w:r>
            <w:t>DPG</w:t>
          </w:r>
        </w:p>
      </w:tc>
      <w:tc>
        <w:tcPr>
          <w:tcW w:w="1147" w:type="pct"/>
          <w:shd w:val="clear" w:color="auto" w:fill="auto"/>
        </w:tcPr>
        <w:p w:rsidR="000E6D45" w:rsidRPr="00D94637" w:rsidRDefault="000E6D45" w:rsidP="00D94637">
          <w:pPr>
            <w:pStyle w:val="FooterText"/>
            <w:jc w:val="right"/>
            <w:rPr>
              <w:b/>
              <w:position w:val="-4"/>
              <w:sz w:val="36"/>
            </w:rPr>
          </w:pPr>
        </w:p>
      </w:tc>
      <w:tc>
        <w:tcPr>
          <w:tcW w:w="625" w:type="pct"/>
          <w:gridSpan w:val="2"/>
          <w:shd w:val="clear" w:color="auto" w:fill="auto"/>
        </w:tcPr>
        <w:p w:rsidR="000E6D45" w:rsidRPr="00D94637" w:rsidRDefault="000E6D45" w:rsidP="00D94637">
          <w:pPr>
            <w:pStyle w:val="FooterText"/>
            <w:jc w:val="right"/>
            <w:rPr>
              <w:sz w:val="16"/>
            </w:rPr>
          </w:pPr>
          <w:r>
            <w:rPr>
              <w:b/>
              <w:position w:val="-4"/>
              <w:sz w:val="36"/>
            </w:rPr>
            <w:t>EN</w:t>
          </w:r>
        </w:p>
      </w:tc>
    </w:tr>
  </w:tbl>
  <w:p w:rsidR="00B25F3A" w:rsidRPr="000E6D45" w:rsidRDefault="00B25F3A" w:rsidP="000E6D45">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FE" w:rsidRDefault="008A3BFE" w:rsidP="008A3BFE">
      <w:pPr>
        <w:spacing w:before="0" w:after="0" w:line="240" w:lineRule="auto"/>
      </w:pPr>
      <w:r>
        <w:separator/>
      </w:r>
    </w:p>
  </w:footnote>
  <w:footnote w:type="continuationSeparator" w:id="0">
    <w:p w:rsidR="008A3BFE" w:rsidRDefault="008A3BFE" w:rsidP="008A3BFE">
      <w:pPr>
        <w:spacing w:before="0" w:after="0" w:line="240" w:lineRule="auto"/>
      </w:pPr>
      <w:r>
        <w:continuationSeparator/>
      </w:r>
    </w:p>
  </w:footnote>
  <w:footnote w:id="1">
    <w:p w:rsidR="00857CF5" w:rsidRPr="00540440" w:rsidRDefault="00857CF5" w:rsidP="00BD00D6">
      <w:pPr>
        <w:pStyle w:val="FootnoteText"/>
      </w:pPr>
      <w:r>
        <w:rPr>
          <w:rStyle w:val="FootnoteReference"/>
        </w:rPr>
        <w:footnoteRef/>
      </w:r>
      <w:r w:rsidRPr="00540440">
        <w:tab/>
        <w:t>Doc. 6231/13</w:t>
      </w:r>
    </w:p>
  </w:footnote>
  <w:footnote w:id="2">
    <w:p w:rsidR="00857CF5" w:rsidRPr="00540440" w:rsidRDefault="00857CF5" w:rsidP="00BD00D6">
      <w:pPr>
        <w:pStyle w:val="FootnoteText"/>
      </w:pPr>
      <w:r w:rsidRPr="00194E2D">
        <w:rPr>
          <w:rStyle w:val="FootnoteReference"/>
        </w:rPr>
        <w:footnoteRef/>
      </w:r>
      <w:r w:rsidRPr="00540440">
        <w:t xml:space="preserve"> </w:t>
      </w:r>
      <w:r w:rsidRPr="00540440">
        <w:tab/>
        <w:t>Doc. 6230/13</w:t>
      </w:r>
    </w:p>
  </w:footnote>
  <w:footnote w:id="3">
    <w:p w:rsidR="00857CF5" w:rsidRDefault="00857CF5" w:rsidP="00BD00D6">
      <w:pPr>
        <w:pStyle w:val="FootnoteText"/>
      </w:pPr>
      <w:r>
        <w:rPr>
          <w:rStyle w:val="FootnoteReference"/>
        </w:rPr>
        <w:footnoteRef/>
      </w:r>
      <w:r>
        <w:t xml:space="preserve"> </w:t>
      </w:r>
      <w:r>
        <w:tab/>
      </w:r>
      <w:r w:rsidRPr="00540440">
        <w:t xml:space="preserve">Doc. </w:t>
      </w:r>
      <w:r>
        <w:t>5748</w:t>
      </w:r>
      <w:r w:rsidRPr="00540440">
        <w:t>/</w:t>
      </w:r>
      <w:r>
        <w:t>15 ADD1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D45" w:rsidRPr="000E6D45" w:rsidRDefault="000E6D45" w:rsidP="000E6D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D45" w:rsidRPr="000E6D45" w:rsidRDefault="000E6D45" w:rsidP="000E6D45">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D45" w:rsidRPr="000E6D45" w:rsidRDefault="000E6D45" w:rsidP="000E6D45">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542"/>
    <w:multiLevelType w:val="multilevel"/>
    <w:tmpl w:val="7D48D568"/>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3">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5">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7">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8">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9">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0">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1">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2">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3">
    <w:nsid w:val="4B8C0F3A"/>
    <w:multiLevelType w:val="multilevel"/>
    <w:tmpl w:val="E42C00D8"/>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5">
    <w:nsid w:val="505E7A4A"/>
    <w:multiLevelType w:val="hybridMultilevel"/>
    <w:tmpl w:val="5CBE3A58"/>
    <w:lvl w:ilvl="0" w:tplc="CDA252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8">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9">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20">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1">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17"/>
  </w:num>
  <w:num w:numId="2">
    <w:abstractNumId w:val="11"/>
  </w:num>
  <w:num w:numId="3">
    <w:abstractNumId w:val="10"/>
  </w:num>
  <w:num w:numId="4">
    <w:abstractNumId w:val="12"/>
  </w:num>
  <w:num w:numId="5">
    <w:abstractNumId w:val="8"/>
  </w:num>
  <w:num w:numId="6">
    <w:abstractNumId w:val="2"/>
  </w:num>
  <w:num w:numId="7">
    <w:abstractNumId w:val="7"/>
  </w:num>
  <w:num w:numId="8">
    <w:abstractNumId w:val="6"/>
  </w:num>
  <w:num w:numId="9">
    <w:abstractNumId w:val="4"/>
  </w:num>
  <w:num w:numId="10">
    <w:abstractNumId w:val="19"/>
  </w:num>
  <w:num w:numId="11">
    <w:abstractNumId w:val="20"/>
  </w:num>
  <w:num w:numId="12">
    <w:abstractNumId w:val="1"/>
  </w:num>
  <w:num w:numId="13">
    <w:abstractNumId w:val="22"/>
  </w:num>
  <w:num w:numId="14">
    <w:abstractNumId w:val="18"/>
  </w:num>
  <w:num w:numId="15">
    <w:abstractNumId w:val="14"/>
  </w:num>
  <w:num w:numId="16">
    <w:abstractNumId w:val="9"/>
  </w:num>
  <w:num w:numId="17">
    <w:abstractNumId w:val="16"/>
  </w:num>
  <w:num w:numId="18">
    <w:abstractNumId w:val="3"/>
  </w:num>
  <w:num w:numId="19">
    <w:abstractNumId w:val="21"/>
  </w:num>
  <w:num w:numId="20">
    <w:abstractNumId w:val="5"/>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4&quot; technicalblockguid=&quot;22eb36ec-1cf5-4bc4-ad1e-f9e7ff09686f&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0&quot; text=&quot;STATEMENT OF THE COUNCIL'S REASONS&quot; /&gt;_x000d__x000a_    &lt;/basicdatatype&gt;_x000d__x000a_  &lt;/metadata&gt;_x000d__x000a_  &lt;metadata key=&quot;md_HeadingText&quot;&gt;_x000d__x000a_    &lt;headingtext text=&quot;STATEMENT OF THE COUNCIL'S REASONS&quot;&gt;_x000d__x000a_      &lt;formattedtext&gt;_x000d__x000a_        &lt;xaml text=&quot;STATEMENT OF THE COUNCIL'S REASONS&quot;&gt;&amp;lt;FlowDocument xmlns=&quot;http://schemas.microsoft.com/winfx/2006/xaml/presentation&quot;&amp;gt;&amp;lt;Paragraph&amp;gt;STATEMENT OF THE COUNCIL'S REASONS&amp;lt;/Paragraph&amp;gt;&amp;lt;/FlowDocument&amp;gt;&lt;/xaml&gt;_x000d__x000a_      &lt;/formattedtext&gt;_x000d__x000a_    &lt;/headingtext&gt;_x000d__x000a_  &lt;/metadata&gt;_x000d__x000a_  &lt;metadata key=&quot;md_DocumentGroup&quot;&gt;_x000d__x000a_    &lt;basicdatatype&gt;_x000d__x000a_      &lt;document_group key=&quot;dg_10&quot; text=&quot;Statemen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4-21&lt;/text&gt;_x000d__x000a_  &lt;/metadata&gt;_x000d__x000a_  &lt;metadata key=&quot;md_Prefix&quot;&gt;_x000d__x000a_    &lt;text&gt;&lt;/text&gt;_x000d__x000a_  &lt;/metadata&gt;_x000d__x000a_  &lt;metadata key=&quot;md_DocumentNumber&quot;&gt;_x000d__x000a_    &lt;text&gt;5933&lt;/text&gt;_x000d__x000a_  &lt;/metadata&gt;_x000d__x000a_  &lt;metadata key=&quot;md_YearDocumentNumber&quot;&gt;_x000d__x000a_    &lt;text&gt;2015&lt;/text&gt;_x000d__x000a_  &lt;/metadata&gt;_x000d__x000a_  &lt;metadata key=&quot;md_Suffixes&quot;&gt;_x000d__x000a_    &lt;text&gt;REV 3 ADD 1&lt;/text&gt;_x000d__x000a_  &lt;/metadata&gt;_x000d__x000a_  &lt;metadata key=&quot;md_SuffixLanguagesInvolved&quot;&gt;_x000d__x000a_    &lt;text&gt;&lt;/text&gt;_x000d__x000a_  &lt;/metadata&gt;_x000d__x000a_  &lt;metadata key=&quot;md_FirstRevNumber&quot;&gt;_x000d__x000a_    &lt;text&gt;3&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F 26&lt;/text&gt;_x000d__x000a_      &lt;text&gt;ECOFIN 70&lt;/text&gt;_x000d__x000a_      &lt;text&gt;DROIPEN 14&lt;/text&gt;_x000d__x000a_      &lt;text&gt;CRIMORG 16&lt;/text&gt;_x000d__x000a_      &lt;text&gt;CODEC 142&lt;/text&gt;_x000d__x000a_      &lt;text&gt;PARLNAT 31&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gt;_x000d__x000a_    &lt;basicdatatype&gt;_x000d__x000a_      &lt;meetingvenue key=&quot;&quot; /&gt;_x000d__x000a_    &lt;/basicdatatype&gt;_x000d__x000a_  &lt;/metadata&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gt;_x000d__x000a_    &lt;text&gt;&lt;/text&gt;_x000d__x000a_  &lt;/metadata&gt;_x000d__x000a_  &lt;metadata key=&quot;md_CouncilConfiguration&quot;&gt;_x000d__x000a_    &lt;basicdatatype&gt;_x000d__x000a_      &lt;configuration key=&quot;&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gt;_x000d__x000a_    &lt;text&gt;&lt;/text&gt;_x000d__x000a_  &lt;/metadata&gt;_x000d__x000a_  &lt;metadata key=&quot;md_EPQuestionsData&quot; /&gt;_x000d__x000a_  &lt;metadata key=&quot;md_Deadline&quot;&gt;_x000d__x000a_    &lt;textlist /&gt;_x000d__x000a_  &lt;/metadata&gt;_x000d__x000a_  &lt;metadata key=&quot;md_InterinstitutionalFiles&quot;&gt;_x000d__x000a_    &lt;textlist&gt;_x000d__x000a_      &lt;text&gt;2013/0025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gt;_x000d__x000a_    &lt;text&gt;&lt;/text&gt;_x000d__x000a_  &lt;/metadata&gt;_x000d__x000a_  &lt;metadata key=&quot;md_DWNDCLAuthorization&quot;&gt;_x000d__x000a_    &lt;text&gt;&lt;/text&gt;_x000d__x000a_  &lt;/metadata&gt;_x000d__x000a_  &lt;metadata key=&quot;md_DateOfAuthorization&quot;&gt;_x000d__x000a_    &lt;text&gt;&lt;/text&gt;_x000d__x000a_  &lt;/metadata&gt;_x000d__x000a_  &lt;metadata key=&quot;md_MeetingLocation&quot;&gt;_x000d__x000a_    &lt;basicdatatype&gt;_x000d__x000a_      &lt;location key=&quot;&quot; /&gt;_x000d__x000a_    &lt;/basicdatatype&gt;_x000d__x000a_  &lt;/metadata&gt;_x000d__x000a_  &lt;metadata key=&quot;md_MeetingDate&quot;&gt;_x000d__x000a_    &lt;textlist /&gt;_x000d__x000a_  &lt;/metadata&gt;_x000d__x000a_  &lt;metadata key=&quot;md_MeetingInformation&quot;&gt;_x000d__x000a_    &lt;text&gt;&lt;/text&gt;_x000d__x000a_  &lt;/metadata&gt;_x000d__x000a_  &lt;metadata key=&quot;md_Item&quot;&gt;_x000d__x000a_    &lt;text&gt;&lt;/text&gt;_x000d__x000a_  &lt;/metadata&gt;_x000d__x000a_  &lt;metadata key=&quot;md_Subject&quot;&gt;_x000d__x000a_    &lt;xaml text=&quot;Position of the Council at first reading with a view to the adoption of a DIRECTIVE OF THE EUROPEAN PARLIAMENT AND OF THE COUNCIL on the prevention of the use of the financial system for the purpose of money laundering or terrorist financing, amending Regulation (EU) No 648/2012 of the European Parliament and of the Council, and repealing Directive 2005/60/EC of the European Parliament and of the Council and Commission Directive 2006/70/EC &amp;#8211; Statement of the Council's reasons &amp;#8211; Adopted by the Council on 20 April 2015&quot;&gt;&amp;lt;FlowDocument FontFamily=&quot;Times New Roman&quot; FontSize=&quot;16&quot; PageWidth=&quot;377&quot; PagePadding=&quot;0,0,0,0&quot; AllowDrop=&quot;False&quot; xmlns=&quot;http://schemas.microsoft.com/winfx/2006/xaml/presentation&quot; xmlns:x=&quot;http://schemas.microsoft.com/winfx/2006/xaml&quot;&amp;gt;&amp;lt;Paragraph&amp;gt;Position of the Council at first reading with a view to the adoption of a DIRECTIVE OF THE EUROPEAN PARLIAMENT AND OF THE COUNCIL on the prevention of the use of the financial system for the purpose of money laundering &amp;lt;Run xml:lang=&quot;fr-be&quot;&amp;gt;or&amp;lt;/Run&amp;gt; terrorist financing&amp;lt;Run xml:lang=&quot;fr-be&quot;&amp;gt;, amending Regulation (EU) No 648/2012 of the European Parliament and of the Council, and repealing Directive 2005/60/EC of the European Parliament and of the Council and Commission Directive 2006/70/EC&amp;lt;/Run&amp;gt;&amp;lt;/Paragraph&amp;gt;&amp;lt;Paragraph&amp;gt;&amp;#8211; Statement of the Council's reasons&amp;lt;LineBreak /&amp;gt;&amp;#8211; Adopted by the Council on&amp;lt;Run xml:lang=&quot;fr-be&quot; xml:space=&quot;preserve&quot;&amp;gt; 20 April 2015&amp;lt;/Run&amp;gt;&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psc&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lt;/text&gt;_x000d__x000a_  &lt;/metadata&gt;_x000d__x000a_  &lt;metadata key=&quot;md_NB2&quot;&gt;_x000d__x000a_    &lt;text&gt;&lt;/text&gt;_x000d__x000a_  &lt;/metadata&gt;_x000d__x000a_  &lt;metadata key=&quot;md_NB3&quot;&gt;_x000d__x000a_    &lt;text&gt;&lt;/text&gt;_x000d__x000a_  &lt;/metadata&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4.4&quot; technicalblockguid=&quot;d163fb10-6b42-45e9-ac35-149867b9c9f8&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59&quot; text=&quot;DRAFT STATEMENT OF THE COUNCIL'S REASONS&quot; /&gt;_x000d__x000a_    &lt;/basicdatatype&gt;_x000d__x000a_  &lt;/metadata&gt;_x000d__x000a_  &lt;metadata key=&quot;md_HeadingText&quot;&gt;_x000d__x000a_    &lt;headingtext text=&quot;DRAFT STATEMENT OF THE COUNCIL'S REASONS&quot;&gt;_x000d__x000a_      &lt;formattedtext&gt;_x000d__x000a_        &lt;xaml text=&quot;DRAFT STATEMENT OF THE COUNCIL'S REASONS&quot;&gt;&amp;lt;FlowDocument xmlns=&quot;http://schemas.microsoft.com/winfx/2006/xaml/presentation&quot;&amp;gt;&amp;lt;Paragraph&amp;gt;DRAFT STATEMENT OF THE COUNCIL'S REASONS&amp;lt;/Paragraph&amp;gt;&amp;lt;/FlowDocument&amp;gt;&lt;/xaml&gt;_x000d__x000a_      &lt;/formattedtext&gt;_x000d__x000a_    &lt;/headingtext&gt;_x000d__x000a_  &lt;/metadata&gt;_x000d__x000a_  &lt;metadata key=&quot;md_DocumentGroup&quot;&gt;_x000d__x000a_    &lt;basicdatatype&gt;_x000d__x000a_      &lt;document_group key=&quot;dg_10&quot; text=&quot;Statemen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3-27&lt;/text&gt;_x000d__x000a_  &lt;/metadata&gt;_x000d__x000a_  &lt;metadata key=&quot;md_Prefix&quot;&gt;_x000d__x000a_    &lt;text&gt;&lt;/text&gt;_x000d__x000a_  &lt;/metadata&gt;_x000d__x000a_  &lt;metadata key=&quot;md_DocumentNumber&quot;&gt;_x000d__x000a_    &lt;text&gt;5933&lt;/text&gt;_x000d__x000a_  &lt;/metadata&gt;_x000d__x000a_  &lt;metadata key=&quot;md_YearDocumentNumber&quot;&gt;_x000d__x000a_    &lt;text&gt;2015&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F 26&lt;/text&gt;_x000d__x000a_      &lt;text&gt;ECOFIN 70&lt;/text&gt;_x000d__x000a_      &lt;text&gt;DROIPEN 14&lt;/text&gt;_x000d__x000a_      &lt;text&gt;CRIMORG 16&lt;/text&gt;_x000d__x000a_      &lt;text&gt;CODEC 14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025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of the Council at first reading with a view to the adoption of a DIRECTIVE OF THE EUROPEAN PARLIAMENT AND OF THE COUNCIL on the prevention of the use of the financial system for the purpose of money laundering and terrorist financing &amp;#8211; Draft Statement of the Council's reasons&quot;&gt;&amp;lt;FlowDocument FontFamily=&quot;Times New Roman&quot; FontSize=&quot;16&quot; PageWidth=&quot;377&quot; PagePadding=&quot;0,0,0,0&quot; AllowDrop=&quot;False&quot; xmlns=&quot;http://schemas.microsoft.com/winfx/2006/xaml/presentation&quot;&amp;gt;&amp;lt;Paragraph FontFamily=&quot;Georgia&quot;&amp;gt;&amp;lt;Run FontFamily=&quot;Times New Roman&quot;&amp;gt;Position of the Council at first reading with a view to the adoption of a DIRECTIVE OF THE EUROPEAN PARLIAMENT AND OF THE COUNCIL on the prevention of the use of the financial system for the purpose of money laundering and terrorist financing&amp;lt;/Run&amp;gt;&amp;lt;/Paragraph&amp;gt;&amp;lt;Paragraph FontFamily=&quot;Georgia&quot;&amp;gt;&amp;#8211; Draft Statement of the Council's reasons&amp;lt;/Paragraph&amp;gt;&amp;lt;/FlowDocument&amp;gt;&lt;/xaml&gt;_x000d__x000a_  &lt;/metadata&gt;_x000d__x000a_  &lt;metadata key=&quot;md_SubjectFootnote&quot; /&gt;_x000d__x000a_  &lt;metadata key=&quot;md_DG&quot;&gt;_x000d__x000a_    &lt;text&gt;DGG 1B&lt;/text&gt;_x000d__x000a_  &lt;/metadata&gt;_x000d__x000a_  &lt;metadata key=&quot;md_Initials&quot;&gt;_x000d__x000a_    &lt;text&gt;SS/mmf&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COUNCIL"/>
    <w:docVar w:name="VSSDB_IniPath" w:val="\\at100\user\wovo\SEILEG\vss\srcsafe.ini"/>
    <w:docVar w:name="VSSDB_ProjectPath" w:val="$/DocuWrite/DOT/DW_COUNCIL"/>
  </w:docVars>
  <w:rsids>
    <w:rsidRoot w:val="008A3BFE"/>
    <w:rsid w:val="00096B04"/>
    <w:rsid w:val="000E6D45"/>
    <w:rsid w:val="00130CD9"/>
    <w:rsid w:val="00182F2F"/>
    <w:rsid w:val="00204186"/>
    <w:rsid w:val="00356F5F"/>
    <w:rsid w:val="00414945"/>
    <w:rsid w:val="00455868"/>
    <w:rsid w:val="004A5CE6"/>
    <w:rsid w:val="005F42EE"/>
    <w:rsid w:val="00625999"/>
    <w:rsid w:val="006351BB"/>
    <w:rsid w:val="007046BF"/>
    <w:rsid w:val="007161AD"/>
    <w:rsid w:val="00765417"/>
    <w:rsid w:val="007E15AD"/>
    <w:rsid w:val="00857CF5"/>
    <w:rsid w:val="00865E70"/>
    <w:rsid w:val="008A3BFE"/>
    <w:rsid w:val="00901450"/>
    <w:rsid w:val="009B07D1"/>
    <w:rsid w:val="00A06297"/>
    <w:rsid w:val="00A30641"/>
    <w:rsid w:val="00A93207"/>
    <w:rsid w:val="00A93DE2"/>
    <w:rsid w:val="00AF3113"/>
    <w:rsid w:val="00B25F3A"/>
    <w:rsid w:val="00B54F86"/>
    <w:rsid w:val="00BE6E3D"/>
    <w:rsid w:val="00C9127A"/>
    <w:rsid w:val="00CF1E65"/>
    <w:rsid w:val="00D13316"/>
    <w:rsid w:val="00DE2149"/>
    <w:rsid w:val="00E5767B"/>
    <w:rsid w:val="00E80814"/>
    <w:rsid w:val="00F8194D"/>
    <w:rsid w:val="00F86DEA"/>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aliases w:val="Schriftart: 9 pt,Schriftart: 10 pt,Schriftart: 8 pt,WB-Fußnotentext,Reference,Fußnote,fn,Footnote Text Char2,Footnote Text Char Char1,Footnote Text Char1 Char Char,Footnote Text Char Char Char Char, Char Char Char Char Char,Ch,Char"/>
    <w:basedOn w:val="Normal"/>
    <w:link w:val="FootnoteTextChar"/>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Footnote Reference Number,Footnote Reference_LVL6,Footnote Reference_LVL61,Footnote Reference_LVL62,Footnote Reference_LVL63,Footnote Reference_LVL64,Fußnotenzeichen3,Footnote symbol,Footnote reference number"/>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F86DEA"/>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8A3BFE"/>
    <w:pPr>
      <w:spacing w:before="0" w:after="440"/>
      <w:ind w:left="-1134" w:right="-1134"/>
    </w:pPr>
    <w:rPr>
      <w:sz w:val="2"/>
    </w:rPr>
  </w:style>
  <w:style w:type="character" w:customStyle="1" w:styleId="TechnicalBlockChar">
    <w:name w:val="Technical Block Char"/>
    <w:basedOn w:val="DefaultParagraphFont"/>
    <w:link w:val="TechnicalBlock"/>
    <w:rsid w:val="008A3BFE"/>
    <w:rPr>
      <w:sz w:val="24"/>
      <w:szCs w:val="24"/>
      <w:lang w:val="en-GB" w:eastAsia="en-US"/>
    </w:rPr>
  </w:style>
  <w:style w:type="character" w:customStyle="1" w:styleId="HeaderCouncilLargeChar">
    <w:name w:val="Header Council Large Char"/>
    <w:basedOn w:val="TechnicalBlockChar"/>
    <w:link w:val="HeaderCouncilLarge"/>
    <w:rsid w:val="008A3BFE"/>
    <w:rPr>
      <w:sz w:val="2"/>
      <w:szCs w:val="24"/>
      <w:lang w:val="en-GB" w:eastAsia="en-US"/>
    </w:rPr>
  </w:style>
  <w:style w:type="paragraph" w:customStyle="1" w:styleId="FooterText">
    <w:name w:val="Footer Text"/>
    <w:basedOn w:val="Normal"/>
    <w:rsid w:val="008A3BFE"/>
    <w:pPr>
      <w:spacing w:before="0" w:after="0" w:line="240" w:lineRule="auto"/>
    </w:pPr>
  </w:style>
  <w:style w:type="character" w:customStyle="1" w:styleId="FootnoteTextChar">
    <w:name w:val="Footnote Text Char"/>
    <w:aliases w:val="Schriftart: 9 pt Char,Schriftart: 10 pt Char,Schriftart: 8 pt Char,WB-Fußnotentext Char,Reference Char,Fußnote Char,fn Char,Footnote Text Char2 Char,Footnote Text Char Char1 Char,Footnote Text Char1 Char Char Char,Ch Char,Char Char"/>
    <w:link w:val="FootnoteText"/>
    <w:hidden/>
    <w:rsid w:val="007E15AD"/>
    <w:rPr>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aliases w:val="Schriftart: 9 pt,Schriftart: 10 pt,Schriftart: 8 pt,WB-Fußnotentext,Reference,Fußnote,fn,Footnote Text Char2,Footnote Text Char Char1,Footnote Text Char1 Char Char,Footnote Text Char Char Char Char, Char Char Char Char Char,Ch,Char"/>
    <w:basedOn w:val="Normal"/>
    <w:link w:val="FootnoteTextChar"/>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Footnote Reference Number,Footnote Reference_LVL6,Footnote Reference_LVL61,Footnote Reference_LVL62,Footnote Reference_LVL63,Footnote Reference_LVL64,Fußnotenzeichen3,Footnote symbol,Footnote reference number"/>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F86DEA"/>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8A3BFE"/>
    <w:pPr>
      <w:spacing w:before="0" w:after="440"/>
      <w:ind w:left="-1134" w:right="-1134"/>
    </w:pPr>
    <w:rPr>
      <w:sz w:val="2"/>
    </w:rPr>
  </w:style>
  <w:style w:type="character" w:customStyle="1" w:styleId="TechnicalBlockChar">
    <w:name w:val="Technical Block Char"/>
    <w:basedOn w:val="DefaultParagraphFont"/>
    <w:link w:val="TechnicalBlock"/>
    <w:rsid w:val="008A3BFE"/>
    <w:rPr>
      <w:sz w:val="24"/>
      <w:szCs w:val="24"/>
      <w:lang w:val="en-GB" w:eastAsia="en-US"/>
    </w:rPr>
  </w:style>
  <w:style w:type="character" w:customStyle="1" w:styleId="HeaderCouncilLargeChar">
    <w:name w:val="Header Council Large Char"/>
    <w:basedOn w:val="TechnicalBlockChar"/>
    <w:link w:val="HeaderCouncilLarge"/>
    <w:rsid w:val="008A3BFE"/>
    <w:rPr>
      <w:sz w:val="2"/>
      <w:szCs w:val="24"/>
      <w:lang w:val="en-GB" w:eastAsia="en-US"/>
    </w:rPr>
  </w:style>
  <w:style w:type="paragraph" w:customStyle="1" w:styleId="FooterText">
    <w:name w:val="Footer Text"/>
    <w:basedOn w:val="Normal"/>
    <w:rsid w:val="008A3BFE"/>
    <w:pPr>
      <w:spacing w:before="0" w:after="0" w:line="240" w:lineRule="auto"/>
    </w:pPr>
  </w:style>
  <w:style w:type="character" w:customStyle="1" w:styleId="FootnoteTextChar">
    <w:name w:val="Footnote Text Char"/>
    <w:aliases w:val="Schriftart: 9 pt Char,Schriftart: 10 pt Char,Schriftart: 8 pt Char,WB-Fußnotentext Char,Reference Char,Fußnote Char,fn Char,Footnote Text Char2 Char,Footnote Text Char Char1 Char,Footnote Text Char1 Char Char Char,Ch Char,Char Char"/>
    <w:link w:val="FootnoteText"/>
    <w:hidden/>
    <w:rsid w:val="007E15AD"/>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DW_COUNCIL.dotm</Template>
  <TotalTime>10</TotalTime>
  <Pages>6</Pages>
  <Words>1349</Words>
  <Characters>7504</Characters>
  <Application>Microsoft Office Word</Application>
  <DocSecurity>0</DocSecurity>
  <Lines>123</Lines>
  <Paragraphs>48</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8805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FRACZEK Monika</dc:creator>
  <cp:lastModifiedBy>KONTOGIANNI Elpida</cp:lastModifiedBy>
  <cp:revision>4</cp:revision>
  <cp:lastPrinted>2015-04-21T08:52:00Z</cp:lastPrinted>
  <dcterms:created xsi:type="dcterms:W3CDTF">2015-04-21T07:53:00Z</dcterms:created>
  <dcterms:modified xsi:type="dcterms:W3CDTF">2015-04-21T08:55:00Z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3.4.4, Build 20150227</vt:lpwstr>
  </property>
  <property fmtid="{D5CDD505-2E9C-101B-9397-08002B2CF9AE}" pid="5" name="SkipControlLengthPage">
    <vt:lpwstr/>
  </property>
</Properties>
</file>