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D1" w:rsidRPr="009E6FA9" w:rsidRDefault="009E6FA9" w:rsidP="009E6FA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4ff42d0f-9242-4813-bd08-0a99c970048f_0" style="width:568.5pt;height:342.75pt">
            <v:imagedata r:id="rId9" o:title=""/>
          </v:shape>
        </w:pict>
      </w:r>
      <w:bookmarkEnd w:id="0"/>
    </w:p>
    <w:p w:rsidR="00170B6E" w:rsidRPr="00E053F9" w:rsidRDefault="00170B6E">
      <w:pPr>
        <w:sectPr w:rsidR="00170B6E" w:rsidRPr="00E053F9" w:rsidSect="009E6F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F155E" w:rsidRPr="00A9501D" w:rsidRDefault="001C5064" w:rsidP="00A9501D">
      <w:pPr>
        <w:pStyle w:val="Typedudocument"/>
      </w:pPr>
      <w:r w:rsidRPr="00A9501D">
        <w:lastRenderedPageBreak/>
        <w:t xml:space="preserve">РЕГЛАМЕНТ (ЕС) 2015/… </w:t>
      </w:r>
      <w:r w:rsidR="001A2101">
        <w:br/>
      </w:r>
      <w:r w:rsidRPr="00A9501D">
        <w:t>НА ЕВРОПЕЙСКИЯ ПАРЛАМЕНТ И НА СЪВЕТА</w:t>
      </w:r>
    </w:p>
    <w:p w:rsidR="002F155E" w:rsidRPr="00A9501D" w:rsidRDefault="001C5064" w:rsidP="00A9501D">
      <w:pPr>
        <w:pStyle w:val="Datedadoption"/>
      </w:pPr>
      <w:r w:rsidRPr="00CF52DD">
        <w:t>от</w:t>
      </w:r>
    </w:p>
    <w:p w:rsidR="001C5064" w:rsidRPr="00CF52DD" w:rsidRDefault="001C5064" w:rsidP="00CC404F">
      <w:pPr>
        <w:pStyle w:val="Titreobjet"/>
        <w:rPr>
          <w:noProof/>
        </w:rPr>
      </w:pPr>
      <w:r w:rsidRPr="00CF52DD">
        <w:rPr>
          <w:noProof/>
        </w:rPr>
        <w:t>за изменение на Регламент (ЕС) № 1343/2011</w:t>
      </w:r>
      <w:r w:rsidR="00CC404F" w:rsidRPr="00CC404F">
        <w:rPr>
          <w:noProof/>
          <w:lang w:val="ru-RU"/>
        </w:rPr>
        <w:br/>
      </w:r>
      <w:r w:rsidRPr="00CF52DD">
        <w:rPr>
          <w:noProof/>
        </w:rPr>
        <w:t>относно определени разпоредби за риболова в зоната по Споразумението за GFCM</w:t>
      </w:r>
      <w:r w:rsidR="00CC404F" w:rsidRPr="00CC404F">
        <w:rPr>
          <w:noProof/>
          <w:lang w:val="ru-RU"/>
        </w:rPr>
        <w:br/>
      </w:r>
      <w:r w:rsidRPr="00CF52DD">
        <w:rPr>
          <w:noProof/>
        </w:rPr>
        <w:t xml:space="preserve">(Генералната комисия по </w:t>
      </w:r>
      <w:r w:rsidR="00654DE7" w:rsidRPr="00CF52DD">
        <w:rPr>
          <w:noProof/>
        </w:rPr>
        <w:t>риб</w:t>
      </w:r>
      <w:r w:rsidR="00654DE7">
        <w:rPr>
          <w:noProof/>
        </w:rPr>
        <w:t>арство</w:t>
      </w:r>
      <w:r w:rsidR="00654DE7" w:rsidRPr="00CF52DD">
        <w:rPr>
          <w:noProof/>
        </w:rPr>
        <w:t xml:space="preserve"> </w:t>
      </w:r>
      <w:r w:rsidRPr="00CF52DD">
        <w:rPr>
          <w:noProof/>
        </w:rPr>
        <w:t>в Средиземно море)</w:t>
      </w:r>
    </w:p>
    <w:p w:rsidR="001C5064" w:rsidRPr="00CF52DD" w:rsidRDefault="001C5064" w:rsidP="007B38B2">
      <w:pPr>
        <w:pStyle w:val="Institutionquiagit"/>
      </w:pPr>
      <w:r w:rsidRPr="00CF52DD">
        <w:t>ЕВРОПЕЙСКИЯТ ПАРЛАМЕНТ И СЪВЕТЪТ НА ЕВРОПЕЙСКИЯ СЪЮЗ,</w:t>
      </w:r>
    </w:p>
    <w:p w:rsidR="001C5064" w:rsidRPr="00CF52DD" w:rsidRDefault="001C5064" w:rsidP="00A9501D">
      <w:pPr>
        <w:rPr>
          <w:noProof/>
        </w:rPr>
      </w:pPr>
      <w:r w:rsidRPr="00CF52DD">
        <w:rPr>
          <w:noProof/>
        </w:rPr>
        <w:t>като взеха предвид Договора за функционирането на Европейския съюз, и по-специално член 43, параграф 2 от него,</w:t>
      </w:r>
    </w:p>
    <w:p w:rsidR="001C5064" w:rsidRPr="00CF52DD" w:rsidRDefault="001C5064" w:rsidP="00A9501D">
      <w:pPr>
        <w:rPr>
          <w:noProof/>
        </w:rPr>
      </w:pPr>
      <w:r w:rsidRPr="00CF52DD">
        <w:rPr>
          <w:noProof/>
        </w:rPr>
        <w:t xml:space="preserve">като взеха предвид </w:t>
      </w:r>
      <w:r w:rsidRPr="00A9501D">
        <w:t>предложението</w:t>
      </w:r>
      <w:r w:rsidRPr="00CF52DD">
        <w:rPr>
          <w:noProof/>
        </w:rPr>
        <w:t xml:space="preserve"> на Европейската комисия,</w:t>
      </w:r>
    </w:p>
    <w:p w:rsidR="001C5064" w:rsidRPr="00CF52DD" w:rsidRDefault="001C5064" w:rsidP="00A9501D">
      <w:pPr>
        <w:rPr>
          <w:noProof/>
        </w:rPr>
      </w:pPr>
      <w:r w:rsidRPr="00CF52DD">
        <w:rPr>
          <w:noProof/>
        </w:rPr>
        <w:t xml:space="preserve">след предаване на </w:t>
      </w:r>
      <w:r w:rsidRPr="00A9501D">
        <w:t>проекта</w:t>
      </w:r>
      <w:r w:rsidRPr="00CF52DD">
        <w:rPr>
          <w:noProof/>
        </w:rPr>
        <w:t xml:space="preserve"> за законодателния акт на националните парламенти,</w:t>
      </w:r>
    </w:p>
    <w:p w:rsidR="001C5064" w:rsidRPr="00CF52DD" w:rsidRDefault="001C5064" w:rsidP="00A9501D">
      <w:pPr>
        <w:rPr>
          <w:noProof/>
        </w:rPr>
      </w:pPr>
      <w:r w:rsidRPr="00CF52DD">
        <w:rPr>
          <w:noProof/>
        </w:rPr>
        <w:t xml:space="preserve">като взеха предвид </w:t>
      </w:r>
      <w:r w:rsidRPr="00A9501D">
        <w:t>становището</w:t>
      </w:r>
      <w:r w:rsidRPr="00CF52DD">
        <w:rPr>
          <w:noProof/>
        </w:rPr>
        <w:t xml:space="preserve"> на Европейския икономически и социален комитет</w:t>
      </w:r>
      <w:r w:rsidRPr="00CF52DD">
        <w:rPr>
          <w:rStyle w:val="FootnoteReference"/>
          <w:rFonts w:asciiTheme="majorBidi" w:hAnsiTheme="majorBidi" w:cstheme="majorBidi"/>
          <w:noProof/>
        </w:rPr>
        <w:footnoteReference w:id="1"/>
      </w:r>
      <w:r w:rsidRPr="00CF52DD">
        <w:rPr>
          <w:noProof/>
        </w:rPr>
        <w:t>,</w:t>
      </w:r>
    </w:p>
    <w:p w:rsidR="001C5064" w:rsidRPr="00CF52DD" w:rsidRDefault="001C5064" w:rsidP="00A9501D">
      <w:pPr>
        <w:rPr>
          <w:noProof/>
        </w:rPr>
      </w:pPr>
      <w:r w:rsidRPr="00CF52DD">
        <w:rPr>
          <w:noProof/>
        </w:rPr>
        <w:t xml:space="preserve">в съответствие с </w:t>
      </w:r>
      <w:r w:rsidRPr="00A9501D">
        <w:t>обикновената</w:t>
      </w:r>
      <w:r w:rsidRPr="00CF52DD">
        <w:rPr>
          <w:noProof/>
        </w:rPr>
        <w:t xml:space="preserve"> законодателна процедура</w:t>
      </w:r>
      <w:r w:rsidRPr="005D6F50">
        <w:rPr>
          <w:rStyle w:val="FootnoteReference"/>
          <w:bCs/>
          <w:noProof/>
        </w:rPr>
        <w:footnoteReference w:id="2"/>
      </w:r>
      <w:r w:rsidRPr="00CF52DD">
        <w:rPr>
          <w:noProof/>
        </w:rPr>
        <w:t>,</w:t>
      </w:r>
    </w:p>
    <w:p w:rsidR="001C5064" w:rsidRPr="00CF52DD" w:rsidRDefault="00A9501D" w:rsidP="00A9501D">
      <w:pPr>
        <w:rPr>
          <w:noProof/>
        </w:rPr>
      </w:pPr>
      <w:r>
        <w:rPr>
          <w:noProof/>
        </w:rPr>
        <w:br w:type="page"/>
      </w:r>
      <w:r w:rsidR="001C5064" w:rsidRPr="00CF52DD">
        <w:rPr>
          <w:noProof/>
        </w:rPr>
        <w:lastRenderedPageBreak/>
        <w:t xml:space="preserve">като имат </w:t>
      </w:r>
      <w:r w:rsidR="001C5064" w:rsidRPr="00A9501D">
        <w:t>предвид</w:t>
      </w:r>
      <w:r w:rsidR="001C5064" w:rsidRPr="00CF52DD">
        <w:rPr>
          <w:noProof/>
        </w:rPr>
        <w:t>, че:</w:t>
      </w:r>
    </w:p>
    <w:p w:rsidR="001C5064" w:rsidRPr="002F155E" w:rsidRDefault="001C5064" w:rsidP="00A9501D">
      <w:pPr>
        <w:pStyle w:val="ManualConsidrant"/>
      </w:pPr>
      <w:r w:rsidRPr="002F155E">
        <w:t>(1)</w:t>
      </w:r>
      <w:r w:rsidRPr="002F155E">
        <w:tab/>
        <w:t xml:space="preserve">Със Споразумението за създаване на Генералната комисия по рибарство в Средиземно </w:t>
      </w:r>
      <w:r w:rsidRPr="00A9501D">
        <w:t>море</w:t>
      </w:r>
      <w:r w:rsidRPr="002F155E">
        <w:t xml:space="preserve"> (</w:t>
      </w:r>
      <w:r w:rsidR="00693061">
        <w:t xml:space="preserve">наричано по-долу </w:t>
      </w:r>
      <w:r w:rsidRPr="002F155E">
        <w:t xml:space="preserve">„Споразумението за GFCM“) се </w:t>
      </w:r>
      <w:r w:rsidR="00693061">
        <w:t>осигурява</w:t>
      </w:r>
      <w:r w:rsidR="00693061" w:rsidRPr="002F155E">
        <w:t xml:space="preserve"> </w:t>
      </w:r>
      <w:r w:rsidRPr="002F155E">
        <w:t xml:space="preserve">подходяща рамка за многостранно сътрудничество с цел насърчаване на развитието, опазването, рационалното управление и най-доброто използване на живите морски ресурси в Средиземно и Черно море на нива, които се считат за устойчиви и при които има </w:t>
      </w:r>
      <w:r w:rsidR="00693061">
        <w:t>малък</w:t>
      </w:r>
      <w:r w:rsidR="00693061" w:rsidRPr="002F155E">
        <w:t xml:space="preserve"> </w:t>
      </w:r>
      <w:r w:rsidRPr="002F155E">
        <w:t>риск от изчезване.</w:t>
      </w:r>
    </w:p>
    <w:p w:rsidR="001C5064" w:rsidRPr="00CF52DD" w:rsidRDefault="001C5064" w:rsidP="002F155E">
      <w:pPr>
        <w:pStyle w:val="ManualConsidrant"/>
        <w:rPr>
          <w:rFonts w:asciiTheme="majorBidi" w:hAnsiTheme="majorBidi" w:cstheme="majorBidi"/>
        </w:rPr>
      </w:pPr>
      <w:r w:rsidRPr="00CF52DD">
        <w:rPr>
          <w:rFonts w:asciiTheme="majorBidi" w:hAnsiTheme="majorBidi" w:cstheme="majorBidi"/>
        </w:rPr>
        <w:t>(2)</w:t>
      </w:r>
      <w:r w:rsidRPr="00CF52DD">
        <w:tab/>
      </w:r>
      <w:r w:rsidRPr="00CF52DD">
        <w:rPr>
          <w:rFonts w:asciiTheme="majorBidi" w:hAnsiTheme="majorBidi" w:cstheme="majorBidi"/>
        </w:rPr>
        <w:t>Съюзът, също както и България, Гърция, Испания, Франция, Хърватия, Италия, Кипър, Малта, Румъния и Словения, e договаряща страна по Споразумението за GFCM.</w:t>
      </w:r>
    </w:p>
    <w:p w:rsidR="001C5064" w:rsidRPr="00CF52DD" w:rsidRDefault="001C5064" w:rsidP="00A9501D">
      <w:pPr>
        <w:pStyle w:val="ManualConsidrant"/>
      </w:pPr>
      <w:r w:rsidRPr="00CF52DD">
        <w:t>(3)</w:t>
      </w:r>
      <w:r w:rsidRPr="00CF52DD">
        <w:tab/>
        <w:t>С Регламент (ЕС) № 1343/2011 на Европейския парламент и на Съвета</w:t>
      </w:r>
      <w:r w:rsidRPr="00CF52DD">
        <w:rPr>
          <w:rStyle w:val="FootnoteReference"/>
          <w:rFonts w:asciiTheme="majorBidi" w:hAnsiTheme="majorBidi" w:cstheme="majorBidi"/>
          <w:noProof/>
        </w:rPr>
        <w:footnoteReference w:id="3"/>
      </w:r>
      <w:r w:rsidRPr="00CF52DD">
        <w:t xml:space="preserve"> се определят някои разпоредби за риболова в зоната по Споразумението за GFCM. Той представлява подходящият законодателен акт за въвеждането на </w:t>
      </w:r>
      <w:r w:rsidR="00BB5CFF">
        <w:t xml:space="preserve">онези </w:t>
      </w:r>
      <w:r w:rsidRPr="00CF52DD">
        <w:t xml:space="preserve">препоръки на GFCM, чието съдържание все още не е обхванато от правото на Съюза. </w:t>
      </w:r>
      <w:r w:rsidR="00BB5CFF">
        <w:t>Н</w:t>
      </w:r>
      <w:r w:rsidR="00693061">
        <w:t xml:space="preserve">яма съмнение, че </w:t>
      </w:r>
      <w:r w:rsidRPr="00CF52DD">
        <w:t>Регламент (ЕС) № 1343/2011 може да бъде изменен, така че да се включат мерките, съдържащи се в съответните препоръки на GFCM.</w:t>
      </w:r>
    </w:p>
    <w:p w:rsidR="001C5064" w:rsidRPr="00A9501D" w:rsidRDefault="001A2101" w:rsidP="00D03827">
      <w:pPr>
        <w:pStyle w:val="ManualConsidrant"/>
      </w:pPr>
      <w:r>
        <w:br w:type="page"/>
      </w:r>
      <w:r w:rsidR="001C5064" w:rsidRPr="00CF52DD">
        <w:t>(4)</w:t>
      </w:r>
      <w:r w:rsidR="001C5064" w:rsidRPr="00CF52DD">
        <w:tab/>
      </w:r>
      <w:r w:rsidR="001C5064" w:rsidRPr="00A9501D">
        <w:t xml:space="preserve">На своите годишни заседания през 2011 и 2012 г. GFCM прие мерки за устойчива експлоатация на червени корали в своята област на компетентност, които </w:t>
      </w:r>
      <w:r w:rsidR="00746B60" w:rsidRPr="00A9501D">
        <w:t>е необходимо</w:t>
      </w:r>
      <w:r w:rsidR="001C5064" w:rsidRPr="00A9501D">
        <w:t xml:space="preserve"> да се въведат в правото на Съюза. Една от тези мерки е свързана с използването на подводни апарати с дистанционно управление. GFCM реши, че </w:t>
      </w:r>
      <w:r w:rsidR="00746B60" w:rsidRPr="00A9501D">
        <w:t>по-нататъшното</w:t>
      </w:r>
      <w:r w:rsidR="00BB5CFF" w:rsidRPr="00A9501D">
        <w:t xml:space="preserve"> </w:t>
      </w:r>
      <w:r w:rsidR="001C5064" w:rsidRPr="00A9501D">
        <w:t xml:space="preserve">използване </w:t>
      </w:r>
      <w:r w:rsidR="00746B60" w:rsidRPr="00A9501D">
        <w:t xml:space="preserve">в зони под национална юрисдикция </w:t>
      </w:r>
      <w:r w:rsidR="001C5064" w:rsidRPr="00A9501D">
        <w:t>на такива апарати, за ко</w:t>
      </w:r>
      <w:r w:rsidR="00746B60" w:rsidRPr="00A9501D">
        <w:t>и</w:t>
      </w:r>
      <w:r w:rsidR="001C5064" w:rsidRPr="00A9501D">
        <w:t>то вече има разрешение</w:t>
      </w:r>
      <w:r w:rsidR="00746B60" w:rsidRPr="00A9501D">
        <w:t xml:space="preserve"> да бъдат използвани в операции по </w:t>
      </w:r>
      <w:r w:rsidR="001C5064" w:rsidRPr="00A9501D">
        <w:t xml:space="preserve">наблюдение и проучване на червени корали, </w:t>
      </w:r>
      <w:r w:rsidR="007A141F" w:rsidRPr="00A9501D">
        <w:t xml:space="preserve">трябва да </w:t>
      </w:r>
      <w:r w:rsidR="001C5064" w:rsidRPr="00A9501D">
        <w:t xml:space="preserve">се разрешава единствено при определени условия и за ограничен </w:t>
      </w:r>
      <w:r w:rsidR="00693061" w:rsidRPr="00A9501D">
        <w:t>срок</w:t>
      </w:r>
      <w:r w:rsidR="00D03827">
        <w:t>,</w:t>
      </w:r>
      <w:r w:rsidR="001C5064" w:rsidRPr="00A9501D">
        <w:t xml:space="preserve"> освен когато </w:t>
      </w:r>
      <w:r w:rsidR="00693061" w:rsidRPr="00A9501D">
        <w:t xml:space="preserve">в </w:t>
      </w:r>
      <w:r w:rsidR="001C5064" w:rsidRPr="00A9501D">
        <w:t xml:space="preserve">научните становища </w:t>
      </w:r>
      <w:r w:rsidR="00693061" w:rsidRPr="00A9501D">
        <w:t xml:space="preserve">е посочено </w:t>
      </w:r>
      <w:r w:rsidR="001C5064" w:rsidRPr="00A9501D">
        <w:t xml:space="preserve">друго. Следователно подобно използване на такива апарати с дистанционно управление във водите на Съюза следва вече да не се разрешава след 31 декември 2015 г. освен в случаите, в които това е обосновано от научните становища. В съответствие с </w:t>
      </w:r>
      <w:r w:rsidR="007C4BBF" w:rsidRPr="00A9501D">
        <w:t xml:space="preserve">Препоръка </w:t>
      </w:r>
      <w:r w:rsidR="001C5064" w:rsidRPr="00A9501D">
        <w:t>GFCM/35/2011/2 използването на подводни апарати с дистанционно управление следва също да бъде разрешено за държави членки, които още не са разрешили използването им за проучване и може да желаят да направят това, при условие че резултатите от научните изследвания, получени в контекста на плановете за управление, показват липса на отрицателно въздействие върху устойчивата експлоатация на червените корали.</w:t>
      </w:r>
    </w:p>
    <w:p w:rsidR="001C5064" w:rsidRPr="00CF52DD" w:rsidRDefault="001C5064" w:rsidP="00A9501D">
      <w:pPr>
        <w:pStyle w:val="Text1"/>
      </w:pPr>
      <w:r w:rsidRPr="002531D6">
        <w:t>Освен</w:t>
      </w:r>
      <w:r w:rsidRPr="002F155E">
        <w:t xml:space="preserve"> това </w:t>
      </w:r>
      <w:r w:rsidRPr="00A9501D">
        <w:t>използването</w:t>
      </w:r>
      <w:r w:rsidRPr="002F155E">
        <w:t xml:space="preserve"> на </w:t>
      </w:r>
      <w:r w:rsidR="00693061">
        <w:t>подводни</w:t>
      </w:r>
      <w:r w:rsidR="00693061" w:rsidRPr="002F155E">
        <w:t xml:space="preserve"> </w:t>
      </w:r>
      <w:r w:rsidRPr="002F155E">
        <w:t xml:space="preserve">апарати </w:t>
      </w:r>
      <w:r w:rsidR="00693061" w:rsidRPr="00693061">
        <w:t xml:space="preserve">с дистанционно управление </w:t>
      </w:r>
      <w:r w:rsidRPr="002F155E">
        <w:t xml:space="preserve">следва да бъде разрешено за ограничен </w:t>
      </w:r>
      <w:r w:rsidR="00746B60">
        <w:t>срок</w:t>
      </w:r>
      <w:r w:rsidRPr="002F155E">
        <w:t xml:space="preserve">, но не след 2015 г., за </w:t>
      </w:r>
      <w:r w:rsidRPr="007A141F">
        <w:t>експер</w:t>
      </w:r>
      <w:r w:rsidRPr="00D03827">
        <w:t>иментални научни де</w:t>
      </w:r>
      <w:r w:rsidRPr="007A141F">
        <w:t>йност</w:t>
      </w:r>
      <w:r w:rsidRPr="002F155E">
        <w:t>и, свързани както с наблюдението, така и със събирането</w:t>
      </w:r>
      <w:r w:rsidR="00746B60">
        <w:t xml:space="preserve"> на червени корали</w:t>
      </w:r>
      <w:r w:rsidRPr="002F155E">
        <w:t xml:space="preserve">. </w:t>
      </w:r>
      <w:r w:rsidRPr="00CF52DD">
        <w:t xml:space="preserve">В съответствие с друга мярка, </w:t>
      </w:r>
      <w:r w:rsidR="00693061">
        <w:t>установена</w:t>
      </w:r>
      <w:r w:rsidR="00693061" w:rsidRPr="00CF52DD">
        <w:t xml:space="preserve"> </w:t>
      </w:r>
      <w:r w:rsidRPr="00CF52DD">
        <w:t xml:space="preserve">в </w:t>
      </w:r>
      <w:r w:rsidR="007C4BBF">
        <w:t>П</w:t>
      </w:r>
      <w:r w:rsidR="007C4BBF" w:rsidRPr="00CF52DD">
        <w:t xml:space="preserve">репоръка </w:t>
      </w:r>
      <w:r w:rsidRPr="00CF52DD">
        <w:t xml:space="preserve">GFCM/36/2012/1, събраните червени корали трябва да се разтоварват </w:t>
      </w:r>
      <w:r w:rsidR="00F05ABA">
        <w:t xml:space="preserve">на сушата </w:t>
      </w:r>
      <w:r w:rsidRPr="00CF52DD">
        <w:t xml:space="preserve">само в ограничен брой пристанища с подходящи пристанищни съоръжения, като списъците с избраните пристанища трябва да се </w:t>
      </w:r>
      <w:r w:rsidR="00693061">
        <w:t>съобщят</w:t>
      </w:r>
      <w:r w:rsidR="00693061" w:rsidRPr="00CF52DD">
        <w:t xml:space="preserve"> </w:t>
      </w:r>
      <w:r w:rsidRPr="00CF52DD">
        <w:t xml:space="preserve">на секретариата на GFCM. </w:t>
      </w:r>
      <w:r w:rsidR="00693061">
        <w:t>В</w:t>
      </w:r>
      <w:r w:rsidRPr="00CF52DD">
        <w:t>сички промени, които засягат списъците с пристанища, определени от държавите членки, следва да се съобщава</w:t>
      </w:r>
      <w:r w:rsidR="00693061">
        <w:t>т</w:t>
      </w:r>
      <w:r w:rsidRPr="00CF52DD">
        <w:t xml:space="preserve"> на Европейската комисия</w:t>
      </w:r>
      <w:r w:rsidR="00654DE7">
        <w:t xml:space="preserve"> (наричана по-долу "Комисията")</w:t>
      </w:r>
      <w:r w:rsidRPr="00CF52DD">
        <w:t>, която да предаде тази информация на секретариата на GFCM.</w:t>
      </w:r>
    </w:p>
    <w:p w:rsidR="001C5064" w:rsidRPr="00CF52DD" w:rsidRDefault="001A2101" w:rsidP="00D03827">
      <w:pPr>
        <w:pStyle w:val="ManualConsidrant"/>
      </w:pPr>
      <w:r>
        <w:br w:type="page"/>
      </w:r>
      <w:r w:rsidR="001C5064" w:rsidRPr="00CF52DD">
        <w:t>(5)</w:t>
      </w:r>
      <w:r w:rsidR="001C5064" w:rsidRPr="00CF52DD">
        <w:tab/>
        <w:t xml:space="preserve">На своите годишни заседания през 2011 и 2012 г. GFCM прие препоръки GFCM/35/2011/3, GFCM/35/2011/4, GFCM/35/2011/5 </w:t>
      </w:r>
      <w:r w:rsidR="001C5064" w:rsidRPr="00CF52DD">
        <w:rPr>
          <w:b/>
          <w:i/>
        </w:rPr>
        <w:t>и</w:t>
      </w:r>
      <w:r w:rsidR="001C5064" w:rsidRPr="00CF52DD">
        <w:t xml:space="preserve"> GFCM/36/2012/2 за определяне на мерки за намаляване на случайния улов на морски птици, морски костенурки, тюлени монаси и китоподобни при риболовни дейности в зоната по Споразумението за GFCM, които </w:t>
      </w:r>
      <w:r w:rsidR="00693061">
        <w:t xml:space="preserve">трябва </w:t>
      </w:r>
      <w:r w:rsidR="001C5064" w:rsidRPr="00CF52DD">
        <w:t xml:space="preserve">да бъдат въведени в правото на Съюза. Тези мерки включват забрана за </w:t>
      </w:r>
      <w:r w:rsidR="00D03827">
        <w:t>използването</w:t>
      </w:r>
      <w:r w:rsidR="001C5064" w:rsidRPr="00CF52DD">
        <w:t xml:space="preserve"> след 1 януари 2015 г. на дънни хрилни мрежи с монофиламент или влакна с дебелина над 0,5 mm, за да се намали случайният улов на китоподобни. </w:t>
      </w:r>
      <w:r w:rsidR="00320F28">
        <w:t>Посочената</w:t>
      </w:r>
      <w:r w:rsidR="001C5064" w:rsidRPr="00CF52DD">
        <w:t xml:space="preserve"> забрана вече се съдържа в Регламент (ЕО) № 1967/2006 на Съвета</w:t>
      </w:r>
      <w:r w:rsidR="001C5064" w:rsidRPr="005D6F50">
        <w:rPr>
          <w:rStyle w:val="FootnoteReference"/>
          <w:bCs/>
        </w:rPr>
        <w:footnoteReference w:id="4"/>
      </w:r>
      <w:r w:rsidR="001C5064" w:rsidRPr="00CF52DD">
        <w:t xml:space="preserve">, който обаче обхваща само Средиземно море. Поради това забраната следва да се включи в </w:t>
      </w:r>
      <w:r w:rsidR="00320F28">
        <w:t>Р</w:t>
      </w:r>
      <w:r w:rsidR="001C5064" w:rsidRPr="00CF52DD">
        <w:t>егламент</w:t>
      </w:r>
      <w:r w:rsidR="00320F28">
        <w:t xml:space="preserve"> (ЕС) № 1343/2011</w:t>
      </w:r>
      <w:r w:rsidR="001C5064" w:rsidRPr="00CF52DD">
        <w:t xml:space="preserve">, </w:t>
      </w:r>
      <w:r w:rsidR="00693061">
        <w:t>за</w:t>
      </w:r>
      <w:r w:rsidR="001C5064" w:rsidRPr="00CF52DD">
        <w:t xml:space="preserve"> да се прилага и по отношение на Черно море.</w:t>
      </w:r>
    </w:p>
    <w:p w:rsidR="001C5064" w:rsidRPr="00CF52DD" w:rsidRDefault="001C5064" w:rsidP="007B38B2">
      <w:pPr>
        <w:pStyle w:val="ManualConsidrant"/>
        <w:rPr>
          <w:rFonts w:asciiTheme="majorBidi" w:hAnsiTheme="majorBidi" w:cstheme="majorBidi"/>
        </w:rPr>
      </w:pPr>
      <w:r w:rsidRPr="00CF52DD">
        <w:rPr>
          <w:rFonts w:asciiTheme="majorBidi" w:hAnsiTheme="majorBidi" w:cstheme="majorBidi"/>
        </w:rPr>
        <w:t>(6)</w:t>
      </w:r>
      <w:r w:rsidRPr="00CF52DD">
        <w:tab/>
      </w:r>
      <w:r w:rsidRPr="00A9501D">
        <w:t xml:space="preserve">На своето годишно заседание през 2012 г. GFCM прие </w:t>
      </w:r>
      <w:r w:rsidR="00693061" w:rsidRPr="00A9501D">
        <w:t xml:space="preserve">също така </w:t>
      </w:r>
      <w:r w:rsidR="007C4BBF" w:rsidRPr="00A9501D">
        <w:t xml:space="preserve">Препоръка </w:t>
      </w:r>
      <w:r w:rsidRPr="00A9501D">
        <w:t xml:space="preserve">GFCM/36/2012/3 за определяне на мерки, с които </w:t>
      </w:r>
      <w:r w:rsidR="00654DE7" w:rsidRPr="00A9501D">
        <w:t xml:space="preserve">цели </w:t>
      </w:r>
      <w:r w:rsidRPr="00A9501D">
        <w:t xml:space="preserve">да гарантира </w:t>
      </w:r>
      <w:r w:rsidR="00693061" w:rsidRPr="00A9501D">
        <w:t xml:space="preserve">в рамките на </w:t>
      </w:r>
      <w:r w:rsidRPr="00A9501D">
        <w:t>своята област на компетентност</w:t>
      </w:r>
      <w:r w:rsidR="00320F28" w:rsidRPr="00A9501D">
        <w:t>, че</w:t>
      </w:r>
      <w:r w:rsidRPr="00A9501D">
        <w:t xml:space="preserve"> </w:t>
      </w:r>
      <w:r w:rsidR="00320F28" w:rsidRPr="00A9501D">
        <w:t xml:space="preserve">за </w:t>
      </w:r>
      <w:r w:rsidRPr="00A9501D">
        <w:t>акули и скатове, по-специално</w:t>
      </w:r>
      <w:r w:rsidR="00320F28" w:rsidRPr="00A9501D">
        <w:t xml:space="preserve"> за</w:t>
      </w:r>
      <w:r w:rsidRPr="00A9501D">
        <w:t xml:space="preserve"> видовете акули и скатове, включени в списъците за застрашени видове или видове в опасност съгласно приложение II към Протокола относно специално защитените територии и биологичното разнообразие в Средиземноморието</w:t>
      </w:r>
      <w:r w:rsidRPr="007B38B2">
        <w:rPr>
          <w:rStyle w:val="FootnoteReference"/>
        </w:rPr>
        <w:footnoteReference w:id="5"/>
      </w:r>
      <w:r w:rsidR="00320F28" w:rsidRPr="00A9501D">
        <w:t xml:space="preserve">, </w:t>
      </w:r>
      <w:r w:rsidR="00790BD2" w:rsidRPr="00A9501D">
        <w:t xml:space="preserve">е </w:t>
      </w:r>
      <w:r w:rsidR="007A141F" w:rsidRPr="00A9501D">
        <w:t xml:space="preserve">осигурено </w:t>
      </w:r>
      <w:r w:rsidR="00320F28" w:rsidRPr="00A9501D">
        <w:t>високо ниво на защита от риболовни дейности</w:t>
      </w:r>
      <w:r w:rsidR="00320F28">
        <w:rPr>
          <w:rFonts w:asciiTheme="majorBidi" w:hAnsiTheme="majorBidi" w:cstheme="majorBidi"/>
        </w:rPr>
        <w:t>.</w:t>
      </w:r>
    </w:p>
    <w:p w:rsidR="001C5064" w:rsidRPr="00A9501D" w:rsidRDefault="001A2101" w:rsidP="00A9501D">
      <w:pPr>
        <w:pStyle w:val="ManualConsidrant"/>
        <w:rPr>
          <w:rFonts w:eastAsia="Calibri"/>
        </w:rPr>
      </w:pPr>
      <w:r>
        <w:br w:type="page"/>
      </w:r>
      <w:r w:rsidR="001C5064" w:rsidRPr="00A9501D">
        <w:t>(</w:t>
      </w:r>
      <w:r w:rsidR="007A141F" w:rsidRPr="00A9501D">
        <w:t>7</w:t>
      </w:r>
      <w:r w:rsidR="001C5064" w:rsidRPr="00A9501D">
        <w:t>)</w:t>
      </w:r>
      <w:r w:rsidR="001C5064" w:rsidRPr="00A9501D">
        <w:tab/>
        <w:t xml:space="preserve">В съответствие с една от мерките, включени в </w:t>
      </w:r>
      <w:r w:rsidR="00654DE7" w:rsidRPr="00A9501D">
        <w:t xml:space="preserve">Препоръка </w:t>
      </w:r>
      <w:r w:rsidR="00392E75" w:rsidRPr="00A9501D">
        <w:rPr>
          <w:rFonts w:eastAsia="Calibri"/>
        </w:rPr>
        <w:t>GFCM/36/2012/3</w:t>
      </w:r>
      <w:r w:rsidR="001C5064" w:rsidRPr="00A9501D">
        <w:t xml:space="preserve">, която има за цел опазването на крайбрежни акули, риболовните дейности, извършвани с трални мрежи, се забраняват в рамките на </w:t>
      </w:r>
      <w:r w:rsidR="002577FE" w:rsidRPr="00A9501D">
        <w:t>три</w:t>
      </w:r>
      <w:r w:rsidR="001C5064" w:rsidRPr="00A9501D">
        <w:t xml:space="preserve"> морски мили от бреговата линия, при условие че не е достигната 50-метровата изобата, или в рамките на 50-метровата изобата, когато дълбочината от 50 метра се достига на по-късо разстояние от брега. При определени условия могат да се предоставят специални и пространствено ограничени дерогации. </w:t>
      </w:r>
      <w:r w:rsidR="00790BD2" w:rsidRPr="00A9501D">
        <w:t>Посочената</w:t>
      </w:r>
      <w:r w:rsidR="001C5064" w:rsidRPr="00A9501D">
        <w:t xml:space="preserve"> забрана, както и възможността за предоставяне на дерогации, вече се съдържат в Регламент (ЕО) № 1967/2006, който обаче обхваща само Средиземно море. Поради това те следва да се включат в </w:t>
      </w:r>
      <w:r w:rsidR="00790BD2" w:rsidRPr="00A9501D">
        <w:t>Регламент (ЕС) № 1343/2011</w:t>
      </w:r>
      <w:r w:rsidR="001C5064" w:rsidRPr="00A9501D">
        <w:t xml:space="preserve">, </w:t>
      </w:r>
      <w:r w:rsidR="007D15F4" w:rsidRPr="00A9501D">
        <w:t>за</w:t>
      </w:r>
      <w:r w:rsidR="001C5064" w:rsidRPr="00A9501D">
        <w:t xml:space="preserve"> да се прилагат и по отношение на Черно море.</w:t>
      </w:r>
    </w:p>
    <w:p w:rsidR="001C5064" w:rsidRPr="00A9501D" w:rsidRDefault="001C5064" w:rsidP="007B38B2">
      <w:pPr>
        <w:pStyle w:val="ManualConsidrant"/>
      </w:pPr>
      <w:r w:rsidRPr="00A9501D">
        <w:t>(</w:t>
      </w:r>
      <w:r w:rsidR="007A141F" w:rsidRPr="00A9501D">
        <w:t>8</w:t>
      </w:r>
      <w:r w:rsidRPr="00A9501D">
        <w:t>)</w:t>
      </w:r>
      <w:r w:rsidRPr="00A9501D">
        <w:tab/>
        <w:t xml:space="preserve">Необходимо е в </w:t>
      </w:r>
      <w:r w:rsidR="00790BD2" w:rsidRPr="00A9501D">
        <w:t>Регламент (ЕС) № 1343/2011</w:t>
      </w:r>
      <w:r w:rsidRPr="00A9501D">
        <w:t xml:space="preserve"> да се включат и други мерки</w:t>
      </w:r>
      <w:r w:rsidR="00CE20C5" w:rsidRPr="00A9501D">
        <w:t xml:space="preserve"> </w:t>
      </w:r>
      <w:r w:rsidRPr="00A9501D">
        <w:t>от</w:t>
      </w:r>
      <w:r w:rsidR="00CE20C5" w:rsidRPr="00A9501D">
        <w:t xml:space="preserve"> </w:t>
      </w:r>
      <w:r w:rsidR="00654DE7" w:rsidRPr="00A9501D">
        <w:t>Препоръка</w:t>
      </w:r>
      <w:r w:rsidR="00654DE7" w:rsidRPr="00A9501D">
        <w:rPr>
          <w:rFonts w:eastAsia="Calibri"/>
        </w:rPr>
        <w:t xml:space="preserve"> </w:t>
      </w:r>
      <w:r w:rsidR="00392E75" w:rsidRPr="00A9501D">
        <w:rPr>
          <w:rFonts w:eastAsia="Calibri"/>
        </w:rPr>
        <w:t>GFCM/36/2012/3</w:t>
      </w:r>
      <w:r w:rsidRPr="00A9501D">
        <w:t xml:space="preserve">, </w:t>
      </w:r>
      <w:r w:rsidR="007D15F4" w:rsidRPr="00A9501D">
        <w:t>насочени към</w:t>
      </w:r>
      <w:r w:rsidRPr="00A9501D">
        <w:t xml:space="preserve"> правилното идентифициране на акули, които </w:t>
      </w:r>
      <w:r w:rsidR="00790BD2" w:rsidRPr="00A9501D">
        <w:t xml:space="preserve">обаче </w:t>
      </w:r>
      <w:r w:rsidRPr="00A9501D">
        <w:t>не са обхванати от Регламент (ЕО) № 1185/2003 на Съвета</w:t>
      </w:r>
      <w:r w:rsidRPr="007B38B2">
        <w:rPr>
          <w:rStyle w:val="FootnoteReference"/>
        </w:rPr>
        <w:footnoteReference w:id="6"/>
      </w:r>
      <w:r w:rsidRPr="00A9501D">
        <w:t xml:space="preserve"> или друг законодателен акт на Съюза, с цел тези разпоредби да</w:t>
      </w:r>
      <w:r w:rsidR="00CE20C5" w:rsidRPr="00A9501D">
        <w:t xml:space="preserve"> могат да</w:t>
      </w:r>
      <w:r w:rsidRPr="00A9501D">
        <w:t xml:space="preserve"> се въведат изцяло в правото на Съюза.</w:t>
      </w:r>
    </w:p>
    <w:p w:rsidR="001C5064" w:rsidRPr="00CF52DD" w:rsidRDefault="001A2101" w:rsidP="007A141F">
      <w:pPr>
        <w:pStyle w:val="ManualConsidrant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br w:type="page"/>
      </w:r>
      <w:r w:rsidR="001C5064" w:rsidRPr="00CF52DD">
        <w:rPr>
          <w:rFonts w:asciiTheme="majorBidi" w:hAnsiTheme="majorBidi" w:cstheme="majorBidi"/>
        </w:rPr>
        <w:t>(</w:t>
      </w:r>
      <w:r w:rsidR="007A141F">
        <w:rPr>
          <w:rFonts w:asciiTheme="majorBidi" w:hAnsiTheme="majorBidi" w:cstheme="majorBidi"/>
        </w:rPr>
        <w:t>9</w:t>
      </w:r>
      <w:r w:rsidR="001C5064" w:rsidRPr="00CF52DD">
        <w:rPr>
          <w:rFonts w:asciiTheme="majorBidi" w:hAnsiTheme="majorBidi" w:cstheme="majorBidi"/>
        </w:rPr>
        <w:t>)</w:t>
      </w:r>
      <w:r w:rsidR="001C5064" w:rsidRPr="00CF52DD">
        <w:tab/>
      </w:r>
      <w:r w:rsidR="001C5064" w:rsidRPr="00A9501D">
        <w:t xml:space="preserve">На своите годишни заседания през 2013 и 2014 г. GFCM прие препоръки GFCM/37/2013/1 и GFCM/38/2014/1 за определяне на мерки за риболов на малки пелагични запаси в Адриатическо море, които </w:t>
      </w:r>
      <w:r w:rsidR="00CE20C5" w:rsidRPr="00A9501D">
        <w:t>е необходимо</w:t>
      </w:r>
      <w:r w:rsidR="001C5064" w:rsidRPr="00A9501D">
        <w:t xml:space="preserve"> да бъдат въведени в правото на Съюза.</w:t>
      </w:r>
      <w:r w:rsidR="00C27622" w:rsidRPr="00A9501D">
        <w:t xml:space="preserve"> </w:t>
      </w:r>
      <w:r w:rsidR="001C5064" w:rsidRPr="00A9501D">
        <w:t xml:space="preserve">Тези мерки са свързани с управлението на риболовния капацитет по отношение на малките пелагични запаси в географските подзони 17 и 18 на GFCM въз основа на референтния риболовен капацитет, установен посредством списъка </w:t>
      </w:r>
      <w:r w:rsidR="003A505F" w:rsidRPr="00A9501D">
        <w:t xml:space="preserve">на </w:t>
      </w:r>
      <w:r w:rsidR="001C5064" w:rsidRPr="00A9501D">
        <w:t xml:space="preserve">риболовни кораби, който секретариатът на GFCM трябваше да получи до 30 ноември 2013 г. в съответствие с параграф 22 от </w:t>
      </w:r>
      <w:r w:rsidR="007C4BBF" w:rsidRPr="00A9501D">
        <w:t xml:space="preserve">Препоръка </w:t>
      </w:r>
      <w:r w:rsidR="001C5064" w:rsidRPr="00A9501D">
        <w:t>GFCM/37/2013/1. Този списък включва всички риболовни кораби, оборудвани с трални мрежи, мрежи гъргър или други видове заграждащи мрежи, различни от гъргъри, на които съответните държави членки са издали разрешения за риболов на малки пелагични запаси и които са регистрирани в пристанища</w:t>
      </w:r>
      <w:r w:rsidR="007D15F4" w:rsidRPr="00A9501D">
        <w:t xml:space="preserve">, разположени </w:t>
      </w:r>
      <w:r w:rsidR="001C5064" w:rsidRPr="00A9501D">
        <w:t>в географски подзони 17 и 18, или</w:t>
      </w:r>
      <w:r w:rsidR="00CE20C5" w:rsidRPr="00A9501D">
        <w:t xml:space="preserve"> които, въпреки че към 31 октомври 2013 г. са регистрирани в пристанища, разположени извън тези географски подзони,</w:t>
      </w:r>
      <w:r w:rsidR="001C5064" w:rsidRPr="00A9501D">
        <w:t xml:space="preserve"> извършват дейност в географска подзона 17 или 18</w:t>
      </w:r>
      <w:r w:rsidR="007A141F" w:rsidRPr="00A9501D">
        <w:t>,</w:t>
      </w:r>
      <w:r w:rsidR="001C5064" w:rsidRPr="00A9501D">
        <w:t xml:space="preserve"> или и в двет</w:t>
      </w:r>
      <w:r w:rsidR="00CE20C5" w:rsidRPr="00A9501D">
        <w:t>е</w:t>
      </w:r>
      <w:r w:rsidR="00CE20C5">
        <w:rPr>
          <w:rFonts w:asciiTheme="majorBidi" w:hAnsiTheme="majorBidi" w:cstheme="majorBidi"/>
          <w:noProof/>
        </w:rPr>
        <w:t>.</w:t>
      </w:r>
    </w:p>
    <w:p w:rsidR="00A3461C" w:rsidRDefault="007D15F4" w:rsidP="00654DE7">
      <w:pPr>
        <w:pStyle w:val="Text1"/>
      </w:pPr>
      <w:r w:rsidRPr="002531D6">
        <w:t>В</w:t>
      </w:r>
      <w:r w:rsidR="001C5064" w:rsidRPr="002531D6">
        <w:t>сички</w:t>
      </w:r>
      <w:r w:rsidR="001C5064" w:rsidRPr="00CF52DD">
        <w:t xml:space="preserve"> промени, които могат да засегнат </w:t>
      </w:r>
      <w:r w:rsidR="001C5064" w:rsidRPr="005D6F50">
        <w:t>този</w:t>
      </w:r>
      <w:r w:rsidR="001C5064" w:rsidRPr="00CF52DD">
        <w:t xml:space="preserve"> списък, следва незабавно да се </w:t>
      </w:r>
      <w:r w:rsidRPr="00CF52DD">
        <w:t>съобщ</w:t>
      </w:r>
      <w:r>
        <w:t>ят</w:t>
      </w:r>
      <w:r w:rsidRPr="00CF52DD">
        <w:t xml:space="preserve"> </w:t>
      </w:r>
      <w:r w:rsidR="001C5064" w:rsidRPr="00CF52DD">
        <w:t xml:space="preserve">на </w:t>
      </w:r>
      <w:r w:rsidR="00654DE7">
        <w:t>К</w:t>
      </w:r>
      <w:r w:rsidR="001C5064" w:rsidRPr="00CF52DD">
        <w:t>омисия</w:t>
      </w:r>
      <w:r w:rsidR="00654DE7">
        <w:t>та</w:t>
      </w:r>
      <w:r w:rsidR="001C5064" w:rsidRPr="00CF52DD">
        <w:t>, която да предаде тази информация на секретариата на GFCM.</w:t>
      </w:r>
    </w:p>
    <w:p w:rsidR="001C5064" w:rsidRPr="00A9501D" w:rsidRDefault="001A2101" w:rsidP="007B38B2">
      <w:pPr>
        <w:pStyle w:val="ManualConsidrant"/>
      </w:pPr>
      <w:r>
        <w:br w:type="page"/>
      </w:r>
      <w:r w:rsidR="00A3461C" w:rsidRPr="007B38B2">
        <w:t>(</w:t>
      </w:r>
      <w:r w:rsidR="007A141F" w:rsidRPr="00A9501D">
        <w:t>10</w:t>
      </w:r>
      <w:r w:rsidR="00A3461C" w:rsidRPr="007B38B2">
        <w:t>)</w:t>
      </w:r>
      <w:r w:rsidR="00A3461C" w:rsidRPr="007B38B2">
        <w:tab/>
      </w:r>
      <w:r w:rsidR="001C5064" w:rsidRPr="00A9501D">
        <w:t xml:space="preserve">Мярката на GFCM, </w:t>
      </w:r>
      <w:r w:rsidR="007D15F4" w:rsidRPr="00A9501D">
        <w:t xml:space="preserve">установена </w:t>
      </w:r>
      <w:r w:rsidR="001C5064" w:rsidRPr="00A9501D">
        <w:t>в препоръки</w:t>
      </w:r>
      <w:r w:rsidR="007A1470" w:rsidRPr="00A9501D">
        <w:t xml:space="preserve"> GFCM/37/2013/1 и GFCM/38/2014/1</w:t>
      </w:r>
      <w:r w:rsidR="003C330A" w:rsidRPr="00A9501D">
        <w:t>,</w:t>
      </w:r>
      <w:r w:rsidR="007A1470" w:rsidRPr="00A9501D">
        <w:t xml:space="preserve"> </w:t>
      </w:r>
      <w:r w:rsidR="001C5064" w:rsidRPr="00A9501D">
        <w:t xml:space="preserve">обхваща </w:t>
      </w:r>
      <w:r w:rsidR="003C330A" w:rsidRPr="00A9501D">
        <w:t xml:space="preserve">и </w:t>
      </w:r>
      <w:r w:rsidR="001C5064" w:rsidRPr="00A9501D">
        <w:t>забрана за задържане на борда или разтоварване</w:t>
      </w:r>
      <w:r w:rsidR="007D15F4" w:rsidRPr="00A9501D">
        <w:t xml:space="preserve"> на сушата</w:t>
      </w:r>
      <w:r w:rsidR="001C5064" w:rsidRPr="00A9501D">
        <w:t>, която следва да се включи в правото на Съюза в съответствие с член 15, параграф 2 от Регламент (ЕС) № 1380/2013 на Европейския парламент и на Съвета</w:t>
      </w:r>
      <w:r w:rsidR="001C5064" w:rsidRPr="007B38B2">
        <w:rPr>
          <w:rStyle w:val="FootnoteReference"/>
        </w:rPr>
        <w:footnoteReference w:id="7"/>
      </w:r>
      <w:r w:rsidR="001C5064" w:rsidRPr="00A9501D">
        <w:t xml:space="preserve">. За целите на правилното изпълнение следва да се разработят национални програми за контрол, мониторинг и наблюдение, </w:t>
      </w:r>
      <w:r w:rsidR="007A1470" w:rsidRPr="00A9501D">
        <w:t xml:space="preserve">за </w:t>
      </w:r>
      <w:r w:rsidR="001C5064" w:rsidRPr="00A9501D">
        <w:t xml:space="preserve">които Комисията следва ежегодно да </w:t>
      </w:r>
      <w:r w:rsidR="007A1470" w:rsidRPr="00A9501D">
        <w:t>съобщава</w:t>
      </w:r>
      <w:r w:rsidR="001C5064" w:rsidRPr="00A9501D">
        <w:t xml:space="preserve"> на GFCM.</w:t>
      </w:r>
    </w:p>
    <w:p w:rsidR="001C5064" w:rsidRPr="00A9501D" w:rsidRDefault="001C5064" w:rsidP="003C330A">
      <w:pPr>
        <w:pStyle w:val="ManualConsidrant"/>
      </w:pPr>
      <w:r w:rsidRPr="00A9501D">
        <w:t>(</w:t>
      </w:r>
      <w:r w:rsidR="003C330A" w:rsidRPr="00A9501D">
        <w:t>11</w:t>
      </w:r>
      <w:r w:rsidRPr="00A9501D">
        <w:t>)</w:t>
      </w:r>
      <w:r w:rsidRPr="00A9501D">
        <w:tab/>
        <w:t xml:space="preserve">С цел да се подобри събирането на данни с оглед на научното наблюдение на </w:t>
      </w:r>
      <w:r w:rsidR="004F7963" w:rsidRPr="00A9501D">
        <w:t xml:space="preserve">определени </w:t>
      </w:r>
      <w:r w:rsidRPr="00A9501D">
        <w:t>морски видове, които са уловени случайно в риболовни съоръжения, капитаните на риболовни кораби, следва да бъдат задължени да регистрират случайн</w:t>
      </w:r>
      <w:r w:rsidR="00267A22" w:rsidRPr="00A9501D">
        <w:t>ия улов</w:t>
      </w:r>
      <w:r w:rsidRPr="00A9501D">
        <w:t xml:space="preserve"> на съответните морски видове. Националните доклади, предназначени за научния консултативен комитет на GFCM, следва да съдържат информацията от риболовните кораби относно случайн</w:t>
      </w:r>
      <w:r w:rsidR="00267A22" w:rsidRPr="00A9501D">
        <w:t>ия улов</w:t>
      </w:r>
      <w:r w:rsidRPr="00A9501D">
        <w:t xml:space="preserve"> на </w:t>
      </w:r>
      <w:r w:rsidR="004F7963" w:rsidRPr="00A9501D">
        <w:t xml:space="preserve">определени </w:t>
      </w:r>
      <w:r w:rsidRPr="00A9501D">
        <w:t xml:space="preserve">морски видове, допълнена с данни от наличните източници </w:t>
      </w:r>
      <w:r w:rsidR="007A1470" w:rsidRPr="00A9501D">
        <w:t>относно</w:t>
      </w:r>
      <w:r w:rsidRPr="00A9501D">
        <w:t xml:space="preserve"> тези </w:t>
      </w:r>
      <w:r w:rsidR="007D15F4" w:rsidRPr="00A9501D">
        <w:t>случаи</w:t>
      </w:r>
      <w:r w:rsidRPr="00A9501D">
        <w:t>.</w:t>
      </w:r>
    </w:p>
    <w:p w:rsidR="001C5064" w:rsidRPr="00CF52DD" w:rsidRDefault="001A2101" w:rsidP="003C330A">
      <w:pPr>
        <w:pStyle w:val="ManualConsidrant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br w:type="page"/>
      </w:r>
      <w:r w:rsidR="001C5064" w:rsidRPr="00CF52DD">
        <w:rPr>
          <w:rFonts w:asciiTheme="majorBidi" w:hAnsiTheme="majorBidi" w:cstheme="majorBidi"/>
        </w:rPr>
        <w:t>(</w:t>
      </w:r>
      <w:r w:rsidR="003C330A">
        <w:rPr>
          <w:rFonts w:asciiTheme="majorBidi" w:hAnsiTheme="majorBidi" w:cstheme="majorBidi"/>
        </w:rPr>
        <w:t>12</w:t>
      </w:r>
      <w:r w:rsidR="001C5064" w:rsidRPr="00CF52DD">
        <w:rPr>
          <w:rFonts w:asciiTheme="majorBidi" w:hAnsiTheme="majorBidi" w:cstheme="majorBidi"/>
        </w:rPr>
        <w:t>)</w:t>
      </w:r>
      <w:r w:rsidR="001C5064" w:rsidRPr="00CF52DD">
        <w:tab/>
      </w:r>
      <w:r w:rsidR="001C5064" w:rsidRPr="00A9501D">
        <w:t>За да се осигурят еднакви условия за прилагане на определени разпоредби от настоящия регламент, на Комисията следва да се предоставят изпълнителни правомощия по отношение на формата и предаването на данни относно събирането на червени корали и информация относно случайния улов на морски птици, морски костенурки, тюлени монаси, китоподобни, акули и скатове, промените в списъците с пристанищата, определени за разтоварване</w:t>
      </w:r>
      <w:r w:rsidR="00F12548" w:rsidRPr="00A9501D">
        <w:t xml:space="preserve"> на сушата</w:t>
      </w:r>
      <w:r w:rsidR="001C5064" w:rsidRPr="00A9501D">
        <w:t xml:space="preserve"> на събрани червени корали, въздействието на определени риболовни кораби върху популациите китоподобни и промените</w:t>
      </w:r>
      <w:r w:rsidR="003C330A" w:rsidRPr="00A9501D">
        <w:t>, внесени</w:t>
      </w:r>
      <w:r w:rsidR="001C5064" w:rsidRPr="00A9501D">
        <w:t xml:space="preserve"> </w:t>
      </w:r>
      <w:r w:rsidR="007D15F4" w:rsidRPr="00A9501D">
        <w:t xml:space="preserve">в </w:t>
      </w:r>
      <w:r w:rsidR="001C5064" w:rsidRPr="00A9501D">
        <w:t xml:space="preserve">картите и списъците с географски местоположения, </w:t>
      </w:r>
      <w:r w:rsidR="004F7963" w:rsidRPr="00A9501D">
        <w:t>указващи</w:t>
      </w:r>
      <w:r w:rsidR="001C5064" w:rsidRPr="00A9501D">
        <w:t xml:space="preserve"> разположението на пещери на тюлени монаси. Тези правомощия следва да бъдат упражнявани в съответствие с Регламент (ЕС) № 182/2011 на Европейския парламент и на Съвета</w:t>
      </w:r>
      <w:r w:rsidR="001C5064" w:rsidRPr="00CF52DD">
        <w:rPr>
          <w:rStyle w:val="FootnoteReference"/>
          <w:rFonts w:asciiTheme="majorBidi" w:hAnsiTheme="majorBidi" w:cstheme="majorBidi"/>
          <w:noProof/>
        </w:rPr>
        <w:footnoteReference w:id="8"/>
      </w:r>
      <w:r w:rsidR="001C5064" w:rsidRPr="00CF52DD">
        <w:rPr>
          <w:rFonts w:asciiTheme="majorBidi" w:hAnsiTheme="majorBidi" w:cstheme="majorBidi"/>
          <w:noProof/>
        </w:rPr>
        <w:t>.</w:t>
      </w:r>
    </w:p>
    <w:p w:rsidR="001C5064" w:rsidRPr="00A9501D" w:rsidRDefault="001C5064" w:rsidP="00A9501D">
      <w:pPr>
        <w:pStyle w:val="ManualConsidrant"/>
      </w:pPr>
      <w:r w:rsidRPr="00CF52DD">
        <w:t>(</w:t>
      </w:r>
      <w:r w:rsidR="003C330A">
        <w:t>13</w:t>
      </w:r>
      <w:r w:rsidRPr="00CF52DD">
        <w:t>)</w:t>
      </w:r>
      <w:r w:rsidRPr="00CF52DD">
        <w:tab/>
      </w:r>
      <w:r w:rsidRPr="00A9501D">
        <w:t>За да се гарантира, че Съюзът продължава да спазва своите задължения съгласно Споразумението за GFCM, на Комисията следва да се делегират правомощия да приема актове в съответствие с член 290 от Договора</w:t>
      </w:r>
      <w:r w:rsidR="007A1470" w:rsidRPr="00A9501D">
        <w:t xml:space="preserve"> </w:t>
      </w:r>
      <w:r w:rsidRPr="00A9501D">
        <w:t>по отношение на разрешения за дерогация от забраната за събиране на червени корали на дълбочина</w:t>
      </w:r>
      <w:r w:rsidR="00496109" w:rsidRPr="00A9501D">
        <w:t>,</w:t>
      </w:r>
      <w:r w:rsidRPr="00A9501D">
        <w:t xml:space="preserve"> </w:t>
      </w:r>
      <w:r w:rsidR="00496109" w:rsidRPr="00A9501D">
        <w:t xml:space="preserve">по-малка от </w:t>
      </w:r>
      <w:r w:rsidRPr="00A9501D">
        <w:t>50 метра</w:t>
      </w:r>
      <w:r w:rsidR="00496109" w:rsidRPr="00A9501D">
        <w:t>,</w:t>
      </w:r>
      <w:r w:rsidRPr="00A9501D">
        <w:t xml:space="preserve"> и за отклоняване от минималния диаметър на основата на колониите от червени корали. От особена важност е по време на подготвителната си работа Комисията да проведе подходящи консултации, включително на експертно равнище.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Съвета.</w:t>
      </w:r>
    </w:p>
    <w:p w:rsidR="001C5064" w:rsidRPr="00A9501D" w:rsidRDefault="001A2101" w:rsidP="005D6F50">
      <w:pPr>
        <w:pStyle w:val="ManualConsidrant"/>
      </w:pPr>
      <w:r>
        <w:br w:type="page"/>
      </w:r>
      <w:r w:rsidR="001C5064" w:rsidRPr="00A9501D">
        <w:t>(</w:t>
      </w:r>
      <w:r w:rsidR="003C330A" w:rsidRPr="00A9501D">
        <w:t>14</w:t>
      </w:r>
      <w:r w:rsidR="001C5064" w:rsidRPr="00A9501D">
        <w:t>)</w:t>
      </w:r>
      <w:r w:rsidR="001C5064" w:rsidRPr="00A9501D">
        <w:tab/>
        <w:t>С цел да се гарантира, че всички дерогации, които се приемат от Комисията чрез делегиран акт в съответствие с член 290 от Договора</w:t>
      </w:r>
      <w:r w:rsidR="005F7B62" w:rsidRPr="00A9501D">
        <w:t xml:space="preserve"> </w:t>
      </w:r>
      <w:r w:rsidR="001C5064" w:rsidRPr="00A9501D">
        <w:t xml:space="preserve">и които се отнасят до управлението на събирането на червени корали, са изготвени по начин, който е съобразен с регионалните особености, държавите членки, които имат пряк управленски интерес по отношение на червените корали, следва да </w:t>
      </w:r>
      <w:r w:rsidR="005F7B62" w:rsidRPr="00A9501D">
        <w:t>могат да</w:t>
      </w:r>
      <w:r w:rsidR="001C5064" w:rsidRPr="00A9501D">
        <w:t xml:space="preserve"> представят съвместни препоръки за целите на приемането на такива делегирани актове. Следва да бъде установен краен срок за представяне</w:t>
      </w:r>
      <w:r w:rsidR="003C330A" w:rsidRPr="00A9501D">
        <w:t>то</w:t>
      </w:r>
      <w:r w:rsidR="001C5064" w:rsidRPr="00A9501D">
        <w:t xml:space="preserve"> на съвместни препоръки. По време на преходен период, водещ до представяне на съвместни препоръки за делегиран акт, </w:t>
      </w:r>
      <w:r w:rsidR="007D15F4" w:rsidRPr="00A9501D">
        <w:t xml:space="preserve">следва да се допусне </w:t>
      </w:r>
      <w:r w:rsidR="001C5064" w:rsidRPr="00A9501D">
        <w:t xml:space="preserve">държавите членки </w:t>
      </w:r>
      <w:r w:rsidR="007D15F4" w:rsidRPr="00A9501D">
        <w:t xml:space="preserve">да изготвят или поддържат дерогации </w:t>
      </w:r>
      <w:r w:rsidR="001C5064" w:rsidRPr="00A9501D">
        <w:t>в рамките на националните планове за управление за червените корали</w:t>
      </w:r>
      <w:r w:rsidR="007D15F4" w:rsidRPr="00A9501D">
        <w:t>, като преходни мерки</w:t>
      </w:r>
      <w:r w:rsidR="001C5064" w:rsidRPr="00A9501D">
        <w:t>. Когато Комисията прецени, че някоя мярка</w:t>
      </w:r>
      <w:r w:rsidR="005F7B62" w:rsidRPr="00A9501D">
        <w:t xml:space="preserve">, съдържаща </w:t>
      </w:r>
      <w:r w:rsidR="001C5064" w:rsidRPr="00A9501D">
        <w:t>дерогации, които се предоставят или изменят от държавите членки след...</w:t>
      </w:r>
      <w:r w:rsidR="00AE2750" w:rsidRPr="00A9501D">
        <w:t xml:space="preserve"> </w:t>
      </w:r>
      <w:r w:rsidR="005D6F50" w:rsidRPr="00471436">
        <w:rPr>
          <w:rStyle w:val="FootnoteReference"/>
        </w:rPr>
        <w:footnoteReference w:customMarkFollows="1" w:id="9"/>
        <w:sym w:font="Symbol" w:char="F02B"/>
      </w:r>
      <w:r w:rsidR="001C5064" w:rsidRPr="00A9501D">
        <w:t>, не отговаря на условията на препоръки GFCM/35/2011/2 и GFCM/36/2012/1, Комисията следва да може да поиска тази мярка да бъде изменена.</w:t>
      </w:r>
    </w:p>
    <w:p w:rsidR="00AE2750" w:rsidRPr="00AE2750" w:rsidRDefault="00AE2750" w:rsidP="00A9501D">
      <w:pPr>
        <w:pStyle w:val="ManualConsidrant"/>
        <w:rPr>
          <w:bCs/>
          <w:iCs/>
          <w:noProof/>
          <w:lang w:val="ru-RU"/>
        </w:rPr>
      </w:pPr>
      <w:r w:rsidRPr="00A9501D">
        <w:t>(</w:t>
      </w:r>
      <w:r w:rsidR="003C330A" w:rsidRPr="00A9501D">
        <w:t>15</w:t>
      </w:r>
      <w:r w:rsidRPr="00A9501D">
        <w:t>)</w:t>
      </w:r>
      <w:r w:rsidRPr="00A9501D">
        <w:tab/>
        <w:t>Поради това Регламент (ЕС) № 1343/2011 следва да бъде съответно изменен</w:t>
      </w:r>
      <w:r w:rsidRPr="00CF52DD">
        <w:rPr>
          <w:noProof/>
        </w:rPr>
        <w:t>,</w:t>
      </w:r>
    </w:p>
    <w:p w:rsidR="001C5064" w:rsidRPr="00CF52DD" w:rsidRDefault="001C5064" w:rsidP="001F3BA8">
      <w:pPr>
        <w:pStyle w:val="Formuledadoption"/>
        <w:rPr>
          <w:noProof/>
        </w:rPr>
      </w:pPr>
      <w:r w:rsidRPr="007B38B2">
        <w:t>ПРИЕХА</w:t>
      </w:r>
      <w:r w:rsidRPr="00CF52DD">
        <w:rPr>
          <w:noProof/>
        </w:rPr>
        <w:t xml:space="preserve"> НАСТОЯЩИЯ РЕГЛАМЕНТ:</w:t>
      </w:r>
    </w:p>
    <w:p w:rsidR="001C5064" w:rsidRPr="00A9501D" w:rsidRDefault="001A2101" w:rsidP="00A9501D">
      <w:pPr>
        <w:pStyle w:val="Titrearticle"/>
      </w:pPr>
      <w:r>
        <w:br w:type="page"/>
      </w:r>
      <w:r w:rsidR="001C5064" w:rsidRPr="00A9501D">
        <w:t>Член 1</w:t>
      </w:r>
      <w:r w:rsidR="002F155E" w:rsidRPr="00A9501D">
        <w:br/>
      </w:r>
      <w:r w:rsidR="001C5064" w:rsidRPr="00A9501D">
        <w:t>Изменения на Регламент (ЕС) № 1343/2011</w:t>
      </w:r>
    </w:p>
    <w:p w:rsidR="001C5064" w:rsidRPr="00CF52DD" w:rsidRDefault="001C5064" w:rsidP="007B38B2">
      <w:pPr>
        <w:rPr>
          <w:noProof/>
        </w:rPr>
      </w:pPr>
      <w:r w:rsidRPr="00CF52DD">
        <w:rPr>
          <w:noProof/>
        </w:rPr>
        <w:t>Регламент (ЕС) № </w:t>
      </w:r>
      <w:r w:rsidRPr="007B38B2">
        <w:t>1343</w:t>
      </w:r>
      <w:r w:rsidRPr="00CF52DD">
        <w:rPr>
          <w:noProof/>
        </w:rPr>
        <w:t>/2011 се изменя, както следва:</w:t>
      </w:r>
    </w:p>
    <w:p w:rsidR="001C5064" w:rsidRPr="00CF52DD" w:rsidRDefault="007D15F4" w:rsidP="00A9501D">
      <w:pPr>
        <w:pStyle w:val="Point0"/>
        <w:rPr>
          <w:noProof/>
        </w:rPr>
      </w:pPr>
      <w:r>
        <w:rPr>
          <w:noProof/>
        </w:rPr>
        <w:t>1)</w:t>
      </w:r>
      <w:r w:rsidR="00A9501D" w:rsidRPr="00A9501D">
        <w:rPr>
          <w:noProof/>
        </w:rPr>
        <w:tab/>
      </w:r>
      <w:r w:rsidR="001C5064" w:rsidRPr="00CF52DD">
        <w:rPr>
          <w:noProof/>
        </w:rPr>
        <w:t xml:space="preserve">Вмъква се следният </w:t>
      </w:r>
      <w:r w:rsidR="001C5064" w:rsidRPr="00A9501D">
        <w:rPr>
          <w:noProof/>
        </w:rPr>
        <w:t>член</w:t>
      </w:r>
      <w:r w:rsidR="001C5064" w:rsidRPr="00CF52DD">
        <w:rPr>
          <w:noProof/>
        </w:rPr>
        <w:t>:</w:t>
      </w:r>
    </w:p>
    <w:p w:rsidR="001C5064" w:rsidRPr="00A9501D" w:rsidRDefault="001C5064" w:rsidP="00A9501D">
      <w:pPr>
        <w:pStyle w:val="Text1"/>
        <w:rPr>
          <w:i/>
          <w:iCs/>
        </w:rPr>
      </w:pPr>
      <w:r w:rsidRPr="00A9501D">
        <w:rPr>
          <w:i/>
          <w:iCs/>
        </w:rPr>
        <w:t>„Член 15a</w:t>
      </w:r>
      <w:r w:rsidR="002F155E" w:rsidRPr="00A9501D">
        <w:rPr>
          <w:i/>
          <w:iCs/>
        </w:rPr>
        <w:br/>
      </w:r>
      <w:r w:rsidRPr="00A9501D">
        <w:rPr>
          <w:i/>
          <w:iCs/>
        </w:rPr>
        <w:t>Използване на трални мрежи и риболов с хрилни мрежи в Черно море</w:t>
      </w:r>
    </w:p>
    <w:p w:rsidR="001C5064" w:rsidRPr="00CF52DD" w:rsidRDefault="001C5064" w:rsidP="00A9501D">
      <w:pPr>
        <w:pStyle w:val="Point1"/>
        <w:rPr>
          <w:noProof/>
        </w:rPr>
      </w:pPr>
      <w:r w:rsidRPr="00CF52DD">
        <w:rPr>
          <w:noProof/>
        </w:rPr>
        <w:t>1.</w:t>
      </w:r>
      <w:r w:rsidRPr="00CF52DD">
        <w:tab/>
      </w:r>
      <w:r w:rsidRPr="00CF52DD">
        <w:rPr>
          <w:noProof/>
        </w:rPr>
        <w:t>Използването на трални мрежи се забранява: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а)</w:t>
      </w:r>
      <w:r w:rsidRPr="00A9501D">
        <w:rPr>
          <w:noProof/>
        </w:rPr>
        <w:tab/>
        <w:t xml:space="preserve">в рамките на </w:t>
      </w:r>
      <w:r w:rsidR="005F7B62" w:rsidRPr="00A9501D">
        <w:rPr>
          <w:noProof/>
        </w:rPr>
        <w:t>три</w:t>
      </w:r>
      <w:r w:rsidRPr="00A9501D">
        <w:rPr>
          <w:noProof/>
        </w:rPr>
        <w:t> морски мили от бреговата линия, при условие че не е достигната 50-метровата изобата; или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б)</w:t>
      </w:r>
      <w:r w:rsidRPr="00A9501D">
        <w:rPr>
          <w:noProof/>
        </w:rPr>
        <w:tab/>
        <w:t>в рамките на 50-метровата изобата, когато дълбочината от 50 метра се достига на по-късо разстояние от брега.</w:t>
      </w:r>
    </w:p>
    <w:p w:rsidR="001C5064" w:rsidRPr="00A9501D" w:rsidRDefault="003C330A" w:rsidP="00A9501D">
      <w:pPr>
        <w:pStyle w:val="Point1"/>
        <w:rPr>
          <w:noProof/>
        </w:rPr>
      </w:pPr>
      <w:r w:rsidRPr="00A9501D">
        <w:rPr>
          <w:noProof/>
        </w:rPr>
        <w:t>2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5F7B62" w:rsidRPr="00A9501D">
        <w:rPr>
          <w:noProof/>
        </w:rPr>
        <w:t>Д</w:t>
      </w:r>
      <w:r w:rsidR="001C5064" w:rsidRPr="00A9501D">
        <w:rPr>
          <w:noProof/>
        </w:rPr>
        <w:t>ържав</w:t>
      </w:r>
      <w:r w:rsidR="005F7B62" w:rsidRPr="00A9501D">
        <w:rPr>
          <w:noProof/>
        </w:rPr>
        <w:t>ите</w:t>
      </w:r>
      <w:r w:rsidR="001C5064" w:rsidRPr="00A9501D">
        <w:rPr>
          <w:noProof/>
        </w:rPr>
        <w:t xml:space="preserve"> членк</w:t>
      </w:r>
      <w:r w:rsidR="005F7B62" w:rsidRPr="00A9501D">
        <w:rPr>
          <w:noProof/>
        </w:rPr>
        <w:t>и</w:t>
      </w:r>
      <w:r w:rsidR="001C5064" w:rsidRPr="00A9501D">
        <w:rPr>
          <w:noProof/>
        </w:rPr>
        <w:t xml:space="preserve"> мо</w:t>
      </w:r>
      <w:r w:rsidR="005F7B62" w:rsidRPr="00A9501D">
        <w:rPr>
          <w:noProof/>
        </w:rPr>
        <w:t>гат</w:t>
      </w:r>
      <w:r w:rsidR="001C5064" w:rsidRPr="00A9501D">
        <w:rPr>
          <w:noProof/>
        </w:rPr>
        <w:t xml:space="preserve"> по изключение да разреш</w:t>
      </w:r>
      <w:r w:rsidR="005F7B62" w:rsidRPr="00A9501D">
        <w:rPr>
          <w:noProof/>
        </w:rPr>
        <w:t>ат</w:t>
      </w:r>
      <w:r w:rsidR="001C5064" w:rsidRPr="00A9501D">
        <w:rPr>
          <w:noProof/>
        </w:rPr>
        <w:t xml:space="preserve"> на своите риболовни кораби да извършват риболов в зоната, посочена в параграф 1, чрез предоставяне на дерогации в съответствие с </w:t>
      </w:r>
      <w:r w:rsidR="007C4BBF" w:rsidRPr="00A9501D">
        <w:rPr>
          <w:noProof/>
        </w:rPr>
        <w:t xml:space="preserve">Препоръка </w:t>
      </w:r>
      <w:r w:rsidR="001C5064" w:rsidRPr="00A9501D">
        <w:rPr>
          <w:noProof/>
        </w:rPr>
        <w:t>GFCM/36/2012/3, при условие че надлежно информира</w:t>
      </w:r>
      <w:r w:rsidR="005F7B62" w:rsidRPr="00A9501D">
        <w:rPr>
          <w:noProof/>
        </w:rPr>
        <w:t>т</w:t>
      </w:r>
      <w:r w:rsidR="001C5064" w:rsidRPr="00A9501D">
        <w:rPr>
          <w:noProof/>
        </w:rPr>
        <w:t xml:space="preserve"> Комисията за всяка такава дерогация.</w:t>
      </w:r>
    </w:p>
    <w:p w:rsidR="001C5064" w:rsidRPr="00A9501D" w:rsidRDefault="00024998" w:rsidP="00A9501D">
      <w:pPr>
        <w:pStyle w:val="Point1"/>
        <w:rPr>
          <w:noProof/>
        </w:rPr>
      </w:pPr>
      <w:r w:rsidRPr="00A9501D">
        <w:rPr>
          <w:noProof/>
        </w:rPr>
        <w:t>3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1C5064" w:rsidRPr="00A9501D">
        <w:rPr>
          <w:noProof/>
        </w:rPr>
        <w:t>Когато Комисията счита, че дадена дерогация, предоставена в съответствие с параграф </w:t>
      </w:r>
      <w:r w:rsidR="003C330A" w:rsidRPr="00A9501D">
        <w:rPr>
          <w:noProof/>
        </w:rPr>
        <w:t>2</w:t>
      </w:r>
      <w:r w:rsidR="001C5064" w:rsidRPr="00A9501D">
        <w:rPr>
          <w:noProof/>
        </w:rPr>
        <w:t xml:space="preserve">, не отговаря на условието, посочено в същия параграф, тя може, след </w:t>
      </w:r>
      <w:r w:rsidR="008C608C" w:rsidRPr="00A9501D">
        <w:rPr>
          <w:noProof/>
        </w:rPr>
        <w:t>излагане на съответните мотиви</w:t>
      </w:r>
      <w:r w:rsidR="00C36F29" w:rsidRPr="00A9501D">
        <w:rPr>
          <w:noProof/>
        </w:rPr>
        <w:t xml:space="preserve"> </w:t>
      </w:r>
      <w:r w:rsidR="001C5064" w:rsidRPr="00A9501D">
        <w:rPr>
          <w:noProof/>
        </w:rPr>
        <w:t xml:space="preserve">и след </w:t>
      </w:r>
      <w:r w:rsidR="00C36F29" w:rsidRPr="00A9501D">
        <w:rPr>
          <w:noProof/>
        </w:rPr>
        <w:t xml:space="preserve">консултация </w:t>
      </w:r>
      <w:r w:rsidR="001C5064" w:rsidRPr="00A9501D">
        <w:rPr>
          <w:noProof/>
        </w:rPr>
        <w:t xml:space="preserve">със съответната държава членка, да поиска от нея да измени </w:t>
      </w:r>
      <w:r w:rsidR="005F7B62" w:rsidRPr="00A9501D">
        <w:rPr>
          <w:noProof/>
        </w:rPr>
        <w:t xml:space="preserve">посочената </w:t>
      </w:r>
      <w:r w:rsidR="001C5064" w:rsidRPr="00A9501D">
        <w:rPr>
          <w:noProof/>
        </w:rPr>
        <w:t>дерогация.</w:t>
      </w:r>
    </w:p>
    <w:p w:rsidR="001C5064" w:rsidRPr="00A9501D" w:rsidRDefault="001A2101" w:rsidP="00A9501D">
      <w:pPr>
        <w:pStyle w:val="Point1"/>
        <w:rPr>
          <w:noProof/>
        </w:rPr>
      </w:pPr>
      <w:r>
        <w:rPr>
          <w:noProof/>
        </w:rPr>
        <w:br w:type="page"/>
      </w:r>
      <w:r w:rsidR="003C330A" w:rsidRPr="00A9501D">
        <w:rPr>
          <w:noProof/>
        </w:rPr>
        <w:t>4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1C5064" w:rsidRPr="00A9501D">
        <w:rPr>
          <w:noProof/>
        </w:rPr>
        <w:t xml:space="preserve">Комисията уведомява изпълнителния секретар на GFCM за </w:t>
      </w:r>
      <w:r w:rsidR="00C36F29" w:rsidRPr="00A9501D">
        <w:rPr>
          <w:noProof/>
        </w:rPr>
        <w:t xml:space="preserve">всякакви </w:t>
      </w:r>
      <w:r w:rsidR="001C5064" w:rsidRPr="00A9501D">
        <w:rPr>
          <w:noProof/>
        </w:rPr>
        <w:t>дерогации, предоставени съгласно параграф </w:t>
      </w:r>
      <w:r w:rsidR="003C330A" w:rsidRPr="00A9501D">
        <w:rPr>
          <w:noProof/>
        </w:rPr>
        <w:t>2</w:t>
      </w:r>
      <w:r w:rsidR="001C5064" w:rsidRPr="00A9501D">
        <w:rPr>
          <w:noProof/>
        </w:rPr>
        <w:t>.</w:t>
      </w:r>
    </w:p>
    <w:p w:rsidR="001C5064" w:rsidRPr="00A9501D" w:rsidRDefault="00856C59" w:rsidP="00A9501D">
      <w:pPr>
        <w:pStyle w:val="Point1"/>
        <w:rPr>
          <w:noProof/>
        </w:rPr>
      </w:pPr>
      <w:r w:rsidRPr="00A9501D">
        <w:rPr>
          <w:noProof/>
        </w:rPr>
        <w:t>5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1C5064" w:rsidRPr="00A9501D">
        <w:rPr>
          <w:noProof/>
        </w:rPr>
        <w:t>От 1 януари 2015 г. диаметърът на монофиламента или влакното на дънните хрилни мрежи не може да надхвърля 0,5 mm.“;</w:t>
      </w:r>
    </w:p>
    <w:p w:rsidR="001C5064" w:rsidRPr="00A9501D" w:rsidRDefault="00C36F29" w:rsidP="00A9501D">
      <w:pPr>
        <w:pStyle w:val="Point0"/>
        <w:rPr>
          <w:noProof/>
        </w:rPr>
      </w:pPr>
      <w:r w:rsidRPr="00A9501D">
        <w:rPr>
          <w:noProof/>
        </w:rPr>
        <w:t>2)</w:t>
      </w:r>
      <w:r w:rsidR="00A9501D" w:rsidRPr="00CC404F">
        <w:rPr>
          <w:noProof/>
          <w:lang w:val="ru-RU"/>
        </w:rPr>
        <w:tab/>
      </w:r>
      <w:r w:rsidR="001C5064" w:rsidRPr="00A9501D">
        <w:rPr>
          <w:noProof/>
        </w:rPr>
        <w:t>В дял ІІ се добавят следните глави:</w:t>
      </w:r>
    </w:p>
    <w:p w:rsidR="001C5064" w:rsidRPr="00A9501D" w:rsidRDefault="001C5064" w:rsidP="002F155E">
      <w:pPr>
        <w:pStyle w:val="Text1"/>
        <w:rPr>
          <w:noProof/>
        </w:rPr>
      </w:pPr>
      <w:r w:rsidRPr="00A9501D">
        <w:rPr>
          <w:noProof/>
        </w:rPr>
        <w:t>„</w:t>
      </w:r>
      <w:r w:rsidR="00A9501D" w:rsidRPr="00A9501D">
        <w:rPr>
          <w:noProof/>
        </w:rPr>
        <w:t>ГЛАВА IV</w:t>
      </w:r>
      <w:r w:rsidR="00A9501D" w:rsidRPr="00A9501D">
        <w:rPr>
          <w:noProof/>
        </w:rPr>
        <w:br/>
        <w:t>ОПАЗВАНЕ И УСТОЙЧИВА ЕКСПЛОАТАЦИЯ НА ЧЕРВЕНИТЕ КОРАЛИ</w:t>
      </w:r>
    </w:p>
    <w:p w:rsidR="001C5064" w:rsidRPr="002F155E" w:rsidRDefault="001C5064" w:rsidP="002F155E">
      <w:pPr>
        <w:pStyle w:val="Text1"/>
        <w:rPr>
          <w:i/>
          <w:iCs/>
          <w:noProof/>
        </w:rPr>
      </w:pPr>
      <w:r w:rsidRPr="002F155E">
        <w:rPr>
          <w:i/>
          <w:iCs/>
          <w:noProof/>
        </w:rPr>
        <w:t>Член 16a</w:t>
      </w:r>
      <w:r w:rsidR="002F155E" w:rsidRPr="002F155E">
        <w:rPr>
          <w:i/>
          <w:iCs/>
          <w:noProof/>
        </w:rPr>
        <w:br/>
      </w:r>
      <w:r w:rsidRPr="002F155E">
        <w:rPr>
          <w:i/>
          <w:iCs/>
          <w:noProof/>
        </w:rPr>
        <w:t>Приложно поле</w:t>
      </w:r>
    </w:p>
    <w:p w:rsidR="001C5064" w:rsidRPr="00CF52DD" w:rsidRDefault="001C5064" w:rsidP="00A9501D">
      <w:pPr>
        <w:pStyle w:val="Text1"/>
        <w:rPr>
          <w:noProof/>
        </w:rPr>
      </w:pPr>
      <w:r w:rsidRPr="00A9501D">
        <w:t>Настоящата глава се прилага, без да се засягат член 4, параграф 2 и член 8, параграф 1, букви д) и ж) от Регламент (ЕО) № 1967/2006 или евентуалните по-строги мерки, произтичащи от Директива 92/43/ЕИО на Съвета</w:t>
      </w:r>
      <w:r w:rsidRPr="007B38B2">
        <w:rPr>
          <w:b/>
          <w:bCs/>
          <w:noProof/>
          <w:vertAlign w:val="superscript"/>
        </w:rPr>
        <w:t>*</w:t>
      </w:r>
      <w:r w:rsidRPr="00CF52DD">
        <w:rPr>
          <w:noProof/>
        </w:rPr>
        <w:t>.</w:t>
      </w:r>
    </w:p>
    <w:p w:rsidR="001C5064" w:rsidRPr="002F155E" w:rsidRDefault="001C5064" w:rsidP="002F155E">
      <w:pPr>
        <w:pStyle w:val="Text1"/>
        <w:rPr>
          <w:i/>
          <w:iCs/>
          <w:noProof/>
        </w:rPr>
      </w:pPr>
      <w:r w:rsidRPr="002F155E">
        <w:rPr>
          <w:i/>
          <w:iCs/>
          <w:noProof/>
        </w:rPr>
        <w:t>Член 16б</w:t>
      </w:r>
      <w:r w:rsidR="002F155E" w:rsidRPr="002F155E">
        <w:rPr>
          <w:i/>
          <w:iCs/>
          <w:noProof/>
        </w:rPr>
        <w:br/>
      </w:r>
      <w:r w:rsidRPr="002F155E">
        <w:rPr>
          <w:i/>
          <w:iCs/>
          <w:noProof/>
        </w:rPr>
        <w:t>Минимална дълбочина на събиране</w:t>
      </w:r>
    </w:p>
    <w:p w:rsidR="001C5064" w:rsidRPr="00A9501D" w:rsidRDefault="001C5064" w:rsidP="00A9501D">
      <w:pPr>
        <w:pStyle w:val="Point1"/>
        <w:rPr>
          <w:noProof/>
        </w:rPr>
      </w:pPr>
      <w:r w:rsidRPr="00A9501D">
        <w:rPr>
          <w:noProof/>
        </w:rPr>
        <w:t>1.</w:t>
      </w:r>
      <w:r w:rsidRPr="00CF52DD">
        <w:rPr>
          <w:noProof/>
        </w:rPr>
        <w:tab/>
      </w:r>
      <w:r w:rsidRPr="00A9501D">
        <w:rPr>
          <w:noProof/>
        </w:rPr>
        <w:t>Забранява се събирането на червени корали на дълбочина, по-малка от 50 метра</w:t>
      </w:r>
      <w:r w:rsidR="00C36F29" w:rsidRPr="00A9501D">
        <w:rPr>
          <w:noProof/>
        </w:rPr>
        <w:t>,</w:t>
      </w:r>
      <w:r w:rsidRPr="00A9501D">
        <w:rPr>
          <w:noProof/>
        </w:rPr>
        <w:t xml:space="preserve"> </w:t>
      </w:r>
      <w:r w:rsidR="00C36F29" w:rsidRPr="00A9501D">
        <w:rPr>
          <w:noProof/>
        </w:rPr>
        <w:t>докато</w:t>
      </w:r>
      <w:r w:rsidRPr="00A9501D">
        <w:rPr>
          <w:noProof/>
        </w:rPr>
        <w:t xml:space="preserve"> GFCM </w:t>
      </w:r>
      <w:r w:rsidR="00C36F29" w:rsidRPr="00A9501D">
        <w:rPr>
          <w:noProof/>
        </w:rPr>
        <w:t>не посочи</w:t>
      </w:r>
      <w:r w:rsidRPr="00A9501D">
        <w:rPr>
          <w:noProof/>
        </w:rPr>
        <w:t xml:space="preserve"> друго.</w:t>
      </w:r>
    </w:p>
    <w:p w:rsidR="001C5064" w:rsidRPr="00A9501D" w:rsidRDefault="001A2101" w:rsidP="00A9501D">
      <w:pPr>
        <w:pStyle w:val="Point1"/>
        <w:rPr>
          <w:noProof/>
        </w:rPr>
      </w:pPr>
      <w:r>
        <w:rPr>
          <w:noProof/>
        </w:rPr>
        <w:br w:type="page"/>
      </w:r>
      <w:r w:rsidR="001C5064" w:rsidRPr="00A9501D">
        <w:rPr>
          <w:noProof/>
        </w:rPr>
        <w:t>2.</w:t>
      </w:r>
      <w:r w:rsidR="001C5064" w:rsidRPr="00CF52DD">
        <w:rPr>
          <w:noProof/>
        </w:rPr>
        <w:tab/>
      </w:r>
      <w:r w:rsidR="00C36F29">
        <w:rPr>
          <w:noProof/>
        </w:rPr>
        <w:t xml:space="preserve">На </w:t>
      </w:r>
      <w:r w:rsidR="001C5064" w:rsidRPr="00A9501D">
        <w:rPr>
          <w:noProof/>
        </w:rPr>
        <w:t xml:space="preserve">Комисията се </w:t>
      </w:r>
      <w:r w:rsidR="00C36F29" w:rsidRPr="00A9501D">
        <w:rPr>
          <w:noProof/>
        </w:rPr>
        <w:t xml:space="preserve">предоставя правомощието </w:t>
      </w:r>
      <w:r w:rsidR="001C5064" w:rsidRPr="00A9501D">
        <w:rPr>
          <w:noProof/>
        </w:rPr>
        <w:t>да приема делегирани актове в съответствие с член 27 от настоящия регламент и член 18, параграфи 1—6 от Регламент (ЕС) № 1380/2013 на Европейския парламент и на Съвета</w:t>
      </w:r>
      <w:r w:rsidR="001C5064" w:rsidRPr="007B38B2">
        <w:rPr>
          <w:b/>
          <w:bCs/>
          <w:noProof/>
          <w:vertAlign w:val="superscript"/>
        </w:rPr>
        <w:t>**</w:t>
      </w:r>
      <w:r w:rsidR="00277101" w:rsidRPr="00A9501D">
        <w:rPr>
          <w:noProof/>
        </w:rPr>
        <w:t>,</w:t>
      </w:r>
      <w:r w:rsidR="001C5064" w:rsidRPr="00A9501D">
        <w:rPr>
          <w:noProof/>
        </w:rPr>
        <w:t xml:space="preserve"> за </w:t>
      </w:r>
      <w:r w:rsidR="00277101" w:rsidRPr="00A9501D">
        <w:rPr>
          <w:noProof/>
        </w:rPr>
        <w:t xml:space="preserve">да </w:t>
      </w:r>
      <w:r w:rsidR="001C5064" w:rsidRPr="00A9501D">
        <w:rPr>
          <w:noProof/>
        </w:rPr>
        <w:t>предостав</w:t>
      </w:r>
      <w:r w:rsidR="007C4BBF" w:rsidRPr="00A9501D">
        <w:rPr>
          <w:noProof/>
        </w:rPr>
        <w:t xml:space="preserve">и </w:t>
      </w:r>
      <w:r w:rsidR="001C5064" w:rsidRPr="00A9501D">
        <w:rPr>
          <w:noProof/>
        </w:rPr>
        <w:t>дерогации от параграф 1.</w:t>
      </w:r>
    </w:p>
    <w:p w:rsidR="001C5064" w:rsidRPr="00A9501D" w:rsidRDefault="001C5064" w:rsidP="00A9501D">
      <w:pPr>
        <w:pStyle w:val="Point1"/>
        <w:rPr>
          <w:noProof/>
        </w:rPr>
      </w:pPr>
      <w:r w:rsidRPr="00A9501D">
        <w:rPr>
          <w:noProof/>
        </w:rPr>
        <w:t>3.</w:t>
      </w:r>
      <w:r w:rsidRPr="00CF52DD">
        <w:rPr>
          <w:noProof/>
        </w:rPr>
        <w:tab/>
      </w:r>
      <w:r w:rsidRPr="00A9501D">
        <w:rPr>
          <w:noProof/>
        </w:rPr>
        <w:t xml:space="preserve">Съвместните препоръки, които </w:t>
      </w:r>
      <w:r w:rsidR="00C36F29" w:rsidRPr="00A9501D">
        <w:rPr>
          <w:noProof/>
        </w:rPr>
        <w:t>се представят</w:t>
      </w:r>
      <w:r w:rsidRPr="00A9501D">
        <w:rPr>
          <w:noProof/>
        </w:rPr>
        <w:t xml:space="preserve"> в съответствие с член 18, параграф 1 от Регламент (ЕС) № 1380/2013 с </w:t>
      </w:r>
      <w:r w:rsidR="00EA528A" w:rsidRPr="00A9501D">
        <w:rPr>
          <w:noProof/>
        </w:rPr>
        <w:t xml:space="preserve">цел </w:t>
      </w:r>
      <w:r w:rsidR="00277101" w:rsidRPr="00A9501D">
        <w:rPr>
          <w:noProof/>
        </w:rPr>
        <w:t xml:space="preserve">предоставяне на </w:t>
      </w:r>
      <w:r w:rsidR="00C36F29" w:rsidRPr="00A9501D">
        <w:rPr>
          <w:noProof/>
        </w:rPr>
        <w:t>дерогаци</w:t>
      </w:r>
      <w:r w:rsidR="007C4BBF" w:rsidRPr="00A9501D">
        <w:rPr>
          <w:noProof/>
        </w:rPr>
        <w:t>я</w:t>
      </w:r>
      <w:r w:rsidR="003C330A" w:rsidRPr="00A9501D">
        <w:rPr>
          <w:noProof/>
        </w:rPr>
        <w:t xml:space="preserve"> по</w:t>
      </w:r>
      <w:r w:rsidRPr="00A9501D">
        <w:rPr>
          <w:noProof/>
        </w:rPr>
        <w:t xml:space="preserve"> параграф 2 от настоящия член, се придружават от: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а)</w:t>
      </w:r>
      <w:r w:rsidRPr="00A9501D">
        <w:rPr>
          <w:noProof/>
        </w:rPr>
        <w:tab/>
        <w:t>подробна информация за националната рамка за управление;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б)</w:t>
      </w:r>
      <w:r w:rsidRPr="00A9501D">
        <w:rPr>
          <w:noProof/>
        </w:rPr>
        <w:tab/>
        <w:t>научните или техническите обосновки;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в)</w:t>
      </w:r>
      <w:r w:rsidRPr="00A9501D">
        <w:rPr>
          <w:noProof/>
        </w:rPr>
        <w:tab/>
        <w:t xml:space="preserve">списъка </w:t>
      </w:r>
      <w:r w:rsidR="003A505F" w:rsidRPr="00A9501D">
        <w:rPr>
          <w:noProof/>
        </w:rPr>
        <w:t xml:space="preserve">на </w:t>
      </w:r>
      <w:r w:rsidRPr="00A9501D">
        <w:rPr>
          <w:noProof/>
        </w:rPr>
        <w:t xml:space="preserve">риболовните кораби или броя </w:t>
      </w:r>
      <w:r w:rsidR="00277101" w:rsidRPr="00A9501D">
        <w:rPr>
          <w:noProof/>
        </w:rPr>
        <w:t xml:space="preserve">предоставени </w:t>
      </w:r>
      <w:r w:rsidRPr="00A9501D">
        <w:rPr>
          <w:noProof/>
        </w:rPr>
        <w:t xml:space="preserve">разрешения </w:t>
      </w:r>
      <w:r w:rsidR="00277101" w:rsidRPr="00A9501D">
        <w:rPr>
          <w:noProof/>
        </w:rPr>
        <w:t>относно</w:t>
      </w:r>
      <w:r w:rsidRPr="00A9501D">
        <w:rPr>
          <w:noProof/>
        </w:rPr>
        <w:t xml:space="preserve"> събиране</w:t>
      </w:r>
      <w:r w:rsidR="00277101" w:rsidRPr="00A9501D">
        <w:rPr>
          <w:noProof/>
        </w:rPr>
        <w:t>то</w:t>
      </w:r>
      <w:r w:rsidRPr="00A9501D">
        <w:rPr>
          <w:noProof/>
        </w:rPr>
        <w:t xml:space="preserve"> на червени корали на дълбочина, по-малка от 50 метра; и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г)</w:t>
      </w:r>
      <w:r w:rsidRPr="00A9501D">
        <w:rPr>
          <w:noProof/>
        </w:rPr>
        <w:tab/>
        <w:t xml:space="preserve">списъка </w:t>
      </w:r>
      <w:r w:rsidR="003A505F" w:rsidRPr="00A9501D">
        <w:rPr>
          <w:noProof/>
        </w:rPr>
        <w:t xml:space="preserve">на </w:t>
      </w:r>
      <w:r w:rsidRPr="00A9501D">
        <w:rPr>
          <w:noProof/>
        </w:rPr>
        <w:t>риболовните зони, в които е разрешено извършването на т</w:t>
      </w:r>
      <w:r w:rsidR="00277101" w:rsidRPr="00A9501D">
        <w:rPr>
          <w:noProof/>
        </w:rPr>
        <w:t>акова събиране</w:t>
      </w:r>
      <w:r w:rsidRPr="00A9501D">
        <w:rPr>
          <w:noProof/>
        </w:rPr>
        <w:t>, определени посредством географски координати на сушата и в морето.</w:t>
      </w:r>
    </w:p>
    <w:p w:rsidR="001C5064" w:rsidRPr="00CF52DD" w:rsidRDefault="001C5064" w:rsidP="00A9501D">
      <w:pPr>
        <w:pStyle w:val="Text2"/>
        <w:rPr>
          <w:rFonts w:eastAsia="Calibri"/>
          <w:bCs/>
          <w:iCs/>
        </w:rPr>
      </w:pPr>
      <w:r w:rsidRPr="00CF52DD">
        <w:t>Всяка</w:t>
      </w:r>
      <w:r w:rsidR="00C36F29">
        <w:t>кви</w:t>
      </w:r>
      <w:r w:rsidRPr="00CF52DD">
        <w:t xml:space="preserve"> съвместн</w:t>
      </w:r>
      <w:r w:rsidR="00C36F29">
        <w:t>и</w:t>
      </w:r>
      <w:r w:rsidRPr="00CF52DD">
        <w:t xml:space="preserve"> препорък</w:t>
      </w:r>
      <w:r w:rsidR="00C36F29">
        <w:t>и</w:t>
      </w:r>
      <w:r w:rsidRPr="00CF52DD">
        <w:t xml:space="preserve"> от страна на държавите членки, </w:t>
      </w:r>
      <w:r w:rsidR="00C36F29" w:rsidRPr="00CF52DD">
        <w:t>посочен</w:t>
      </w:r>
      <w:r w:rsidR="00C36F29">
        <w:t>и</w:t>
      </w:r>
      <w:r w:rsidR="00C36F29" w:rsidRPr="00CF52DD">
        <w:t xml:space="preserve"> </w:t>
      </w:r>
      <w:r w:rsidRPr="00CF52DD">
        <w:t>в първа алинея, се представя</w:t>
      </w:r>
      <w:r w:rsidR="00C36F29">
        <w:t>т</w:t>
      </w:r>
      <w:r w:rsidRPr="00CF52DD">
        <w:t xml:space="preserve"> до</w:t>
      </w:r>
      <w:r w:rsidR="00A9501D">
        <w:t xml:space="preserve"> </w:t>
      </w:r>
      <w:r w:rsidRPr="00CF52DD">
        <w:t>...</w:t>
      </w:r>
      <w:r w:rsidR="00AE2750" w:rsidRPr="00AE2750">
        <w:rPr>
          <w:rFonts w:eastAsia="Calibri"/>
          <w:bCs/>
          <w:iCs/>
        </w:rPr>
        <w:t xml:space="preserve"> </w:t>
      </w:r>
      <w:r w:rsidR="00AE2750" w:rsidRPr="00A9501D">
        <w:rPr>
          <w:rStyle w:val="FootnoteReference"/>
          <w:rFonts w:asciiTheme="majorBidi" w:eastAsia="Calibri" w:hAnsiTheme="majorBidi" w:cstheme="majorBidi"/>
          <w:bCs/>
        </w:rPr>
        <w:footnoteReference w:customMarkFollows="1" w:id="10"/>
        <w:sym w:font="Symbol" w:char="F02B"/>
      </w:r>
      <w:r w:rsidR="00C36F29" w:rsidRPr="00AE2750">
        <w:rPr>
          <w:rFonts w:eastAsia="Calibri"/>
          <w:bCs/>
          <w:iCs/>
        </w:rPr>
        <w:t>.</w:t>
      </w:r>
    </w:p>
    <w:p w:rsidR="001C5064" w:rsidRPr="00A9501D" w:rsidRDefault="001A2101" w:rsidP="00A9501D">
      <w:pPr>
        <w:pStyle w:val="Point1"/>
        <w:rPr>
          <w:noProof/>
        </w:rPr>
      </w:pPr>
      <w:r>
        <w:rPr>
          <w:noProof/>
        </w:rPr>
        <w:br w:type="page"/>
      </w:r>
      <w:r w:rsidR="00AE2750" w:rsidRPr="00A9501D">
        <w:rPr>
          <w:noProof/>
        </w:rPr>
        <w:t>4</w:t>
      </w:r>
      <w:r w:rsidR="00AE2750" w:rsidRPr="00A9501D">
        <w:rPr>
          <w:noProof/>
        </w:rPr>
        <w:tab/>
      </w:r>
      <w:r w:rsidR="001C5064" w:rsidRPr="00A9501D">
        <w:rPr>
          <w:noProof/>
        </w:rPr>
        <w:t>Дерогациите, посочени в параграф 2 от настоящия член, се предоставят</w:t>
      </w:r>
      <w:r w:rsidR="00C36F29" w:rsidRPr="00A9501D">
        <w:rPr>
          <w:noProof/>
        </w:rPr>
        <w:t>,</w:t>
      </w:r>
      <w:r w:rsidR="001C5064" w:rsidRPr="00A9501D">
        <w:rPr>
          <w:noProof/>
        </w:rPr>
        <w:t xml:space="preserve"> ако са спазени следните условия:</w:t>
      </w:r>
    </w:p>
    <w:p w:rsidR="001C5064" w:rsidRPr="00A9501D" w:rsidRDefault="001C5064" w:rsidP="00996B1A">
      <w:pPr>
        <w:pStyle w:val="Point2"/>
        <w:rPr>
          <w:noProof/>
        </w:rPr>
      </w:pPr>
      <w:r w:rsidRPr="00A9501D">
        <w:rPr>
          <w:noProof/>
        </w:rPr>
        <w:t>a)</w:t>
      </w:r>
      <w:r w:rsidRPr="00CF52DD">
        <w:rPr>
          <w:noProof/>
        </w:rPr>
        <w:tab/>
      </w:r>
      <w:r w:rsidR="00C36F29" w:rsidRPr="00A9501D">
        <w:rPr>
          <w:noProof/>
        </w:rPr>
        <w:t>съществува</w:t>
      </w:r>
      <w:r w:rsidRPr="00A9501D">
        <w:rPr>
          <w:noProof/>
        </w:rPr>
        <w:t xml:space="preserve"> подходяща национална рамка за управление, включителн</w:t>
      </w:r>
      <w:r w:rsidRPr="00D95AA3">
        <w:rPr>
          <w:noProof/>
        </w:rPr>
        <w:t>о схема за разрешения за риболов в</w:t>
      </w:r>
      <w:r w:rsidRPr="00A9501D">
        <w:rPr>
          <w:noProof/>
        </w:rPr>
        <w:t xml:space="preserve"> съответствие с член 7 от Регламент (ЕО) № 1224/2009</w:t>
      </w:r>
      <w:r w:rsidRPr="007B38B2">
        <w:rPr>
          <w:b/>
          <w:bCs/>
          <w:noProof/>
          <w:vertAlign w:val="superscript"/>
        </w:rPr>
        <w:t>***</w:t>
      </w:r>
      <w:r w:rsidRPr="00A9501D">
        <w:rPr>
          <w:noProof/>
        </w:rPr>
        <w:t>;</w:t>
      </w:r>
      <w:r w:rsidR="00C27622" w:rsidRPr="00A9501D">
        <w:rPr>
          <w:noProof/>
        </w:rPr>
        <w:t xml:space="preserve"> </w:t>
      </w:r>
      <w:r w:rsidRPr="00A9501D">
        <w:rPr>
          <w:noProof/>
        </w:rPr>
        <w:t>и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б)</w:t>
      </w:r>
      <w:r w:rsidRPr="003C330A">
        <w:rPr>
          <w:noProof/>
        </w:rPr>
        <w:tab/>
      </w:r>
      <w:r w:rsidRPr="00A9501D">
        <w:rPr>
          <w:noProof/>
        </w:rPr>
        <w:t>използват се подходящи пространствено-времеви забрани, които гарантират експлоатацията само на ограничен брой колонии от червени корали.</w:t>
      </w:r>
    </w:p>
    <w:p w:rsidR="001C5064" w:rsidRPr="00A9501D" w:rsidRDefault="003C330A" w:rsidP="00A9501D">
      <w:pPr>
        <w:pStyle w:val="Point1"/>
        <w:rPr>
          <w:noProof/>
        </w:rPr>
      </w:pPr>
      <w:r w:rsidRPr="00A9501D">
        <w:rPr>
          <w:noProof/>
        </w:rPr>
        <w:t>5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1C5064" w:rsidRPr="00A9501D">
        <w:rPr>
          <w:noProof/>
        </w:rPr>
        <w:t xml:space="preserve">Независимо от параграфи 2—4 и като преходна мярка, държавите членки могат да приемат мерки за </w:t>
      </w:r>
      <w:r w:rsidR="00C36F29" w:rsidRPr="00A9501D">
        <w:rPr>
          <w:noProof/>
        </w:rPr>
        <w:t xml:space="preserve">изпълнението </w:t>
      </w:r>
      <w:r w:rsidR="001C5064" w:rsidRPr="00A9501D">
        <w:rPr>
          <w:noProof/>
        </w:rPr>
        <w:t xml:space="preserve">на </w:t>
      </w:r>
      <w:r w:rsidR="007C4BBF" w:rsidRPr="00A9501D">
        <w:rPr>
          <w:noProof/>
        </w:rPr>
        <w:t xml:space="preserve">Препоръка </w:t>
      </w:r>
      <w:r w:rsidR="001C5064" w:rsidRPr="00A9501D">
        <w:rPr>
          <w:noProof/>
        </w:rPr>
        <w:t>GFCM/35/2011/2, при условие че: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a)</w:t>
      </w:r>
      <w:r w:rsidRPr="00CF52DD">
        <w:rPr>
          <w:noProof/>
        </w:rPr>
        <w:tab/>
      </w:r>
      <w:r w:rsidRPr="00A9501D">
        <w:rPr>
          <w:noProof/>
        </w:rPr>
        <w:t>тези мерки представляват част от подходяща национална рамка за управление; и</w:t>
      </w:r>
    </w:p>
    <w:p w:rsidR="001C5064" w:rsidRPr="00A9501D" w:rsidRDefault="001C5064" w:rsidP="00A9501D">
      <w:pPr>
        <w:pStyle w:val="Point2"/>
        <w:rPr>
          <w:noProof/>
        </w:rPr>
      </w:pPr>
      <w:r w:rsidRPr="00A9501D">
        <w:rPr>
          <w:noProof/>
        </w:rPr>
        <w:t>б)</w:t>
      </w:r>
      <w:r w:rsidRPr="00CF52DD">
        <w:rPr>
          <w:noProof/>
        </w:rPr>
        <w:tab/>
      </w:r>
      <w:r w:rsidR="00C36F29" w:rsidRPr="00A9501D">
        <w:rPr>
          <w:noProof/>
        </w:rPr>
        <w:t xml:space="preserve">съответната </w:t>
      </w:r>
      <w:r w:rsidRPr="00A9501D">
        <w:rPr>
          <w:noProof/>
        </w:rPr>
        <w:t>държава членка надлежно уведомява Комисията за приемането на тези мерки.</w:t>
      </w:r>
    </w:p>
    <w:p w:rsidR="001C5064" w:rsidRPr="00CF52DD" w:rsidRDefault="00641B4A" w:rsidP="00A9501D">
      <w:pPr>
        <w:pStyle w:val="Text2"/>
        <w:rPr>
          <w:noProof/>
        </w:rPr>
      </w:pPr>
      <w:r>
        <w:t>Съответните</w:t>
      </w:r>
      <w:r w:rsidR="001C5064" w:rsidRPr="00CF52DD">
        <w:t xml:space="preserve"> държави членки гарантират, че всички дерогации спират да се прилагат не по-късно от </w:t>
      </w:r>
      <w:r w:rsidR="00C36F29">
        <w:t xml:space="preserve">началната </w:t>
      </w:r>
      <w:r w:rsidR="001C5064" w:rsidRPr="00CF52DD">
        <w:t>дата на прилагане на съответния делегиран акт, приет в съответствие с параграф 2.</w:t>
      </w:r>
    </w:p>
    <w:p w:rsidR="001C5064" w:rsidRPr="00A9501D" w:rsidRDefault="001A2101" w:rsidP="00527983">
      <w:pPr>
        <w:pStyle w:val="Point1"/>
        <w:rPr>
          <w:noProof/>
        </w:rPr>
      </w:pPr>
      <w:r>
        <w:rPr>
          <w:noProof/>
        </w:rPr>
        <w:br w:type="page"/>
      </w:r>
      <w:r w:rsidR="003C330A" w:rsidRPr="00A9501D">
        <w:rPr>
          <w:noProof/>
        </w:rPr>
        <w:t>6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1C5064" w:rsidRPr="00A9501D">
        <w:rPr>
          <w:noProof/>
        </w:rPr>
        <w:t xml:space="preserve">Когато Комисията </w:t>
      </w:r>
      <w:r w:rsidR="00C36F29" w:rsidRPr="00A9501D">
        <w:rPr>
          <w:noProof/>
        </w:rPr>
        <w:t>прецени</w:t>
      </w:r>
      <w:r w:rsidR="001C5064" w:rsidRPr="00A9501D">
        <w:rPr>
          <w:noProof/>
        </w:rPr>
        <w:t xml:space="preserve"> въз основа на уведомленията, </w:t>
      </w:r>
      <w:r w:rsidR="00641B4A" w:rsidRPr="00A9501D">
        <w:rPr>
          <w:noProof/>
        </w:rPr>
        <w:t>изпратени</w:t>
      </w:r>
      <w:r w:rsidR="00C36F29" w:rsidRPr="00A9501D">
        <w:rPr>
          <w:noProof/>
        </w:rPr>
        <w:t xml:space="preserve"> </w:t>
      </w:r>
      <w:r w:rsidR="001C5064" w:rsidRPr="00A9501D">
        <w:rPr>
          <w:noProof/>
        </w:rPr>
        <w:t xml:space="preserve">от </w:t>
      </w:r>
      <w:r w:rsidR="00A77D5C" w:rsidRPr="00A9501D">
        <w:rPr>
          <w:noProof/>
        </w:rPr>
        <w:t xml:space="preserve">заинтересованите </w:t>
      </w:r>
      <w:r w:rsidR="001C5064" w:rsidRPr="00A9501D">
        <w:rPr>
          <w:noProof/>
        </w:rPr>
        <w:t>държави членки в съответствие с параграф </w:t>
      </w:r>
      <w:r w:rsidR="00A77D5C" w:rsidRPr="00A9501D">
        <w:rPr>
          <w:noProof/>
        </w:rPr>
        <w:t>5</w:t>
      </w:r>
      <w:r w:rsidR="001C5064" w:rsidRPr="00A9501D">
        <w:rPr>
          <w:noProof/>
        </w:rPr>
        <w:t>, буква б), че дадена национална мярка, приета след...</w:t>
      </w:r>
      <w:r w:rsidR="00A77D5C" w:rsidRPr="005D6F50">
        <w:rPr>
          <w:b/>
          <w:bCs/>
          <w:noProof/>
          <w:vertAlign w:val="superscript"/>
        </w:rPr>
        <w:footnoteReference w:customMarkFollows="1" w:id="11"/>
        <w:sym w:font="Symbol" w:char="F02B"/>
      </w:r>
      <w:r w:rsidR="001C5064" w:rsidRPr="00A9501D">
        <w:rPr>
          <w:noProof/>
        </w:rPr>
        <w:t xml:space="preserve">, не отговаря на условията, </w:t>
      </w:r>
      <w:r w:rsidR="00EA528A" w:rsidRPr="00A9501D">
        <w:rPr>
          <w:noProof/>
        </w:rPr>
        <w:t xml:space="preserve">установени </w:t>
      </w:r>
      <w:r w:rsidR="001C5064" w:rsidRPr="00A9501D">
        <w:rPr>
          <w:noProof/>
        </w:rPr>
        <w:t xml:space="preserve">в параграф 4, тя може, след излагане на </w:t>
      </w:r>
      <w:r w:rsidR="008C608C" w:rsidRPr="00A9501D">
        <w:rPr>
          <w:noProof/>
        </w:rPr>
        <w:t>съответните мотиви</w:t>
      </w:r>
      <w:r w:rsidR="00C36F29" w:rsidRPr="00A9501D">
        <w:rPr>
          <w:noProof/>
        </w:rPr>
        <w:t xml:space="preserve"> </w:t>
      </w:r>
      <w:r w:rsidR="001C5064" w:rsidRPr="00A9501D">
        <w:rPr>
          <w:noProof/>
        </w:rPr>
        <w:t xml:space="preserve">и след </w:t>
      </w:r>
      <w:r w:rsidR="00C36F29" w:rsidRPr="00A9501D">
        <w:rPr>
          <w:noProof/>
        </w:rPr>
        <w:t xml:space="preserve">консултация </w:t>
      </w:r>
      <w:r w:rsidR="001C5064" w:rsidRPr="00A9501D">
        <w:rPr>
          <w:noProof/>
        </w:rPr>
        <w:t>с</w:t>
      </w:r>
      <w:r w:rsidR="00C36F29" w:rsidRPr="00A9501D">
        <w:rPr>
          <w:noProof/>
        </w:rPr>
        <w:t>ъс съответната</w:t>
      </w:r>
      <w:r w:rsidR="001C5064" w:rsidRPr="00A9501D">
        <w:rPr>
          <w:noProof/>
        </w:rPr>
        <w:t xml:space="preserve"> държава членка, да поиска от нея да измени мярката.</w:t>
      </w:r>
    </w:p>
    <w:p w:rsidR="001C5064" w:rsidRPr="00A9501D" w:rsidRDefault="00A77D5C" w:rsidP="00527983">
      <w:pPr>
        <w:pStyle w:val="Point1"/>
        <w:rPr>
          <w:noProof/>
        </w:rPr>
      </w:pPr>
      <w:r w:rsidRPr="00A9501D">
        <w:rPr>
          <w:noProof/>
        </w:rPr>
        <w:t>7</w:t>
      </w:r>
      <w:r w:rsidR="001C5064" w:rsidRPr="00A9501D">
        <w:rPr>
          <w:noProof/>
        </w:rPr>
        <w:t>.</w:t>
      </w:r>
      <w:r w:rsidR="001C5064" w:rsidRPr="00CF52DD">
        <w:rPr>
          <w:noProof/>
        </w:rPr>
        <w:tab/>
      </w:r>
      <w:r w:rsidR="001C5064" w:rsidRPr="00A9501D">
        <w:rPr>
          <w:noProof/>
        </w:rPr>
        <w:t>Комисията уведомява изпълнителния секретар на GFCM за мерките, приети съгласно параграфи 2 и </w:t>
      </w:r>
      <w:r w:rsidRPr="00A9501D">
        <w:rPr>
          <w:noProof/>
        </w:rPr>
        <w:t>5</w:t>
      </w:r>
      <w:r w:rsidR="001C5064" w:rsidRPr="00A9501D">
        <w:rPr>
          <w:noProof/>
        </w:rPr>
        <w:t>.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16в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Минимален диаметър на основата на колониите</w:t>
      </w:r>
    </w:p>
    <w:p w:rsidR="001C5064" w:rsidRPr="00CF52DD" w:rsidRDefault="001C5064" w:rsidP="00527983">
      <w:pPr>
        <w:pStyle w:val="Point1"/>
        <w:rPr>
          <w:noProof/>
        </w:rPr>
      </w:pPr>
      <w:r w:rsidRPr="00CF52DD">
        <w:rPr>
          <w:noProof/>
        </w:rPr>
        <w:t>1.</w:t>
      </w:r>
      <w:r w:rsidRPr="00CF52DD">
        <w:tab/>
      </w:r>
      <w:r w:rsidRPr="00CF52DD">
        <w:rPr>
          <w:noProof/>
        </w:rPr>
        <w:t>Не се събират, задържат на борда, трансбордират, разтоварват</w:t>
      </w:r>
      <w:r w:rsidR="008C29BB">
        <w:rPr>
          <w:noProof/>
        </w:rPr>
        <w:t xml:space="preserve"> на сушата</w:t>
      </w:r>
      <w:r w:rsidRPr="00CF52DD">
        <w:rPr>
          <w:noProof/>
        </w:rPr>
        <w:t>, прехвърлят, съхраняват, про</w:t>
      </w:r>
      <w:r w:rsidRPr="00D03827">
        <w:rPr>
          <w:noProof/>
        </w:rPr>
        <w:t xml:space="preserve">дават или излагат за продажба като </w:t>
      </w:r>
      <w:r w:rsidR="00A77D5C" w:rsidRPr="00D03827">
        <w:rPr>
          <w:noProof/>
        </w:rPr>
        <w:t xml:space="preserve">суров продукт </w:t>
      </w:r>
      <w:r w:rsidRPr="00D03827">
        <w:rPr>
          <w:noProof/>
        </w:rPr>
        <w:t>червени корали от колонии от червени корали, чийто диаметър на основата е по-малък от 7 mm при пънчето, и</w:t>
      </w:r>
      <w:r w:rsidRPr="00CF52DD">
        <w:rPr>
          <w:noProof/>
        </w:rPr>
        <w:t>змерен в рамките на един сантиметър от основата на колонията.</w:t>
      </w:r>
    </w:p>
    <w:p w:rsidR="001C5064" w:rsidRPr="00527983" w:rsidRDefault="001C5064" w:rsidP="00527983">
      <w:pPr>
        <w:pStyle w:val="Point1"/>
      </w:pPr>
      <w:r w:rsidRPr="00527983">
        <w:t>2.</w:t>
      </w:r>
      <w:r w:rsidRPr="00527983">
        <w:tab/>
      </w:r>
      <w:r w:rsidR="00A570DE" w:rsidRPr="00527983">
        <w:t xml:space="preserve">На </w:t>
      </w:r>
      <w:r w:rsidRPr="00527983">
        <w:t xml:space="preserve">Комисията се </w:t>
      </w:r>
      <w:r w:rsidR="00A570DE" w:rsidRPr="00527983">
        <w:t>предоставя правомощието</w:t>
      </w:r>
      <w:r w:rsidRPr="00527983">
        <w:t xml:space="preserve"> да приема делегирани актове в съответствие с член 27 от настоящия регламент и член 18, параграфи 1—6 от Регламент (ЕС) № 1380/2013, така че посредством дерогация от параграф 1 да </w:t>
      </w:r>
      <w:r w:rsidR="00EA528A" w:rsidRPr="00527983">
        <w:t xml:space="preserve">разреши </w:t>
      </w:r>
      <w:r w:rsidR="00A77D5C" w:rsidRPr="00527983">
        <w:t>максимално допустимо отклонение</w:t>
      </w:r>
      <w:r w:rsidRPr="00527983">
        <w:t xml:space="preserve"> от 10 % живо тегло за колонии от червени корали под допустимия размер (&lt; 7 mm).</w:t>
      </w:r>
    </w:p>
    <w:p w:rsidR="002F155E" w:rsidRPr="00527983" w:rsidRDefault="001A2101" w:rsidP="00527983">
      <w:pPr>
        <w:pStyle w:val="Point1"/>
      </w:pPr>
      <w:r>
        <w:br w:type="page"/>
      </w:r>
      <w:r w:rsidR="001C5064" w:rsidRPr="00527983">
        <w:t>3.</w:t>
      </w:r>
      <w:r w:rsidR="001C5064" w:rsidRPr="00527983">
        <w:tab/>
        <w:t xml:space="preserve">Съвместните препоръки, които </w:t>
      </w:r>
      <w:r w:rsidR="00A570DE" w:rsidRPr="00527983">
        <w:t>се</w:t>
      </w:r>
      <w:r w:rsidR="001C5064" w:rsidRPr="00527983">
        <w:t xml:space="preserve"> представ</w:t>
      </w:r>
      <w:r w:rsidR="00A570DE" w:rsidRPr="00527983">
        <w:t>ят</w:t>
      </w:r>
      <w:r w:rsidR="001C5064" w:rsidRPr="00527983">
        <w:t xml:space="preserve"> в съответствие с член 18, параграф 1 от Регламент (ЕС) № 1380/2013 с </w:t>
      </w:r>
      <w:r w:rsidR="00EA528A" w:rsidRPr="00527983">
        <w:t>цел</w:t>
      </w:r>
      <w:r w:rsidR="00C27622" w:rsidRPr="00527983">
        <w:t xml:space="preserve"> предоставяне на</w:t>
      </w:r>
      <w:r w:rsidR="00EA528A" w:rsidRPr="00527983">
        <w:t xml:space="preserve"> </w:t>
      </w:r>
      <w:r w:rsidR="001C5064" w:rsidRPr="00527983">
        <w:t xml:space="preserve">дерогация </w:t>
      </w:r>
      <w:r w:rsidR="00A77D5C" w:rsidRPr="00527983">
        <w:t>по</w:t>
      </w:r>
      <w:r w:rsidR="001C5064" w:rsidRPr="00527983">
        <w:t xml:space="preserve"> параграф 2 от настоящия член, се придружават от научните или техническите обосновки за тази дерогация.</w:t>
      </w:r>
    </w:p>
    <w:p w:rsidR="001C5064" w:rsidRPr="00527ECE" w:rsidRDefault="001C5064" w:rsidP="001A2101">
      <w:pPr>
        <w:pStyle w:val="Text2"/>
        <w:rPr>
          <w:rFonts w:eastAsia="Calibri"/>
        </w:rPr>
      </w:pPr>
      <w:r w:rsidRPr="002F155E">
        <w:t>Всяка</w:t>
      </w:r>
      <w:r w:rsidR="00EA528A">
        <w:t>кви</w:t>
      </w:r>
      <w:r w:rsidRPr="002F155E">
        <w:t xml:space="preserve"> съвместн</w:t>
      </w:r>
      <w:r w:rsidR="00EA528A">
        <w:t>и</w:t>
      </w:r>
      <w:r w:rsidRPr="002F155E">
        <w:t xml:space="preserve"> препорък</w:t>
      </w:r>
      <w:r w:rsidR="00EA528A">
        <w:t>и</w:t>
      </w:r>
      <w:r w:rsidRPr="002F155E">
        <w:t xml:space="preserve"> от страна на държавите членки, посочен</w:t>
      </w:r>
      <w:r w:rsidR="008C29BB">
        <w:t>и</w:t>
      </w:r>
      <w:r w:rsidRPr="002F155E">
        <w:t xml:space="preserve"> в първа алинея, се представя</w:t>
      </w:r>
      <w:r w:rsidR="00EA528A">
        <w:t>т</w:t>
      </w:r>
      <w:r w:rsidRPr="002F155E">
        <w:t xml:space="preserve"> до</w:t>
      </w:r>
      <w:r w:rsidR="00A9501D">
        <w:t xml:space="preserve"> </w:t>
      </w:r>
      <w:r w:rsidRPr="002F155E">
        <w:t>..</w:t>
      </w:r>
      <w:r w:rsidR="001A2101" w:rsidRPr="00471436">
        <w:rPr>
          <w:rStyle w:val="FootnoteReference"/>
          <w:rFonts w:eastAsia="Calibri"/>
        </w:rPr>
        <w:footnoteReference w:customMarkFollows="1" w:id="12"/>
        <w:sym w:font="Symbol" w:char="F02B"/>
      </w:r>
      <w:r w:rsidR="001A2101">
        <w:rPr>
          <w:rFonts w:eastAsia="Calibri"/>
        </w:rPr>
        <w:t>.</w:t>
      </w:r>
    </w:p>
    <w:p w:rsidR="001C5064" w:rsidRPr="00CF52DD" w:rsidRDefault="001A2101" w:rsidP="00527983">
      <w:pPr>
        <w:pStyle w:val="Point1"/>
      </w:pPr>
      <w:r>
        <w:t>4</w:t>
      </w:r>
      <w:r w:rsidR="001C5064" w:rsidRPr="00CF52DD">
        <w:t>.</w:t>
      </w:r>
      <w:r w:rsidR="001C5064" w:rsidRPr="00CF52DD">
        <w:tab/>
        <w:t xml:space="preserve">Дерогациите, посочени в параграф 2 </w:t>
      </w:r>
      <w:r w:rsidR="001C5064" w:rsidRPr="00527983">
        <w:t>от настоящия член</w:t>
      </w:r>
      <w:r w:rsidR="001C5064" w:rsidRPr="00CF52DD">
        <w:t>, се предоставят</w:t>
      </w:r>
      <w:r w:rsidR="00A570DE">
        <w:t>,</w:t>
      </w:r>
      <w:r w:rsidR="001C5064" w:rsidRPr="00CF52DD">
        <w:t xml:space="preserve"> ако са спазени следните условия:</w:t>
      </w:r>
    </w:p>
    <w:p w:rsidR="001C5064" w:rsidRPr="00527983" w:rsidRDefault="001C5064" w:rsidP="00527983">
      <w:pPr>
        <w:pStyle w:val="Point2"/>
      </w:pPr>
      <w:r w:rsidRPr="00527983">
        <w:t>a)</w:t>
      </w:r>
      <w:r w:rsidRPr="00CF52DD">
        <w:tab/>
      </w:r>
      <w:r w:rsidR="00EA528A" w:rsidRPr="00527983">
        <w:t>съществува</w:t>
      </w:r>
      <w:r w:rsidRPr="00527983">
        <w:t xml:space="preserve"> национална рамка за управление, включително схема за разрешения за риболов в съответствие с член 7 от Регламент (ЕО) № 1224/2009;</w:t>
      </w:r>
    </w:p>
    <w:p w:rsidR="001C5064" w:rsidRPr="00527983" w:rsidRDefault="001C5064" w:rsidP="00527983">
      <w:pPr>
        <w:pStyle w:val="Point2"/>
      </w:pPr>
      <w:r w:rsidRPr="00527983">
        <w:t>б)</w:t>
      </w:r>
      <w:r w:rsidRPr="00CF52DD">
        <w:tab/>
      </w:r>
      <w:r w:rsidR="008C29BB" w:rsidRPr="00527983">
        <w:t>съществуват</w:t>
      </w:r>
      <w:r w:rsidRPr="00527983">
        <w:t xml:space="preserve"> специални програми за мониторинг и контрол.</w:t>
      </w:r>
    </w:p>
    <w:p w:rsidR="001C5064" w:rsidRPr="00527983" w:rsidRDefault="00A77D5C" w:rsidP="00527983">
      <w:pPr>
        <w:pStyle w:val="Point1"/>
      </w:pPr>
      <w:r w:rsidRPr="00527983">
        <w:t>5</w:t>
      </w:r>
      <w:r w:rsidR="001C5064" w:rsidRPr="00527983">
        <w:t>.</w:t>
      </w:r>
      <w:r w:rsidR="001C5064" w:rsidRPr="00CF52DD">
        <w:tab/>
      </w:r>
      <w:r w:rsidR="001C5064" w:rsidRPr="00527983">
        <w:t xml:space="preserve">Независимо от параграфи 2—4 и като преходна мярка, държавите членки могат да приемат мерки за </w:t>
      </w:r>
      <w:r w:rsidR="00EA528A" w:rsidRPr="00527983">
        <w:t xml:space="preserve">изпълнението </w:t>
      </w:r>
      <w:r w:rsidR="001C5064" w:rsidRPr="00527983">
        <w:t xml:space="preserve">на </w:t>
      </w:r>
      <w:r w:rsidR="007C4BBF" w:rsidRPr="00527983">
        <w:t xml:space="preserve">Препоръка </w:t>
      </w:r>
      <w:r w:rsidR="001C5064" w:rsidRPr="00527983">
        <w:t>GFCM/36/2012/1, при условие че:</w:t>
      </w:r>
    </w:p>
    <w:p w:rsidR="001C5064" w:rsidRPr="00527983" w:rsidRDefault="001C5064" w:rsidP="00D03827">
      <w:pPr>
        <w:pStyle w:val="Point2"/>
      </w:pPr>
      <w:r w:rsidRPr="00527983">
        <w:t>а)</w:t>
      </w:r>
      <w:r w:rsidRPr="00527983">
        <w:tab/>
        <w:t xml:space="preserve">тези мерки </w:t>
      </w:r>
      <w:r w:rsidR="00C27622" w:rsidRPr="00527983">
        <w:t>с</w:t>
      </w:r>
      <w:r w:rsidR="00D03827">
        <w:t>а</w:t>
      </w:r>
      <w:r w:rsidRPr="00527983">
        <w:t xml:space="preserve"> част от подходяща национална рамка за управление; и</w:t>
      </w:r>
    </w:p>
    <w:p w:rsidR="001C5064" w:rsidRPr="00527983" w:rsidRDefault="001C5064" w:rsidP="00527983">
      <w:pPr>
        <w:pStyle w:val="Point2"/>
      </w:pPr>
      <w:r w:rsidRPr="00527983">
        <w:t>б)</w:t>
      </w:r>
      <w:r w:rsidRPr="00527983">
        <w:tab/>
      </w:r>
      <w:r w:rsidR="00EA528A" w:rsidRPr="00527983">
        <w:t xml:space="preserve">съответната </w:t>
      </w:r>
      <w:r w:rsidRPr="00527983">
        <w:t>държава членка надлежно уведомява Комисията за приемането на тези мерки.</w:t>
      </w:r>
    </w:p>
    <w:p w:rsidR="001C5064" w:rsidRPr="001A2101" w:rsidRDefault="001A2101" w:rsidP="001A2101">
      <w:pPr>
        <w:pStyle w:val="Text2"/>
      </w:pPr>
      <w:r>
        <w:br w:type="page"/>
      </w:r>
      <w:r w:rsidR="00EA528A" w:rsidRPr="001A2101">
        <w:t>Съответн</w:t>
      </w:r>
      <w:r w:rsidR="007C4BBF" w:rsidRPr="001A2101">
        <w:t>ите</w:t>
      </w:r>
      <w:r w:rsidR="00EA528A" w:rsidRPr="001A2101">
        <w:t xml:space="preserve"> </w:t>
      </w:r>
      <w:r w:rsidR="001C5064" w:rsidRPr="001A2101">
        <w:t>държав</w:t>
      </w:r>
      <w:r w:rsidR="007C4BBF" w:rsidRPr="001A2101">
        <w:t>и</w:t>
      </w:r>
      <w:r w:rsidR="001C5064" w:rsidRPr="001A2101">
        <w:t xml:space="preserve"> членк</w:t>
      </w:r>
      <w:r w:rsidR="007C4BBF" w:rsidRPr="001A2101">
        <w:t>и</w:t>
      </w:r>
      <w:r w:rsidR="001C5064" w:rsidRPr="001A2101">
        <w:t xml:space="preserve"> гарантират, че всички дерогации спират да се прилагат не по-късно от </w:t>
      </w:r>
      <w:r w:rsidR="00EA528A" w:rsidRPr="001A2101">
        <w:t xml:space="preserve">началната </w:t>
      </w:r>
      <w:r w:rsidR="001C5064" w:rsidRPr="001A2101">
        <w:t>дата на прилагане на съответния делегиран акт, приет в съответствие с параграф 2.</w:t>
      </w:r>
    </w:p>
    <w:p w:rsidR="001C5064" w:rsidRPr="00527983" w:rsidRDefault="00A77D5C" w:rsidP="00527983">
      <w:pPr>
        <w:pStyle w:val="Point1"/>
      </w:pPr>
      <w:r w:rsidRPr="00527983">
        <w:t>6</w:t>
      </w:r>
      <w:r w:rsidR="001C5064" w:rsidRPr="00527983">
        <w:t>.</w:t>
      </w:r>
      <w:r w:rsidR="001C5064" w:rsidRPr="00CF52DD">
        <w:tab/>
      </w:r>
      <w:r w:rsidR="001C5064" w:rsidRPr="00527983">
        <w:t xml:space="preserve">Когато Комисията </w:t>
      </w:r>
      <w:r w:rsidR="00C36F29" w:rsidRPr="00527983">
        <w:t xml:space="preserve">прецени </w:t>
      </w:r>
      <w:r w:rsidR="001C5064" w:rsidRPr="00527983">
        <w:t>въз основа на уведомлени</w:t>
      </w:r>
      <w:r w:rsidR="007C4BBF" w:rsidRPr="00527983">
        <w:t>ята</w:t>
      </w:r>
      <w:r w:rsidR="001C5064" w:rsidRPr="00527983">
        <w:t xml:space="preserve">, </w:t>
      </w:r>
      <w:r w:rsidR="00C36F29" w:rsidRPr="00527983">
        <w:t>изпратен</w:t>
      </w:r>
      <w:r w:rsidR="007C4BBF" w:rsidRPr="00527983">
        <w:t>и</w:t>
      </w:r>
      <w:r w:rsidR="00C36F29" w:rsidRPr="00527983">
        <w:t xml:space="preserve"> </w:t>
      </w:r>
      <w:r w:rsidR="001C5064" w:rsidRPr="00527983">
        <w:t xml:space="preserve">от </w:t>
      </w:r>
      <w:r w:rsidRPr="00527983">
        <w:t xml:space="preserve">заинтересованите </w:t>
      </w:r>
      <w:r w:rsidR="001C5064" w:rsidRPr="00527983">
        <w:t>държави членки в съответствие с параграф </w:t>
      </w:r>
      <w:r w:rsidRPr="00527983">
        <w:t>5</w:t>
      </w:r>
      <w:r w:rsidR="001C5064" w:rsidRPr="00527983">
        <w:t xml:space="preserve">, буква б), че </w:t>
      </w:r>
      <w:r w:rsidR="00EA528A" w:rsidRPr="00527983">
        <w:t xml:space="preserve">дадена </w:t>
      </w:r>
      <w:r w:rsidR="001C5064" w:rsidRPr="00527983">
        <w:t xml:space="preserve">национална мярка, приета </w:t>
      </w:r>
      <w:r w:rsidR="001C5064" w:rsidRPr="00D03827">
        <w:t>след</w:t>
      </w:r>
      <w:r w:rsidR="005D6F50" w:rsidRPr="005D6F50">
        <w:rPr>
          <w:lang w:val="ru-RU"/>
        </w:rPr>
        <w:t xml:space="preserve"> </w:t>
      </w:r>
      <w:r w:rsidR="001C5064" w:rsidRPr="00D03827">
        <w:t>...</w:t>
      </w:r>
      <w:r w:rsidR="00AE2750" w:rsidRPr="009E6FA9">
        <w:rPr>
          <w:b/>
          <w:vertAlign w:val="superscript"/>
        </w:rPr>
        <w:footnoteReference w:customMarkFollows="1" w:id="13"/>
        <w:sym w:font="Symbol" w:char="F02B"/>
      </w:r>
      <w:r w:rsidR="00527ECE" w:rsidRPr="00527983">
        <w:t xml:space="preserve"> </w:t>
      </w:r>
      <w:r w:rsidR="001C5064" w:rsidRPr="00527983">
        <w:t xml:space="preserve">не отговаря на условията, </w:t>
      </w:r>
      <w:r w:rsidR="00EA528A" w:rsidRPr="00527983">
        <w:t xml:space="preserve">установени </w:t>
      </w:r>
      <w:r w:rsidR="001C5064" w:rsidRPr="00527983">
        <w:t xml:space="preserve">в параграф 4, тя може, след излагане на </w:t>
      </w:r>
      <w:r w:rsidR="008C608C" w:rsidRPr="00527983">
        <w:t xml:space="preserve">съответните мотиви </w:t>
      </w:r>
      <w:r w:rsidR="001C5064" w:rsidRPr="00527983">
        <w:t xml:space="preserve">и след </w:t>
      </w:r>
      <w:r w:rsidR="00C36F29" w:rsidRPr="00527983">
        <w:t xml:space="preserve">консултация </w:t>
      </w:r>
      <w:r w:rsidR="001C5064" w:rsidRPr="00527983">
        <w:t>с</w:t>
      </w:r>
      <w:r w:rsidR="00C36F29" w:rsidRPr="00527983">
        <w:t>ъс</w:t>
      </w:r>
      <w:r w:rsidR="001C5064" w:rsidRPr="00527983">
        <w:t xml:space="preserve"> </w:t>
      </w:r>
      <w:r w:rsidR="00C36F29" w:rsidRPr="00527983">
        <w:t xml:space="preserve">съответната </w:t>
      </w:r>
      <w:r w:rsidR="001C5064" w:rsidRPr="00527983">
        <w:t>държава членка, да поиска от нея да измени мярката.</w:t>
      </w:r>
    </w:p>
    <w:p w:rsidR="001C5064" w:rsidRPr="00527983" w:rsidRDefault="00A77D5C" w:rsidP="00527983">
      <w:pPr>
        <w:pStyle w:val="Point1"/>
      </w:pPr>
      <w:r w:rsidRPr="00527983">
        <w:t>7</w:t>
      </w:r>
      <w:r w:rsidR="001C5064" w:rsidRPr="00527983">
        <w:t>.</w:t>
      </w:r>
      <w:r w:rsidR="001C5064" w:rsidRPr="00CF52DD">
        <w:tab/>
      </w:r>
      <w:r w:rsidR="001C5064" w:rsidRPr="00527983">
        <w:t>Комисията уведомява изпълнителния секретар на GFCM за мерките, приети съгласно параграфи 2 и </w:t>
      </w:r>
      <w:r w:rsidRPr="00527983">
        <w:t>5</w:t>
      </w:r>
      <w:r w:rsidR="001C5064" w:rsidRPr="00527983">
        <w:t>.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16г</w:t>
      </w:r>
      <w:r w:rsidR="00527983" w:rsidRPr="00527983">
        <w:rPr>
          <w:i/>
          <w:iCs/>
        </w:rPr>
        <w:br/>
      </w:r>
      <w:r w:rsidR="004F7963" w:rsidRPr="00527983">
        <w:rPr>
          <w:i/>
          <w:iCs/>
        </w:rPr>
        <w:t>Съоръжения</w:t>
      </w:r>
      <w:r w:rsidR="00EA528A" w:rsidRPr="00527983">
        <w:rPr>
          <w:i/>
          <w:iCs/>
        </w:rPr>
        <w:t xml:space="preserve"> </w:t>
      </w:r>
      <w:r w:rsidRPr="00527983">
        <w:rPr>
          <w:i/>
          <w:iCs/>
        </w:rPr>
        <w:t>и приспособления</w:t>
      </w:r>
    </w:p>
    <w:p w:rsidR="001C5064" w:rsidRPr="00527983" w:rsidRDefault="001C5064" w:rsidP="00527983">
      <w:pPr>
        <w:pStyle w:val="Point1"/>
      </w:pPr>
      <w:r w:rsidRPr="00527983">
        <w:t>1.</w:t>
      </w:r>
      <w:r w:rsidRPr="00CF52DD">
        <w:tab/>
      </w:r>
      <w:r w:rsidRPr="00527983">
        <w:t xml:space="preserve">Единственото разрешено </w:t>
      </w:r>
      <w:r w:rsidR="004F7963" w:rsidRPr="00527983">
        <w:t xml:space="preserve">съоръжение </w:t>
      </w:r>
      <w:r w:rsidRPr="00527983">
        <w:t>за събирането на червени корали е чук, който се използва при гмуркане с леководолазен апарат от рибари, които имат разрешение или са признати от компетентния национален орган.</w:t>
      </w:r>
    </w:p>
    <w:p w:rsidR="001C5064" w:rsidRPr="00527983" w:rsidRDefault="001C5064" w:rsidP="00527983">
      <w:pPr>
        <w:pStyle w:val="Point1"/>
      </w:pPr>
      <w:r w:rsidRPr="00527983">
        <w:t>2.</w:t>
      </w:r>
      <w:r w:rsidRPr="00CF52DD">
        <w:tab/>
      </w:r>
      <w:r w:rsidRPr="00527983">
        <w:t>Забранява се използването на подводни апарати с дистанционно управление за събиране на червени корали.</w:t>
      </w:r>
    </w:p>
    <w:p w:rsidR="001C5064" w:rsidRPr="00527983" w:rsidRDefault="001A2101" w:rsidP="00527983">
      <w:pPr>
        <w:pStyle w:val="Point1"/>
      </w:pPr>
      <w:r>
        <w:br w:type="page"/>
      </w:r>
      <w:r w:rsidR="001C5064" w:rsidRPr="00527983">
        <w:t>3.</w:t>
      </w:r>
      <w:r w:rsidR="001C5064" w:rsidRPr="00CF52DD">
        <w:tab/>
      </w:r>
      <w:r w:rsidR="001C5064" w:rsidRPr="00527983">
        <w:t xml:space="preserve">Чрез дерогация от параграф 2 използването на подводни апарати с дистанционно управление, които са разрешени от дадена държава членка преди 30 септември 2011 г. с цел наблюдение и проучване, продължава да бъде разрешено в зони под юрисдикцията на тази държава членка, при условие че </w:t>
      </w:r>
      <w:r w:rsidR="00EA528A" w:rsidRPr="00527983">
        <w:t xml:space="preserve">съответните </w:t>
      </w:r>
      <w:r w:rsidR="001C5064" w:rsidRPr="00527983">
        <w:t>апарати не могат да бъдат оборудвани с манипулаторна ръка или друго устройство, позволяващо рязане и събиране на червени корали.</w:t>
      </w:r>
    </w:p>
    <w:p w:rsidR="001C5064" w:rsidRPr="001A2101" w:rsidRDefault="00EA528A" w:rsidP="001A2101">
      <w:pPr>
        <w:pStyle w:val="Text2"/>
      </w:pPr>
      <w:r>
        <w:t xml:space="preserve">Срокът на </w:t>
      </w:r>
      <w:r w:rsidRPr="001A2101">
        <w:t>т</w:t>
      </w:r>
      <w:r w:rsidR="001C5064" w:rsidRPr="001A2101">
        <w:t xml:space="preserve">ези разрешения изтича или </w:t>
      </w:r>
      <w:r w:rsidRPr="001A2101">
        <w:t xml:space="preserve">те </w:t>
      </w:r>
      <w:r w:rsidR="001C5064" w:rsidRPr="001A2101">
        <w:t>се от</w:t>
      </w:r>
      <w:r w:rsidRPr="001A2101">
        <w:t>немат</w:t>
      </w:r>
      <w:r w:rsidR="001C5064" w:rsidRPr="001A2101">
        <w:t xml:space="preserve"> до 31 декември 2015 г.</w:t>
      </w:r>
      <w:r w:rsidRPr="001A2101">
        <w:t>,</w:t>
      </w:r>
      <w:r w:rsidR="001C5064" w:rsidRPr="001A2101">
        <w:t xml:space="preserve"> освен </w:t>
      </w:r>
      <w:r w:rsidRPr="001A2101">
        <w:t>когато</w:t>
      </w:r>
      <w:r w:rsidR="001C5064" w:rsidRPr="001A2101">
        <w:t xml:space="preserve"> </w:t>
      </w:r>
      <w:r w:rsidRPr="001A2101">
        <w:t xml:space="preserve">съответната </w:t>
      </w:r>
      <w:r w:rsidR="001C5064" w:rsidRPr="001A2101">
        <w:t>държава членка е получила научни резултати, показващи, че използването на подводни апарати с дистанционно управление след 2015 г. няма да окаже отрицателно въздействие върху устойчивото използване на червените корали.</w:t>
      </w:r>
    </w:p>
    <w:p w:rsidR="001C5064" w:rsidRPr="00527983" w:rsidRDefault="001C5064" w:rsidP="00527983">
      <w:pPr>
        <w:pStyle w:val="Point1"/>
      </w:pPr>
      <w:r w:rsidRPr="00527983">
        <w:t>4.</w:t>
      </w:r>
      <w:r w:rsidRPr="00CF52DD">
        <w:tab/>
      </w:r>
      <w:r w:rsidRPr="00527983">
        <w:t>Чрез дерогация от параграф 2 дадена държава членка може да разреши използването на подводни апарати с дистанционно управление без манипулаторна ръка с цел наблюдение и проучване в зони под юрисдикцията на тази държава членка, при условие че в контекста на национална рамка за управление е получила научни резултати, показващи липса на отрицателно въздействие върху устойчивото използване на червените корали.</w:t>
      </w:r>
    </w:p>
    <w:p w:rsidR="001C5064" w:rsidRPr="001A2101" w:rsidRDefault="00EA528A" w:rsidP="001A2101">
      <w:pPr>
        <w:pStyle w:val="Text2"/>
      </w:pPr>
      <w:r>
        <w:t xml:space="preserve">Срокът на </w:t>
      </w:r>
      <w:r w:rsidRPr="001A2101">
        <w:t>т</w:t>
      </w:r>
      <w:r w:rsidR="001C5064" w:rsidRPr="001A2101">
        <w:t>ези разрешения изтича</w:t>
      </w:r>
      <w:r w:rsidRPr="001A2101">
        <w:t xml:space="preserve"> </w:t>
      </w:r>
      <w:r w:rsidR="001C5064" w:rsidRPr="001A2101">
        <w:t xml:space="preserve">или </w:t>
      </w:r>
      <w:r w:rsidRPr="001A2101">
        <w:t xml:space="preserve">те </w:t>
      </w:r>
      <w:r w:rsidR="001C5064" w:rsidRPr="001A2101">
        <w:t>се от</w:t>
      </w:r>
      <w:r w:rsidRPr="001A2101">
        <w:t>немат</w:t>
      </w:r>
      <w:r w:rsidR="001C5064" w:rsidRPr="001A2101">
        <w:t xml:space="preserve"> до 31 декември 2015 г. освен когато научните резултати, посочени в първа алинея, са потвърдени от GFCM.</w:t>
      </w:r>
    </w:p>
    <w:p w:rsidR="001C5064" w:rsidRPr="00527983" w:rsidRDefault="001A2101" w:rsidP="00527983">
      <w:pPr>
        <w:pStyle w:val="Point1"/>
      </w:pPr>
      <w:r>
        <w:br w:type="page"/>
      </w:r>
      <w:r w:rsidR="001C5064" w:rsidRPr="00527983">
        <w:t>5.</w:t>
      </w:r>
      <w:r w:rsidR="001C5064" w:rsidRPr="00CF52DD">
        <w:tab/>
      </w:r>
      <w:r w:rsidR="001C5064" w:rsidRPr="00527983">
        <w:t xml:space="preserve">Чрез дерогация от параграф 2 дадена държава членка може да разреши за ограничен </w:t>
      </w:r>
      <w:r w:rsidR="00EA528A" w:rsidRPr="00527983">
        <w:t>срок</w:t>
      </w:r>
      <w:r w:rsidR="001C5064" w:rsidRPr="00527983">
        <w:t>, но не след 31 декември 2015 г., използването на подводни апарати с дистанционно управление за експериментални научни дейности за наблюдение и събиране</w:t>
      </w:r>
      <w:r w:rsidR="00F05ABA" w:rsidRPr="00527983">
        <w:t xml:space="preserve"> на червени корали</w:t>
      </w:r>
      <w:r w:rsidR="001C5064" w:rsidRPr="00527983">
        <w:t xml:space="preserve">, при условие че дейностите се извършват под надзора на национална научноизследователска институция или в сътрудничество с компетентни национални или международни научни органи, както и с </w:t>
      </w:r>
      <w:r w:rsidR="00EA528A" w:rsidRPr="00527983">
        <w:t xml:space="preserve">всякакви </w:t>
      </w:r>
      <w:r w:rsidR="001C5064" w:rsidRPr="00527983">
        <w:t>други заинтересовани страни.</w:t>
      </w:r>
    </w:p>
    <w:p w:rsidR="001C5064" w:rsidRPr="001A2101" w:rsidRDefault="001A2101" w:rsidP="001A2101">
      <w:pPr>
        <w:pStyle w:val="Text1"/>
      </w:pPr>
      <w:r w:rsidRPr="001A2101">
        <w:t>ГЛАВА V</w:t>
      </w:r>
      <w:r w:rsidRPr="001A2101">
        <w:rPr>
          <w:lang w:val="ru-RU"/>
        </w:rPr>
        <w:br/>
      </w:r>
      <w:r w:rsidRPr="001A2101">
        <w:t>НАМАЛЯВАНЕ НА ВЪЗДЕЙСТВИЕТО НА РИБОЛОВНИТЕ ДЕЙНОСТИ ВЪРХУ ОПРЕДЕЛЕНИ МОРСКИ ВИДОВЕ</w:t>
      </w:r>
    </w:p>
    <w:p w:rsidR="001C5064" w:rsidRPr="00527983" w:rsidRDefault="001C5064" w:rsidP="001A2101">
      <w:pPr>
        <w:pStyle w:val="Text1"/>
        <w:rPr>
          <w:i/>
          <w:iCs/>
        </w:rPr>
      </w:pPr>
      <w:r w:rsidRPr="00527983">
        <w:rPr>
          <w:i/>
          <w:iCs/>
        </w:rPr>
        <w:t>Член 16д</w:t>
      </w:r>
      <w:r w:rsidR="001A2101" w:rsidRPr="00CC404F">
        <w:rPr>
          <w:i/>
          <w:iCs/>
          <w:lang w:val="ru-RU"/>
        </w:rPr>
        <w:br/>
      </w:r>
      <w:r w:rsidRPr="00527983">
        <w:rPr>
          <w:i/>
          <w:iCs/>
        </w:rPr>
        <w:t>Приложно поле</w:t>
      </w:r>
    </w:p>
    <w:p w:rsidR="001C5064" w:rsidRPr="001A2101" w:rsidRDefault="001C5064" w:rsidP="001A2101">
      <w:pPr>
        <w:pStyle w:val="Text1"/>
        <w:rPr>
          <w:rFonts w:asciiTheme="majorBidi" w:hAnsiTheme="majorBidi" w:cstheme="majorBidi"/>
          <w:noProof/>
          <w:color w:val="000000"/>
        </w:rPr>
      </w:pPr>
      <w:r w:rsidRPr="001A2101">
        <w:t xml:space="preserve">Настоящата глава се прилага, без да се засягат евентуалните по-строги мерки, произтичащи от Директива 92/43/ЕИО или Директива 2009/147/ЕО </w:t>
      </w:r>
      <w:r w:rsidRPr="001A2101">
        <w:rPr>
          <w:rFonts w:asciiTheme="majorBidi" w:hAnsiTheme="majorBidi" w:cstheme="majorBidi"/>
          <w:noProof/>
          <w:color w:val="000000"/>
        </w:rPr>
        <w:t>на Европейския парламент и на Съвета</w:t>
      </w:r>
      <w:r w:rsidRPr="001A2101">
        <w:rPr>
          <w:b/>
          <w:bCs/>
          <w:vertAlign w:val="superscript"/>
        </w:rPr>
        <w:t>***</w:t>
      </w:r>
      <w:r w:rsidRPr="001A2101">
        <w:rPr>
          <w:rFonts w:asciiTheme="majorBidi" w:hAnsiTheme="majorBidi" w:cstheme="majorBidi"/>
          <w:b/>
          <w:bCs/>
          <w:noProof/>
          <w:color w:val="000000"/>
          <w:vertAlign w:val="superscript"/>
        </w:rPr>
        <w:t>*</w:t>
      </w:r>
      <w:r w:rsidRPr="001A2101">
        <w:t xml:space="preserve"> и Регламент (ЕО) № 1185/2003 на Съвета</w:t>
      </w:r>
      <w:r w:rsidRPr="001A2101">
        <w:rPr>
          <w:b/>
          <w:bCs/>
          <w:vertAlign w:val="superscript"/>
        </w:rPr>
        <w:t>****</w:t>
      </w:r>
      <w:r w:rsidRPr="001A2101">
        <w:rPr>
          <w:rFonts w:asciiTheme="majorBidi" w:hAnsiTheme="majorBidi" w:cstheme="majorBidi"/>
          <w:b/>
          <w:bCs/>
          <w:noProof/>
          <w:color w:val="000000"/>
          <w:vertAlign w:val="superscript"/>
        </w:rPr>
        <w:t>*</w:t>
      </w:r>
      <w:r w:rsidRPr="001A2101">
        <w:t>.</w:t>
      </w:r>
    </w:p>
    <w:p w:rsidR="001C5064" w:rsidRPr="00527983" w:rsidRDefault="001C5064" w:rsidP="001A2101">
      <w:pPr>
        <w:pStyle w:val="Text1"/>
        <w:rPr>
          <w:i/>
          <w:iCs/>
        </w:rPr>
      </w:pPr>
      <w:r w:rsidRPr="00527983">
        <w:rPr>
          <w:i/>
          <w:iCs/>
        </w:rPr>
        <w:t>Член 16е</w:t>
      </w:r>
      <w:r w:rsidR="001A2101" w:rsidRPr="001A2101">
        <w:rPr>
          <w:i/>
          <w:iCs/>
          <w:lang w:val="ru-RU"/>
        </w:rPr>
        <w:br/>
      </w:r>
      <w:r w:rsidRPr="00527983">
        <w:rPr>
          <w:i/>
          <w:iCs/>
        </w:rPr>
        <w:t>Случаен улов на морски птици в риболовни съоръжения</w:t>
      </w:r>
    </w:p>
    <w:p w:rsidR="001C5064" w:rsidRPr="00527983" w:rsidRDefault="001C5064" w:rsidP="00527983">
      <w:pPr>
        <w:pStyle w:val="Point1"/>
      </w:pPr>
      <w:r w:rsidRPr="00527983">
        <w:t>1.</w:t>
      </w:r>
      <w:r w:rsidRPr="00CF52DD">
        <w:tab/>
      </w:r>
      <w:r w:rsidRPr="00527983">
        <w:t>Капитаните на риболовни кораби незабавно освобождават морските птици, които са уловени случайно в риболовните съоръжения.</w:t>
      </w:r>
    </w:p>
    <w:p w:rsidR="001C5064" w:rsidRPr="00527983" w:rsidRDefault="001A2101" w:rsidP="00527983">
      <w:pPr>
        <w:pStyle w:val="Point1"/>
      </w:pPr>
      <w:r>
        <w:br w:type="page"/>
      </w:r>
      <w:r w:rsidR="00A77D5C" w:rsidRPr="00527983">
        <w:t>2</w:t>
      </w:r>
      <w:r w:rsidR="001C5064" w:rsidRPr="00527983">
        <w:t>.</w:t>
      </w:r>
      <w:r w:rsidR="001C5064" w:rsidRPr="00CF52DD">
        <w:tab/>
      </w:r>
      <w:r w:rsidR="001C5064" w:rsidRPr="00527983">
        <w:t xml:space="preserve">Риболовните кораби не свалят на брега морски птици, освен в рамките на националните планове за опазване на морските птици или за да се осигури помощ за възстановяването на </w:t>
      </w:r>
      <w:r w:rsidR="00776919" w:rsidRPr="00527983">
        <w:t xml:space="preserve">отделни </w:t>
      </w:r>
      <w:r w:rsidR="001C5064" w:rsidRPr="00527983">
        <w:t xml:space="preserve">екземпляри, получили наранявания, и при условие че преди съответният </w:t>
      </w:r>
      <w:r w:rsidR="00CD225A" w:rsidRPr="00527983">
        <w:t xml:space="preserve">риболовен </w:t>
      </w:r>
      <w:r w:rsidR="001C5064" w:rsidRPr="00527983">
        <w:t>кораб да се е завърнал в пристанището, компетентните национални органи са информирани надлежно и официално за намерението такива птици да бъдат свалени на брега.</w:t>
      </w:r>
    </w:p>
    <w:p w:rsidR="001C5064" w:rsidRPr="00527983" w:rsidRDefault="001C5064" w:rsidP="001A2101">
      <w:pPr>
        <w:pStyle w:val="Text1"/>
        <w:rPr>
          <w:i/>
          <w:iCs/>
        </w:rPr>
      </w:pPr>
      <w:r w:rsidRPr="00527983">
        <w:rPr>
          <w:i/>
          <w:iCs/>
        </w:rPr>
        <w:t>Член 16ж</w:t>
      </w:r>
      <w:r w:rsidR="001A2101" w:rsidRPr="001A2101">
        <w:rPr>
          <w:i/>
          <w:iCs/>
          <w:lang w:val="ru-RU"/>
        </w:rPr>
        <w:br/>
      </w:r>
      <w:r w:rsidRPr="00527983">
        <w:rPr>
          <w:i/>
          <w:iCs/>
        </w:rPr>
        <w:t>С</w:t>
      </w:r>
      <w:r w:rsidRPr="00D95AA3">
        <w:rPr>
          <w:i/>
          <w:iCs/>
        </w:rPr>
        <w:t>луч</w:t>
      </w:r>
      <w:r w:rsidR="00267A22" w:rsidRPr="00527983">
        <w:rPr>
          <w:i/>
          <w:iCs/>
        </w:rPr>
        <w:t>аен</w:t>
      </w:r>
      <w:r w:rsidRPr="00D95AA3">
        <w:rPr>
          <w:i/>
          <w:iCs/>
        </w:rPr>
        <w:t xml:space="preserve"> у</w:t>
      </w:r>
      <w:r w:rsidR="00267A22" w:rsidRPr="00527983">
        <w:rPr>
          <w:i/>
          <w:iCs/>
        </w:rPr>
        <w:t>лов</w:t>
      </w:r>
      <w:r w:rsidRPr="00527983">
        <w:rPr>
          <w:i/>
          <w:iCs/>
        </w:rPr>
        <w:t xml:space="preserve"> на морски костенурки </w:t>
      </w:r>
      <w:r w:rsidR="00F05ABA" w:rsidRPr="00527983">
        <w:rPr>
          <w:i/>
          <w:iCs/>
        </w:rPr>
        <w:t>в риболовни съоръжения</w:t>
      </w:r>
    </w:p>
    <w:p w:rsidR="001C5064" w:rsidRPr="00527983" w:rsidRDefault="001C5064" w:rsidP="00D95AA3">
      <w:pPr>
        <w:pStyle w:val="Point1"/>
      </w:pPr>
      <w:r w:rsidRPr="00527983">
        <w:t>1.</w:t>
      </w:r>
      <w:r w:rsidRPr="00CF52DD">
        <w:tab/>
      </w:r>
      <w:r w:rsidRPr="00527983">
        <w:t>Екземплярите от морски костенурки, случайно уловени в риболовните съоръжения, се третират внимателно и освобождават</w:t>
      </w:r>
      <w:r w:rsidRPr="00CF52DD">
        <w:t xml:space="preserve"> </w:t>
      </w:r>
      <w:r w:rsidRPr="00527983">
        <w:t xml:space="preserve">живи и </w:t>
      </w:r>
      <w:r w:rsidR="00D95AA3">
        <w:t>неувредени</w:t>
      </w:r>
      <w:r w:rsidRPr="00527983">
        <w:t>, доколкото е възможно.</w:t>
      </w:r>
    </w:p>
    <w:p w:rsidR="001C5064" w:rsidRPr="00527983" w:rsidRDefault="001C5064" w:rsidP="00527983">
      <w:pPr>
        <w:pStyle w:val="Point1"/>
      </w:pPr>
      <w:r w:rsidRPr="00527983">
        <w:t>2.</w:t>
      </w:r>
      <w:r w:rsidRPr="00CF52DD">
        <w:tab/>
      </w:r>
      <w:r w:rsidRPr="00527983">
        <w:t xml:space="preserve">Капитаните на риболовните кораби не свалят на брега морски костенурки, освен </w:t>
      </w:r>
      <w:r w:rsidR="00776919" w:rsidRPr="00527983">
        <w:t>в рамките на</w:t>
      </w:r>
      <w:r w:rsidRPr="00527983">
        <w:t xml:space="preserve"> специална програма за спасяването им или национална програма за опазването им, или ако това е необходимо поради други причини с цел спасяване и осигуряване на помощ за възстановяването на отделни морски костенурки, получили наранявания и в състояние на изтощение, и при условие че съответните компетентни национални органи са били надлежно и официално уведомени преди </w:t>
      </w:r>
      <w:r w:rsidR="00267A22" w:rsidRPr="00527983">
        <w:t xml:space="preserve">съответният </w:t>
      </w:r>
      <w:r w:rsidR="00496109" w:rsidRPr="00527983">
        <w:t xml:space="preserve">риболовен </w:t>
      </w:r>
      <w:r w:rsidR="00267A22" w:rsidRPr="00527983">
        <w:t xml:space="preserve">кораб да се е </w:t>
      </w:r>
      <w:r w:rsidRPr="00527983">
        <w:t>зав</w:t>
      </w:r>
      <w:r w:rsidR="00267A22" w:rsidRPr="00527983">
        <w:t>ърнал</w:t>
      </w:r>
      <w:r w:rsidRPr="00527983">
        <w:t xml:space="preserve"> в пристанището.</w:t>
      </w:r>
    </w:p>
    <w:p w:rsidR="001C5064" w:rsidRPr="00527983" w:rsidRDefault="001C5064" w:rsidP="00527983">
      <w:pPr>
        <w:pStyle w:val="Point1"/>
      </w:pPr>
      <w:r w:rsidRPr="00527983">
        <w:t>3.</w:t>
      </w:r>
      <w:r w:rsidRPr="00CF52DD">
        <w:tab/>
      </w:r>
      <w:r w:rsidR="00776919" w:rsidRPr="00527983">
        <w:t xml:space="preserve">Риболовните </w:t>
      </w:r>
      <w:r w:rsidRPr="00527983">
        <w:t>кораби</w:t>
      </w:r>
      <w:r w:rsidRPr="00CF52DD">
        <w:t xml:space="preserve">, </w:t>
      </w:r>
      <w:r w:rsidRPr="00527983">
        <w:t xml:space="preserve">които използват мрежи гъргър за малки пелагични запаси или заграждащи мрежи, различни от гъргъри, за пелагични запаси, избягват </w:t>
      </w:r>
      <w:r w:rsidR="00776919" w:rsidRPr="00527983">
        <w:t>обграждането на</w:t>
      </w:r>
      <w:r w:rsidRPr="00527983">
        <w:t xml:space="preserve"> морски костенурки</w:t>
      </w:r>
      <w:r w:rsidR="00776919" w:rsidRPr="00527983">
        <w:t>, доколкото е възможно</w:t>
      </w:r>
      <w:r w:rsidRPr="00527983">
        <w:t>.</w:t>
      </w:r>
    </w:p>
    <w:p w:rsidR="001C5064" w:rsidRPr="00527983" w:rsidRDefault="001A2101" w:rsidP="00527983">
      <w:pPr>
        <w:pStyle w:val="Point1"/>
      </w:pPr>
      <w:r>
        <w:br w:type="page"/>
      </w:r>
      <w:r w:rsidR="001C5064" w:rsidRPr="00527983">
        <w:t>4.</w:t>
      </w:r>
      <w:r w:rsidR="001C5064" w:rsidRPr="00CF52DD">
        <w:tab/>
      </w:r>
      <w:r w:rsidR="001C5064" w:rsidRPr="00527983">
        <w:t xml:space="preserve">Риболовните кораби, които използват парагади и дънни хрилни мрежи, разполагат с оборудване за безопасно съприкосновение, разплитане и освобождаване, </w:t>
      </w:r>
      <w:r w:rsidR="00267A22" w:rsidRPr="00527983">
        <w:t xml:space="preserve">предназначено да гарантира, че </w:t>
      </w:r>
      <w:r w:rsidR="001C5064" w:rsidRPr="00527983">
        <w:t>съприкосновението с морските костенурки и тяхното освобождаване се извършват по начин, който максимално увеличава шанса им за оцеляване.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16з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Случа</w:t>
      </w:r>
      <w:r w:rsidR="00267A22" w:rsidRPr="00527983">
        <w:rPr>
          <w:i/>
          <w:iCs/>
        </w:rPr>
        <w:t>ен</w:t>
      </w:r>
      <w:r w:rsidRPr="00527983">
        <w:rPr>
          <w:i/>
          <w:iCs/>
        </w:rPr>
        <w:t xml:space="preserve"> ул</w:t>
      </w:r>
      <w:r w:rsidR="00267A22" w:rsidRPr="00527983">
        <w:rPr>
          <w:i/>
          <w:iCs/>
        </w:rPr>
        <w:t>ов</w:t>
      </w:r>
      <w:r w:rsidRPr="00527983">
        <w:rPr>
          <w:i/>
          <w:iCs/>
        </w:rPr>
        <w:t xml:space="preserve"> на тюлени монаси (Monachus monachus)</w:t>
      </w:r>
    </w:p>
    <w:p w:rsidR="001C5064" w:rsidRPr="00527983" w:rsidRDefault="001C5064" w:rsidP="00527983">
      <w:pPr>
        <w:pStyle w:val="Point1"/>
      </w:pPr>
      <w:r w:rsidRPr="00527983">
        <w:t>1.</w:t>
      </w:r>
      <w:r w:rsidRPr="00CF52DD">
        <w:tab/>
      </w:r>
      <w:r w:rsidRPr="00527983">
        <w:t>Капитаните на риболовните кораби не вземат на борда, не трансбордират и</w:t>
      </w:r>
      <w:r w:rsidR="00383438" w:rsidRPr="00527983">
        <w:t>ли</w:t>
      </w:r>
      <w:r w:rsidRPr="00527983">
        <w:t xml:space="preserve"> не разтоварват тюлени монаси</w:t>
      </w:r>
      <w:r w:rsidR="00776919" w:rsidRPr="00527983">
        <w:t xml:space="preserve"> на сушата</w:t>
      </w:r>
      <w:r w:rsidRPr="00527983">
        <w:t xml:space="preserve"> освен в случаите, когато това е необходимо </w:t>
      </w:r>
      <w:r w:rsidR="00496109" w:rsidRPr="00527983">
        <w:t xml:space="preserve">с цел </w:t>
      </w:r>
      <w:r w:rsidRPr="00527983">
        <w:t>спасяване и осигуряване на помощ за възстановяването на</w:t>
      </w:r>
      <w:r w:rsidR="00776919" w:rsidRPr="00527983">
        <w:t xml:space="preserve"> отделни </w:t>
      </w:r>
      <w:r w:rsidRPr="00527983">
        <w:t xml:space="preserve">екземпляри, получили наранявания, и при условие че съответните компетентни национални органи са били надлежно и официално уведомени преди </w:t>
      </w:r>
      <w:r w:rsidR="00357A50" w:rsidRPr="00527983">
        <w:t xml:space="preserve">съответният </w:t>
      </w:r>
      <w:r w:rsidR="00496109" w:rsidRPr="00527983">
        <w:t xml:space="preserve">риболовен </w:t>
      </w:r>
      <w:r w:rsidR="00357A50" w:rsidRPr="00527983">
        <w:t>кораб да се е завърнал</w:t>
      </w:r>
      <w:r w:rsidRPr="00527983">
        <w:t xml:space="preserve"> в пристанището.</w:t>
      </w:r>
    </w:p>
    <w:p w:rsidR="001C5064" w:rsidRPr="00527983" w:rsidRDefault="001C5064" w:rsidP="00D95AA3">
      <w:pPr>
        <w:pStyle w:val="Point1"/>
      </w:pPr>
      <w:r w:rsidRPr="00527983">
        <w:t>2.</w:t>
      </w:r>
      <w:r w:rsidRPr="00CF52DD">
        <w:tab/>
      </w:r>
      <w:r w:rsidR="00357A50" w:rsidRPr="00527983">
        <w:t>Т</w:t>
      </w:r>
      <w:r w:rsidRPr="00527983">
        <w:t>юлени монаси, случайно</w:t>
      </w:r>
      <w:r w:rsidRPr="00CF52DD">
        <w:t xml:space="preserve"> </w:t>
      </w:r>
      <w:r w:rsidRPr="00527983">
        <w:t xml:space="preserve">уловени в риболовни съоръжения, се освобождават живи и </w:t>
      </w:r>
      <w:r w:rsidR="00D95AA3" w:rsidRPr="00D95AA3">
        <w:t>неувредени</w:t>
      </w:r>
      <w:r w:rsidRPr="00527983">
        <w:t xml:space="preserve">. Мъртвите екземпляри се разтоварват на сушата и се </w:t>
      </w:r>
      <w:r w:rsidR="00776919" w:rsidRPr="00527983">
        <w:t xml:space="preserve">изземват </w:t>
      </w:r>
      <w:r w:rsidRPr="00527983">
        <w:t xml:space="preserve">и предоставят за </w:t>
      </w:r>
      <w:r w:rsidR="00776919" w:rsidRPr="00527983">
        <w:t xml:space="preserve">целите на </w:t>
      </w:r>
      <w:r w:rsidRPr="00527983">
        <w:t>научни изследвания или се унищожават от компетентните национални органи.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16и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Случа</w:t>
      </w:r>
      <w:r w:rsidR="00267A22" w:rsidRPr="00527983">
        <w:rPr>
          <w:i/>
          <w:iCs/>
        </w:rPr>
        <w:t>ен</w:t>
      </w:r>
      <w:r w:rsidRPr="00527983">
        <w:rPr>
          <w:i/>
          <w:iCs/>
        </w:rPr>
        <w:t xml:space="preserve"> ул</w:t>
      </w:r>
      <w:r w:rsidR="00267A22" w:rsidRPr="00527983">
        <w:rPr>
          <w:i/>
          <w:iCs/>
        </w:rPr>
        <w:t>ов</w:t>
      </w:r>
      <w:r w:rsidRPr="00527983">
        <w:rPr>
          <w:i/>
          <w:iCs/>
        </w:rPr>
        <w:t xml:space="preserve"> на китоподобни</w:t>
      </w:r>
    </w:p>
    <w:p w:rsidR="001C5064" w:rsidRPr="00527983" w:rsidRDefault="001C5064" w:rsidP="00D95AA3">
      <w:pPr>
        <w:pStyle w:val="Text1"/>
      </w:pPr>
      <w:r w:rsidRPr="00527983">
        <w:t xml:space="preserve">Риболовните кораби незабавно връщат обратно в морето живи и </w:t>
      </w:r>
      <w:r w:rsidR="00D95AA3" w:rsidRPr="00D95AA3">
        <w:t>неувредени</w:t>
      </w:r>
      <w:r w:rsidRPr="00527983">
        <w:t>, доколкото е възможно, китоподобните, които са уловени случайно в риболовните съоръжения и докарани до риболовния кораб.</w:t>
      </w:r>
    </w:p>
    <w:p w:rsidR="001C5064" w:rsidRPr="00527983" w:rsidRDefault="001A2101" w:rsidP="00527983">
      <w:pPr>
        <w:pStyle w:val="Text1"/>
        <w:rPr>
          <w:i/>
          <w:iCs/>
        </w:rPr>
      </w:pPr>
      <w:r>
        <w:rPr>
          <w:i/>
          <w:iCs/>
        </w:rPr>
        <w:br w:type="page"/>
      </w:r>
      <w:r w:rsidR="001C5064" w:rsidRPr="00527983">
        <w:rPr>
          <w:i/>
          <w:iCs/>
        </w:rPr>
        <w:t>Член 16й</w:t>
      </w:r>
      <w:r w:rsidR="00527983" w:rsidRPr="00527983">
        <w:rPr>
          <w:i/>
          <w:iCs/>
        </w:rPr>
        <w:br/>
      </w:r>
      <w:r w:rsidR="001C5064" w:rsidRPr="00527983">
        <w:rPr>
          <w:i/>
          <w:iCs/>
        </w:rPr>
        <w:t>Защитени акули и скатове</w:t>
      </w:r>
    </w:p>
    <w:p w:rsidR="001C5064" w:rsidRPr="00527983" w:rsidRDefault="001C5064" w:rsidP="005D6F50">
      <w:pPr>
        <w:pStyle w:val="Point1"/>
      </w:pPr>
      <w:r w:rsidRPr="00527983">
        <w:t>1.</w:t>
      </w:r>
      <w:r w:rsidRPr="00CF52DD">
        <w:tab/>
      </w:r>
      <w:r w:rsidRPr="00527983">
        <w:t>Не се задържат на борда, трансбордират, разтоварват</w:t>
      </w:r>
      <w:r w:rsidR="00357A50" w:rsidRPr="00527983">
        <w:t xml:space="preserve"> на сушата</w:t>
      </w:r>
      <w:r w:rsidRPr="00527983">
        <w:t>, прехвърлят, съхраняват, продават или излагат или предлагат за продажба видовете акули и скатове, включени в приложение II към Протокола относно специално защитените територии и биологичното разнообразие в Средиземноморието</w:t>
      </w:r>
      <w:r w:rsidRPr="001A2101">
        <w:rPr>
          <w:b/>
          <w:bCs/>
          <w:vertAlign w:val="superscript"/>
        </w:rPr>
        <w:t>******</w:t>
      </w:r>
      <w:r w:rsidRPr="00527983">
        <w:t xml:space="preserve"> (</w:t>
      </w:r>
      <w:r w:rsidR="00776919" w:rsidRPr="00527983">
        <w:t xml:space="preserve">наричан по-долу </w:t>
      </w:r>
      <w:r w:rsidRPr="00527983">
        <w:t>„Протокол</w:t>
      </w:r>
      <w:r w:rsidR="00496109" w:rsidRPr="00527983">
        <w:t>ът</w:t>
      </w:r>
      <w:r w:rsidRPr="00527983">
        <w:t xml:space="preserve"> към Барселонската конвенция“).</w:t>
      </w:r>
    </w:p>
    <w:p w:rsidR="001C5064" w:rsidRPr="00CF52DD" w:rsidRDefault="001C5064" w:rsidP="00D95AA3">
      <w:pPr>
        <w:pStyle w:val="Point1"/>
        <w:rPr>
          <w:rFonts w:eastAsia="Calibri"/>
        </w:rPr>
      </w:pPr>
      <w:r w:rsidRPr="00CF52DD">
        <w:rPr>
          <w:noProof/>
        </w:rPr>
        <w:t>2.</w:t>
      </w:r>
      <w:r w:rsidRPr="00CF52DD">
        <w:tab/>
        <w:t>Риболовните кораби, които случайно са уловили представители на видовете акули и скатове, включени в прилож</w:t>
      </w:r>
      <w:r w:rsidRPr="00D95AA3">
        <w:t xml:space="preserve">ение II към Протокола към Барселонската конвенция, незабавно ги освобождават живи и </w:t>
      </w:r>
      <w:r w:rsidR="00D95AA3" w:rsidRPr="00D95AA3">
        <w:t>неувредени</w:t>
      </w:r>
      <w:r w:rsidRPr="00D95AA3">
        <w:t>, доколкото</w:t>
      </w:r>
      <w:r w:rsidRPr="00527983">
        <w:t xml:space="preserve"> е възможно.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16к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Идентифициране на акули</w:t>
      </w:r>
    </w:p>
    <w:p w:rsidR="001C5064" w:rsidRPr="001A2101" w:rsidRDefault="001C5064" w:rsidP="001A2101">
      <w:pPr>
        <w:pStyle w:val="Text1"/>
      </w:pPr>
      <w:r w:rsidRPr="001A2101">
        <w:t>Забранява се обезглавяването и одирането на акули на борда и преди разтоварването</w:t>
      </w:r>
      <w:r w:rsidR="0037533C" w:rsidRPr="001A2101">
        <w:t xml:space="preserve"> на сушата</w:t>
      </w:r>
      <w:r w:rsidRPr="001A2101">
        <w:t>. Обезглавени и одрани акули не могат да се продават на пазарите за първоначална продажба след разтоварването.</w:t>
      </w:r>
    </w:p>
    <w:p w:rsidR="001C5064" w:rsidRPr="001A2101" w:rsidRDefault="001A2101" w:rsidP="00527983">
      <w:pPr>
        <w:pStyle w:val="Text1"/>
      </w:pPr>
      <w:r>
        <w:br w:type="page"/>
      </w:r>
      <w:r w:rsidRPr="001A2101">
        <w:t>ГЛАВА VI</w:t>
      </w:r>
      <w:r w:rsidRPr="001A2101">
        <w:br/>
        <w:t>МЕРКИ ЗА РИБОЛОВ НА МАЛКИ ПЕЛАГИЧНИ ЗАПАСИ В АДРИАТИЧЕСКО МОРЕ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16л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Управление на риболовния капацитет</w:t>
      </w:r>
    </w:p>
    <w:p w:rsidR="001C5064" w:rsidRPr="00527983" w:rsidRDefault="001C5064" w:rsidP="00527983">
      <w:pPr>
        <w:pStyle w:val="Point1"/>
      </w:pPr>
      <w:r w:rsidRPr="00527983">
        <w:t>1.</w:t>
      </w:r>
      <w:r w:rsidRPr="00527983">
        <w:tab/>
        <w:t xml:space="preserve">За целите на настоящия член референтният риболовен капацитет за малки пелагични запаси е капацитетът, установен въз основа на списъците с риболовни кораби на съответните държави членки, съобщени на секретариата на GFCM в съответствие с параграф 22 от </w:t>
      </w:r>
      <w:r w:rsidR="007C4BBF" w:rsidRPr="00527983">
        <w:t xml:space="preserve">Препоръка </w:t>
      </w:r>
      <w:r w:rsidRPr="00527983">
        <w:t>GFCM/37/2013/1. Тези списъци включват всички риболовни кораби, оборудвани с трални мрежи, мрежи гъргър или други видове заграждащи мрежи, различни от гъргъри, на които е разрешено да извършват риболов на малки пелагични запаси и които са регистрирани в пристанища</w:t>
      </w:r>
      <w:r w:rsidR="0037533C" w:rsidRPr="00527983">
        <w:t>, разположени</w:t>
      </w:r>
      <w:r w:rsidRPr="00527983">
        <w:t xml:space="preserve"> в географски подзони 17 и 18, </w:t>
      </w:r>
      <w:r w:rsidR="0037533C" w:rsidRPr="00527983">
        <w:t xml:space="preserve">посочени </w:t>
      </w:r>
      <w:r w:rsidRPr="00527983">
        <w:t xml:space="preserve">в приложение I към настоящия регламент, или </w:t>
      </w:r>
      <w:r w:rsidR="00357A50" w:rsidRPr="00527983">
        <w:t xml:space="preserve">които, въпреки че към 31 октомври 2013 г. са регистрирани в пристанища, разположени извън тези географски подзони, </w:t>
      </w:r>
      <w:r w:rsidRPr="00527983">
        <w:t>извършват дейност в географска подзона 17 или 18</w:t>
      </w:r>
      <w:r w:rsidR="0015299B" w:rsidRPr="00527983">
        <w:t>,</w:t>
      </w:r>
      <w:r w:rsidR="002F155E" w:rsidRPr="00527983">
        <w:t xml:space="preserve"> или </w:t>
      </w:r>
      <w:r w:rsidR="00496109" w:rsidRPr="00527983">
        <w:t xml:space="preserve">и </w:t>
      </w:r>
      <w:r w:rsidR="002F155E" w:rsidRPr="00527983">
        <w:t>в двет</w:t>
      </w:r>
      <w:r w:rsidR="00357A50" w:rsidRPr="00527983">
        <w:t>е.</w:t>
      </w:r>
    </w:p>
    <w:p w:rsidR="001C5064" w:rsidRPr="00527983" w:rsidRDefault="001C5064" w:rsidP="00527983">
      <w:pPr>
        <w:pStyle w:val="Point1"/>
      </w:pPr>
      <w:r w:rsidRPr="00527983">
        <w:t>2.</w:t>
      </w:r>
      <w:r w:rsidRPr="00CF52DD">
        <w:tab/>
      </w:r>
      <w:r w:rsidRPr="00527983">
        <w:t>Риболовните</w:t>
      </w:r>
      <w:r w:rsidRPr="00CF52DD">
        <w:t xml:space="preserve"> </w:t>
      </w:r>
      <w:r w:rsidRPr="00527983">
        <w:t xml:space="preserve">кораби, оборудвани с трални мрежи и мрежи гъргър — независимо от общата дължина на </w:t>
      </w:r>
      <w:r w:rsidR="00262088" w:rsidRPr="00527983">
        <w:t>съответния</w:t>
      </w:r>
      <w:r w:rsidR="00496109" w:rsidRPr="00527983">
        <w:t xml:space="preserve"> </w:t>
      </w:r>
      <w:r w:rsidRPr="00527983">
        <w:t xml:space="preserve">кораб, се класифицират като кораби, които извършват активен риболов на малки пелагични запаси, когато </w:t>
      </w:r>
      <w:r w:rsidR="0037533C" w:rsidRPr="00527983">
        <w:t xml:space="preserve">най-малко </w:t>
      </w:r>
      <w:r w:rsidRPr="00527983">
        <w:t>50% от улова им в живо тегло се състои от сардини и хамсия.</w:t>
      </w:r>
    </w:p>
    <w:p w:rsidR="001C5064" w:rsidRPr="00527983" w:rsidRDefault="001A2101" w:rsidP="00527983">
      <w:pPr>
        <w:pStyle w:val="Point1"/>
      </w:pPr>
      <w:r>
        <w:br w:type="page"/>
      </w:r>
      <w:r w:rsidR="001C5064" w:rsidRPr="00527983">
        <w:t>3.</w:t>
      </w:r>
      <w:r w:rsidR="001C5064" w:rsidRPr="00CF52DD">
        <w:tab/>
      </w:r>
      <w:r w:rsidR="001C5064" w:rsidRPr="00527983">
        <w:t xml:space="preserve">Държавите членки гарантират, че общият капацитет на флота от риболовни кораби, оборудвани с трални мрежи или мрежи гъргър и извършващи активен риболов на малки пелагични запаси в географска подзона 17, както по отношение на брутния тонаж (GT) или брутния регистриран тонаж (GRT), така и по отношение на мощността на двигателя (kW), отбелязани в националните регистри </w:t>
      </w:r>
      <w:r w:rsidR="0037533C" w:rsidRPr="00527983">
        <w:t>и р</w:t>
      </w:r>
      <w:r w:rsidR="0037533C" w:rsidRPr="00D95AA3">
        <w:t>егист</w:t>
      </w:r>
      <w:r w:rsidR="00496109" w:rsidRPr="00527983">
        <w:t>ъра</w:t>
      </w:r>
      <w:r w:rsidR="0037533C" w:rsidRPr="00527983">
        <w:t xml:space="preserve"> на </w:t>
      </w:r>
      <w:r w:rsidR="0037533C" w:rsidRPr="00D95AA3">
        <w:t xml:space="preserve">ЕС </w:t>
      </w:r>
      <w:r w:rsidR="001C5064" w:rsidRPr="00D95AA3">
        <w:t xml:space="preserve">на </w:t>
      </w:r>
      <w:r w:rsidR="00496109" w:rsidRPr="00D95AA3">
        <w:t>флот</w:t>
      </w:r>
      <w:r w:rsidR="00496109" w:rsidRPr="00527983">
        <w:t>а</w:t>
      </w:r>
      <w:r w:rsidR="001C5064" w:rsidRPr="00527983">
        <w:t>, в нито един момент не надхвърля референтния риболовен капацитет за малки пелагични запаси, посочен в параграф 1.</w:t>
      </w:r>
    </w:p>
    <w:p w:rsidR="001C5064" w:rsidRPr="00527983" w:rsidRDefault="001C5064" w:rsidP="00527983">
      <w:pPr>
        <w:pStyle w:val="Point1"/>
      </w:pPr>
      <w:r w:rsidRPr="00527983">
        <w:t>4.</w:t>
      </w:r>
      <w:r w:rsidRPr="00CF52DD">
        <w:tab/>
      </w:r>
      <w:r w:rsidRPr="00527983">
        <w:t xml:space="preserve">Държавите членки гарантират, че посочените в параграф 2 риболовни кораби, оборудвани с трални мрежи и мрежи гъргър за малки пелагични запаси, извършват дейност не повече от 20 риболовни дни месечно и не </w:t>
      </w:r>
      <w:r w:rsidR="00262088" w:rsidRPr="00527983">
        <w:t>повече от</w:t>
      </w:r>
      <w:r w:rsidRPr="00527983">
        <w:t xml:space="preserve"> 180 риболовни дни годишно.</w:t>
      </w:r>
    </w:p>
    <w:p w:rsidR="001C5064" w:rsidRPr="001A2101" w:rsidRDefault="001C5064" w:rsidP="00527983">
      <w:pPr>
        <w:pStyle w:val="Point1"/>
      </w:pPr>
      <w:r w:rsidRPr="00527983">
        <w:t>5.</w:t>
      </w:r>
      <w:r w:rsidRPr="00CF52DD">
        <w:tab/>
      </w:r>
      <w:r w:rsidRPr="00527983">
        <w:t>Риболов</w:t>
      </w:r>
      <w:r w:rsidR="0037533C" w:rsidRPr="00527983">
        <w:t>е</w:t>
      </w:r>
      <w:r w:rsidRPr="00527983">
        <w:t>н кораб, ко</w:t>
      </w:r>
      <w:r w:rsidR="0037533C" w:rsidRPr="00527983">
        <w:t>й</w:t>
      </w:r>
      <w:r w:rsidRPr="00527983">
        <w:t xml:space="preserve">то не </w:t>
      </w:r>
      <w:r w:rsidR="0037533C" w:rsidRPr="00527983">
        <w:t>е</w:t>
      </w:r>
      <w:r w:rsidRPr="00527983">
        <w:t xml:space="preserve"> включен в посочените в параграф 1 от настоящия член списъци </w:t>
      </w:r>
      <w:r w:rsidR="0037533C" w:rsidRPr="00527983">
        <w:t xml:space="preserve">на получилите разрешение </w:t>
      </w:r>
      <w:r w:rsidRPr="00527983">
        <w:t>риболовни кораби, няма право да извършват риболов или — чрез дерогация от член 15, параграф 1 от Регламент (ЕС) № 1380/2013,</w:t>
      </w:r>
      <w:r w:rsidRPr="001A2101">
        <w:t xml:space="preserve"> да задържа на борда или да разтоварва </w:t>
      </w:r>
      <w:r w:rsidR="0037533C" w:rsidRPr="001A2101">
        <w:t xml:space="preserve">на сушата </w:t>
      </w:r>
      <w:r w:rsidRPr="001A2101">
        <w:t xml:space="preserve">улов, който съдържа над 20% хамсия или сардини, или </w:t>
      </w:r>
      <w:r w:rsidR="0037533C" w:rsidRPr="001A2101">
        <w:t xml:space="preserve">и </w:t>
      </w:r>
      <w:r w:rsidRPr="001A2101">
        <w:t>хамсия</w:t>
      </w:r>
      <w:r w:rsidR="0037533C" w:rsidRPr="001A2101">
        <w:t>,</w:t>
      </w:r>
      <w:r w:rsidRPr="001A2101">
        <w:t xml:space="preserve"> и сардини, ако риболовни</w:t>
      </w:r>
      <w:r w:rsidR="0037533C" w:rsidRPr="001A2101">
        <w:t>ят</w:t>
      </w:r>
      <w:r w:rsidRPr="001A2101">
        <w:t xml:space="preserve"> кораб извършва риболовен рейс в географска подзона 17 или 18, или и в двете.</w:t>
      </w:r>
    </w:p>
    <w:p w:rsidR="00392E75" w:rsidRPr="001A2101" w:rsidRDefault="001C5064" w:rsidP="001A2101">
      <w:pPr>
        <w:pStyle w:val="Point1"/>
      </w:pPr>
      <w:r w:rsidRPr="001A2101">
        <w:t>6</w:t>
      </w:r>
      <w:r w:rsidRPr="00527983">
        <w:t>.</w:t>
      </w:r>
      <w:r w:rsidRPr="00CF52DD">
        <w:tab/>
      </w:r>
      <w:r w:rsidRPr="00527983">
        <w:t xml:space="preserve">Държавите членки съобщават на Комисията за всяко </w:t>
      </w:r>
      <w:r w:rsidR="0037533C" w:rsidRPr="00527983">
        <w:t>допълнение</w:t>
      </w:r>
      <w:r w:rsidRPr="00527983">
        <w:t>, заличаване или изменение</w:t>
      </w:r>
      <w:r w:rsidR="0037533C" w:rsidRPr="00527983">
        <w:t>, внесено в</w:t>
      </w:r>
      <w:r w:rsidRPr="00527983">
        <w:t xml:space="preserve"> посочените в параграф 1 списъци с </w:t>
      </w:r>
      <w:r w:rsidR="0037533C" w:rsidRPr="00527983">
        <w:t xml:space="preserve">получили разрешение </w:t>
      </w:r>
      <w:r w:rsidRPr="00527983">
        <w:t>риболовни кораби</w:t>
      </w:r>
      <w:r w:rsidR="00F76D8E" w:rsidRPr="00527983">
        <w:t xml:space="preserve">, веднага след </w:t>
      </w:r>
      <w:r w:rsidR="00496109" w:rsidRPr="00527983">
        <w:t>внасянето на</w:t>
      </w:r>
      <w:r w:rsidR="00F76D8E" w:rsidRPr="00527983">
        <w:t xml:space="preserve"> такова допълнение, заличаване или изменение</w:t>
      </w:r>
      <w:r w:rsidRPr="00527983">
        <w:t>. Тези промени не засягат референтния риболовен капацитет, посочен в параграф 1. Комисията препраща информацията</w:t>
      </w:r>
      <w:r w:rsidRPr="001A2101">
        <w:t xml:space="preserve"> до изпълнителния секретар на GFCM.</w:t>
      </w:r>
    </w:p>
    <w:p w:rsidR="001A2101" w:rsidRPr="00471436" w:rsidRDefault="003668EA" w:rsidP="001A2101">
      <w:pPr>
        <w:pStyle w:val="Point1"/>
        <w:spacing w:before="0" w:after="0" w:line="240" w:lineRule="auto"/>
        <w:ind w:left="1418"/>
        <w:rPr>
          <w:rFonts w:eastAsia="Calibri"/>
        </w:rPr>
      </w:pPr>
      <w:r>
        <w:rPr>
          <w:rFonts w:eastAsia="Calibri"/>
        </w:rPr>
        <w:br w:type="page"/>
      </w:r>
      <w:r w:rsidR="001A2101" w:rsidRPr="00471436">
        <w:rPr>
          <w:rFonts w:eastAsia="Calibri"/>
        </w:rPr>
        <w:t>______________</w:t>
      </w:r>
    </w:p>
    <w:p w:rsidR="001C5064" w:rsidRPr="001A2101" w:rsidRDefault="001C5064" w:rsidP="001A2101">
      <w:pPr>
        <w:pStyle w:val="Point1"/>
        <w:spacing w:before="0" w:after="0" w:line="240" w:lineRule="auto"/>
        <w:ind w:left="1418"/>
      </w:pPr>
      <w:r w:rsidRPr="001A2101">
        <w:rPr>
          <w:b/>
          <w:bCs/>
          <w:vertAlign w:val="superscript"/>
        </w:rPr>
        <w:t>*</w:t>
      </w:r>
      <w:r w:rsidRPr="001A2101">
        <w:tab/>
        <w:t>Директива 92/43/ЕИО на Съвета от 21 май 1992 г. за опазване на естествените местообитания и на дивата флора и фауна (ОВ L 206, 22.7.1992 г., стр. 7).</w:t>
      </w:r>
    </w:p>
    <w:p w:rsidR="001C5064" w:rsidRPr="001A2101" w:rsidRDefault="001C5064" w:rsidP="001A2101">
      <w:pPr>
        <w:pStyle w:val="Point1"/>
        <w:spacing w:before="0" w:after="0" w:line="240" w:lineRule="auto"/>
        <w:ind w:left="1418"/>
      </w:pPr>
      <w:r w:rsidRPr="001A2101">
        <w:rPr>
          <w:b/>
          <w:bCs/>
          <w:vertAlign w:val="superscript"/>
        </w:rPr>
        <w:t>**</w:t>
      </w:r>
      <w:r w:rsidRPr="001A2101">
        <w:tab/>
        <w:t>Регламент (ЕС) № 1380/2013 на Европейския парламент и на Съвета от 11 декември 2013 г. относно общата политика в областта на рибарството, за изменение на регламенти (ЕО) № 1954/2003 и (ЕО) № 1224/2009 на Съвета и за отмяна на регламенти (ЕО) № 2371/2002 и (ЕО) № 639/2004 на Съвета и Решение 2004/585/ЕО на Съвета (ОВ L 354, 28.12.2013 г., стр. 22).</w:t>
      </w:r>
    </w:p>
    <w:p w:rsidR="001C5064" w:rsidRPr="001A2101" w:rsidRDefault="001C5064" w:rsidP="001A2101">
      <w:pPr>
        <w:pStyle w:val="Point1"/>
        <w:spacing w:before="0" w:after="0" w:line="240" w:lineRule="auto"/>
        <w:ind w:left="1418"/>
      </w:pPr>
      <w:r w:rsidRPr="001A2101">
        <w:rPr>
          <w:b/>
          <w:bCs/>
          <w:vertAlign w:val="superscript"/>
        </w:rPr>
        <w:t>***</w:t>
      </w:r>
      <w:r w:rsidRPr="001A2101">
        <w:tab/>
        <w:t>Регламент (ЕО) № 1224/2009 на Съвета от 20 ноември 2009 г.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(ЕО) № 847/96, (ЕО) № 2371/2002, (ЕО) № 811/2004, (ЕО) № 768/2005, (ЕО) № 2115/2005, (ЕО) № 2166/2005, (ЕО) № 388/2006, (ЕО) № 509/2007, (ЕО) № 676/2007, (ЕО) № 1098/2007, (ЕО) № 1300/2008, (ЕО) № 1342/2008 и за отмяна на регламенти (ЕИО) № 2847/93, (ЕО) № 1627/94 и (ЕО) № 1966/2006 (ОВ L 343, 22.12.2009 г., стр. 1).</w:t>
      </w:r>
    </w:p>
    <w:p w:rsidR="001C5064" w:rsidRPr="001A2101" w:rsidRDefault="001C5064" w:rsidP="001A2101">
      <w:pPr>
        <w:pStyle w:val="Point1"/>
        <w:spacing w:before="0" w:after="0" w:line="240" w:lineRule="auto"/>
        <w:ind w:left="1418"/>
      </w:pPr>
      <w:r w:rsidRPr="001A2101">
        <w:rPr>
          <w:b/>
          <w:bCs/>
          <w:vertAlign w:val="superscript"/>
        </w:rPr>
        <w:t>****</w:t>
      </w:r>
      <w:r w:rsidRPr="001A2101">
        <w:tab/>
        <w:t>Директива 2009/147/ЕО на Европейския парламент и на Съвета от 30 ноември 2009 г. относно опазването на дивите птици (ОВ L 20, 26.1.2010 г., стр. 7).</w:t>
      </w:r>
    </w:p>
    <w:p w:rsidR="001C5064" w:rsidRPr="001A2101" w:rsidRDefault="001C5064" w:rsidP="001A2101">
      <w:pPr>
        <w:pStyle w:val="Point1"/>
        <w:spacing w:before="0" w:after="0" w:line="240" w:lineRule="auto"/>
        <w:ind w:left="1418"/>
      </w:pPr>
      <w:r w:rsidRPr="001A2101">
        <w:rPr>
          <w:b/>
          <w:bCs/>
          <w:vertAlign w:val="superscript"/>
        </w:rPr>
        <w:t>*****</w:t>
      </w:r>
      <w:r w:rsidRPr="001A2101">
        <w:tab/>
        <w:t>Регламент (ЕО) № 1185/2003 на Съвета от 26 юни 2003 г. за премахването на перките на акулите на борда на риболовните кораби (ОВ L 167, 4.7.2003 г., стр. 1).</w:t>
      </w:r>
    </w:p>
    <w:p w:rsidR="001C5064" w:rsidRPr="001A2101" w:rsidRDefault="001C5064" w:rsidP="001A2101">
      <w:pPr>
        <w:pStyle w:val="Point1"/>
        <w:spacing w:before="0" w:after="0" w:line="240" w:lineRule="auto"/>
        <w:ind w:left="1418"/>
      </w:pPr>
      <w:r w:rsidRPr="001A2101">
        <w:rPr>
          <w:b/>
          <w:bCs/>
          <w:vertAlign w:val="superscript"/>
        </w:rPr>
        <w:t>******</w:t>
      </w:r>
      <w:r w:rsidRPr="001A2101">
        <w:tab/>
        <w:t>ОВ L 322, 14.12.1999 г., стр. 3.</w:t>
      </w:r>
      <w:r w:rsidR="00D95AA3">
        <w:t>";</w:t>
      </w:r>
    </w:p>
    <w:p w:rsidR="001C5064" w:rsidRPr="001A2101" w:rsidRDefault="001A2101" w:rsidP="001A2101">
      <w:pPr>
        <w:pStyle w:val="Point0"/>
        <w:rPr>
          <w:noProof/>
        </w:rPr>
      </w:pPr>
      <w:r>
        <w:rPr>
          <w:noProof/>
        </w:rPr>
        <w:br w:type="page"/>
      </w:r>
      <w:r w:rsidR="001C5064" w:rsidRPr="001A2101">
        <w:rPr>
          <w:noProof/>
        </w:rPr>
        <w:t>3)</w:t>
      </w:r>
      <w:r w:rsidR="001C5064" w:rsidRPr="001A2101">
        <w:tab/>
      </w:r>
      <w:r w:rsidR="001C5064" w:rsidRPr="001A2101">
        <w:rPr>
          <w:noProof/>
        </w:rPr>
        <w:t>В дял ІІІ се вмъква следната глава:</w:t>
      </w:r>
    </w:p>
    <w:p w:rsidR="001C5064" w:rsidRPr="001A2101" w:rsidRDefault="001A2101" w:rsidP="00527983">
      <w:pPr>
        <w:pStyle w:val="Text1"/>
      </w:pPr>
      <w:r w:rsidRPr="001A2101">
        <w:t>„ГЛАВА I</w:t>
      </w:r>
      <w:r w:rsidR="005D6F50" w:rsidRPr="001A2101">
        <w:t>а</w:t>
      </w:r>
      <w:r w:rsidRPr="001A2101">
        <w:br/>
        <w:t>ЗАДЪЛЖЕНИЯ ЗА ЗАПИСВАНЕ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17а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Събиране на червени корали</w:t>
      </w:r>
    </w:p>
    <w:p w:rsidR="001C5064" w:rsidRPr="001A2101" w:rsidRDefault="001C5064" w:rsidP="001A2101">
      <w:pPr>
        <w:pStyle w:val="Text1"/>
        <w:rPr>
          <w:rFonts w:eastAsia="Calibri"/>
        </w:rPr>
      </w:pPr>
      <w:r w:rsidRPr="001A2101">
        <w:t xml:space="preserve">Риболовните кораби с разрешение да събират червени корали разполагат на борда с дневник, в който се записват ежедневният улов на червени корали и риболовните дейности по зона и дълбочина, включително броят на риболовните дни и гмурканията. Тази информация се съобщава на компетентните национални органи в рамките на </w:t>
      </w:r>
      <w:r w:rsidR="00FF4553" w:rsidRPr="001A2101">
        <w:t xml:space="preserve">крайния </w:t>
      </w:r>
      <w:r w:rsidRPr="001A2101">
        <w:t xml:space="preserve">срок, </w:t>
      </w:r>
      <w:r w:rsidR="005B7B05" w:rsidRPr="001A2101">
        <w:t>установен</w:t>
      </w:r>
      <w:r w:rsidRPr="001A2101">
        <w:t xml:space="preserve"> в член 14, параграф 6 от Регламент (ЕО) № 1224/2009.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Член 17б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Случа</w:t>
      </w:r>
      <w:r w:rsidR="00267A22" w:rsidRPr="00527983">
        <w:rPr>
          <w:i/>
          <w:iCs/>
        </w:rPr>
        <w:t>ен</w:t>
      </w:r>
      <w:r w:rsidRPr="00527983">
        <w:rPr>
          <w:i/>
          <w:iCs/>
        </w:rPr>
        <w:t xml:space="preserve"> ул</w:t>
      </w:r>
      <w:r w:rsidR="00267A22" w:rsidRPr="00527983">
        <w:rPr>
          <w:i/>
          <w:iCs/>
        </w:rPr>
        <w:t>ов</w:t>
      </w:r>
      <w:r w:rsidRPr="00527983">
        <w:rPr>
          <w:i/>
          <w:iCs/>
        </w:rPr>
        <w:t xml:space="preserve"> на </w:t>
      </w:r>
      <w:r w:rsidR="004F7963" w:rsidRPr="00527983">
        <w:rPr>
          <w:i/>
          <w:iCs/>
        </w:rPr>
        <w:t xml:space="preserve">определени </w:t>
      </w:r>
      <w:r w:rsidRPr="00527983">
        <w:rPr>
          <w:i/>
          <w:iCs/>
        </w:rPr>
        <w:t>морски видове</w:t>
      </w:r>
    </w:p>
    <w:p w:rsidR="001C5064" w:rsidRPr="00527983" w:rsidRDefault="001C5064" w:rsidP="00527983">
      <w:pPr>
        <w:pStyle w:val="Point1"/>
      </w:pPr>
      <w:r w:rsidRPr="00527983">
        <w:t>1.</w:t>
      </w:r>
      <w:r w:rsidRPr="00CF52DD">
        <w:tab/>
      </w:r>
      <w:r w:rsidRPr="00527983">
        <w:t>Без да се засяга член 15, параграф 5 от Регламент (ЕО) № 1224/2009, капитаните на риболовни кораби вписват в риболовния дневник, посочен в член 14 от същия регламент, следната информация:</w:t>
      </w:r>
    </w:p>
    <w:p w:rsidR="001C5064" w:rsidRPr="00527983" w:rsidRDefault="001C5064" w:rsidP="00527983">
      <w:pPr>
        <w:pStyle w:val="Point2"/>
      </w:pPr>
      <w:r w:rsidRPr="00527983">
        <w:t>а)</w:t>
      </w:r>
      <w:r w:rsidRPr="0015299B">
        <w:tab/>
      </w:r>
      <w:r w:rsidRPr="00527983">
        <w:t>всеки случаен улов и освобождаване на морски птици;</w:t>
      </w:r>
    </w:p>
    <w:p w:rsidR="001C5064" w:rsidRPr="00527983" w:rsidRDefault="001C5064" w:rsidP="00527983">
      <w:pPr>
        <w:pStyle w:val="Point2"/>
      </w:pPr>
      <w:r w:rsidRPr="00527983">
        <w:t>б)</w:t>
      </w:r>
      <w:r w:rsidRPr="00CF52DD">
        <w:tab/>
      </w:r>
      <w:r w:rsidRPr="00527983">
        <w:t>всеки случаен улов и освобождаване на морски костенурки;</w:t>
      </w:r>
    </w:p>
    <w:p w:rsidR="001C5064" w:rsidRPr="00527983" w:rsidRDefault="001C5064" w:rsidP="00527983">
      <w:pPr>
        <w:pStyle w:val="Point2"/>
      </w:pPr>
      <w:r w:rsidRPr="00527983">
        <w:t>в)</w:t>
      </w:r>
      <w:r w:rsidRPr="00CF52DD">
        <w:tab/>
      </w:r>
      <w:r w:rsidRPr="00527983">
        <w:t>всеки случаен улов и освобождаване на тюлени монаси;</w:t>
      </w:r>
    </w:p>
    <w:p w:rsidR="001C5064" w:rsidRPr="00527983" w:rsidRDefault="003668EA" w:rsidP="00527983">
      <w:pPr>
        <w:pStyle w:val="Point2"/>
      </w:pPr>
      <w:r>
        <w:br w:type="page"/>
      </w:r>
      <w:r w:rsidR="001C5064" w:rsidRPr="00527983">
        <w:t>г)</w:t>
      </w:r>
      <w:r w:rsidR="001C5064" w:rsidRPr="00CF52DD">
        <w:tab/>
      </w:r>
      <w:r w:rsidR="001C5064" w:rsidRPr="00527983">
        <w:t>всеки случаен улов и освобождаване на китоподобни;</w:t>
      </w:r>
    </w:p>
    <w:p w:rsidR="001C5064" w:rsidRPr="00527983" w:rsidRDefault="001C5064" w:rsidP="00527983">
      <w:pPr>
        <w:pStyle w:val="Point2"/>
      </w:pPr>
      <w:r w:rsidRPr="00527983">
        <w:t>д)</w:t>
      </w:r>
      <w:r w:rsidRPr="00CF52DD">
        <w:tab/>
      </w:r>
      <w:r w:rsidRPr="00527983">
        <w:t xml:space="preserve">всеки случаен улов и в случаите, когато това се изисква — освобождаване на акули и скатове от видовете, изброени в </w:t>
      </w:r>
      <w:r w:rsidR="00496109" w:rsidRPr="00527983">
        <w:t>приложение </w:t>
      </w:r>
      <w:r w:rsidRPr="00527983">
        <w:t>II или III към Протокола към Барселонската конвенция.</w:t>
      </w:r>
    </w:p>
    <w:p w:rsidR="001C5064" w:rsidRPr="00527983" w:rsidRDefault="0015299B" w:rsidP="00527983">
      <w:pPr>
        <w:pStyle w:val="Point1"/>
      </w:pPr>
      <w:r w:rsidRPr="00527983">
        <w:t>2</w:t>
      </w:r>
      <w:r w:rsidR="001C5064" w:rsidRPr="00527983">
        <w:t>.</w:t>
      </w:r>
      <w:r w:rsidR="001C5064" w:rsidRPr="00CF52DD">
        <w:tab/>
      </w:r>
      <w:r w:rsidR="001C5064" w:rsidRPr="00527983">
        <w:t xml:space="preserve">Националните доклади, предназначени </w:t>
      </w:r>
      <w:r w:rsidR="004F7963" w:rsidRPr="00527983">
        <w:t>за</w:t>
      </w:r>
      <w:r w:rsidR="001C5064" w:rsidRPr="00527983">
        <w:t xml:space="preserve"> анализ от НКК, следва, в допълнение към информацията, записана в риболовния дневник, да включват </w:t>
      </w:r>
      <w:r w:rsidR="004F7963" w:rsidRPr="00527983">
        <w:t>и</w:t>
      </w:r>
      <w:r w:rsidR="001C5064" w:rsidRPr="00527983">
        <w:t>:</w:t>
      </w:r>
    </w:p>
    <w:p w:rsidR="001C5064" w:rsidRPr="00527983" w:rsidRDefault="001C5064" w:rsidP="00527983">
      <w:pPr>
        <w:pStyle w:val="Point2"/>
      </w:pPr>
      <w:r w:rsidRPr="00527983">
        <w:t>а)</w:t>
      </w:r>
      <w:r w:rsidRPr="00527983">
        <w:tab/>
        <w:t>по отношение на случайния улов на морски костенурки, информация относно:</w:t>
      </w:r>
    </w:p>
    <w:p w:rsidR="001C5064" w:rsidRPr="00CF52DD" w:rsidRDefault="001C5064" w:rsidP="001A2101">
      <w:pPr>
        <w:pStyle w:val="Tiret3"/>
      </w:pPr>
      <w:r w:rsidRPr="00CF52DD">
        <w:t>типа риболовно съоръжение,</w:t>
      </w:r>
    </w:p>
    <w:p w:rsidR="001C5064" w:rsidRPr="00CF52DD" w:rsidRDefault="001C5064" w:rsidP="001A2101">
      <w:pPr>
        <w:pStyle w:val="Tiret3"/>
      </w:pPr>
      <w:r w:rsidRPr="00CF52DD">
        <w:t xml:space="preserve">времето на </w:t>
      </w:r>
      <w:r w:rsidR="004F7963">
        <w:t>случаите</w:t>
      </w:r>
      <w:r w:rsidRPr="00CF52DD">
        <w:t>,</w:t>
      </w:r>
    </w:p>
    <w:p w:rsidR="001C5064" w:rsidRPr="00CF52DD" w:rsidRDefault="001C5064" w:rsidP="001A2101">
      <w:pPr>
        <w:pStyle w:val="Tiret3"/>
      </w:pPr>
      <w:r w:rsidRPr="00CF52DD">
        <w:t>продължителността на потапяне,</w:t>
      </w:r>
    </w:p>
    <w:p w:rsidR="001C5064" w:rsidRPr="00CF52DD" w:rsidRDefault="001C5064" w:rsidP="001A2101">
      <w:pPr>
        <w:pStyle w:val="Tiret3"/>
      </w:pPr>
      <w:r w:rsidRPr="00CF52DD">
        <w:t>дълбочината и местоположението,</w:t>
      </w:r>
    </w:p>
    <w:p w:rsidR="001C5064" w:rsidRPr="00CF52DD" w:rsidRDefault="001C5064" w:rsidP="001A2101">
      <w:pPr>
        <w:pStyle w:val="Tiret3"/>
      </w:pPr>
      <w:r w:rsidRPr="00CF52DD">
        <w:t>целевите видове,</w:t>
      </w:r>
    </w:p>
    <w:p w:rsidR="001C5064" w:rsidRPr="00CF52DD" w:rsidRDefault="001C5064" w:rsidP="001A2101">
      <w:pPr>
        <w:pStyle w:val="Tiret3"/>
      </w:pPr>
      <w:r w:rsidRPr="00CF52DD">
        <w:t>видовете морски костенурки, и</w:t>
      </w:r>
    </w:p>
    <w:p w:rsidR="001C5064" w:rsidRPr="00CF52DD" w:rsidRDefault="001C5064" w:rsidP="001A2101">
      <w:pPr>
        <w:pStyle w:val="Tiret3"/>
      </w:pPr>
      <w:r w:rsidRPr="00CF52DD">
        <w:t xml:space="preserve">дали </w:t>
      </w:r>
      <w:r w:rsidR="00496109">
        <w:t xml:space="preserve">морските костенурки </w:t>
      </w:r>
      <w:r w:rsidRPr="00CF52DD">
        <w:t>са били изхвърлени мъртви или освободени живи;</w:t>
      </w:r>
    </w:p>
    <w:p w:rsidR="001C5064" w:rsidRPr="00527983" w:rsidRDefault="003668EA" w:rsidP="001A2101">
      <w:pPr>
        <w:pStyle w:val="Point2"/>
      </w:pPr>
      <w:r>
        <w:br w:type="page"/>
      </w:r>
      <w:r w:rsidR="001C5064" w:rsidRPr="00527983">
        <w:t>б)</w:t>
      </w:r>
      <w:r w:rsidR="001C5064" w:rsidRPr="00CF52DD">
        <w:tab/>
      </w:r>
      <w:r w:rsidR="001C5064" w:rsidRPr="00527983">
        <w:t>по отношение на случайния улов на китоподобни, информация относно:</w:t>
      </w:r>
    </w:p>
    <w:p w:rsidR="001C5064" w:rsidRPr="00CF52DD" w:rsidRDefault="001C5064" w:rsidP="001A2101">
      <w:pPr>
        <w:pStyle w:val="Tiret3"/>
      </w:pPr>
      <w:r w:rsidRPr="00CF52DD">
        <w:t>характеристиките на типа риболовно съоръжение,</w:t>
      </w:r>
    </w:p>
    <w:p w:rsidR="001C5064" w:rsidRPr="00CF52DD" w:rsidRDefault="001C5064" w:rsidP="001A2101">
      <w:pPr>
        <w:pStyle w:val="Tiret3"/>
      </w:pPr>
      <w:r w:rsidRPr="00CF52DD">
        <w:t xml:space="preserve">времето на </w:t>
      </w:r>
      <w:r w:rsidR="00FF4553">
        <w:t>случаите</w:t>
      </w:r>
      <w:r w:rsidRPr="00CF52DD">
        <w:t>,</w:t>
      </w:r>
    </w:p>
    <w:p w:rsidR="001C5064" w:rsidRPr="00CF52DD" w:rsidRDefault="001C5064" w:rsidP="001A2101">
      <w:pPr>
        <w:pStyle w:val="Tiret3"/>
      </w:pPr>
      <w:r w:rsidRPr="00CF52DD">
        <w:t>местоположението (като географска подзона или статистически квадрант съгласно приложение I към настоящия регламент), и</w:t>
      </w:r>
    </w:p>
    <w:p w:rsidR="001C5064" w:rsidRPr="00CF52DD" w:rsidRDefault="001C5064" w:rsidP="001A2101">
      <w:pPr>
        <w:pStyle w:val="Tiret3"/>
      </w:pPr>
      <w:r w:rsidRPr="00CF52DD">
        <w:t>дали става въпрос за делфин или друг вид китоподобни.</w:t>
      </w:r>
    </w:p>
    <w:p w:rsidR="001C5064" w:rsidRPr="00527983" w:rsidRDefault="0015299B" w:rsidP="001A2101">
      <w:pPr>
        <w:pStyle w:val="Point1"/>
      </w:pPr>
      <w:r w:rsidRPr="00527983">
        <w:t>3</w:t>
      </w:r>
      <w:r w:rsidR="001C5064" w:rsidRPr="00527983">
        <w:t>.</w:t>
      </w:r>
      <w:r w:rsidR="001C5064" w:rsidRPr="00CF52DD">
        <w:tab/>
      </w:r>
      <w:r w:rsidR="001C5064" w:rsidRPr="00527983">
        <w:t>В срок до 31 декември 2015 г. държавите членки установяват правилата</w:t>
      </w:r>
      <w:r w:rsidR="00F76D8E" w:rsidRPr="00527983">
        <w:t>, посочени в параграф 1,</w:t>
      </w:r>
      <w:r w:rsidR="001C5064" w:rsidRPr="00527983">
        <w:t xml:space="preserve"> за записване на случа</w:t>
      </w:r>
      <w:r w:rsidR="00F76D8E" w:rsidRPr="00527983">
        <w:t>йния</w:t>
      </w:r>
      <w:r w:rsidR="001C5064" w:rsidRPr="00527983">
        <w:t xml:space="preserve"> улов от страна на капитаните на риболовни кораби, които не са задължени да водят риболовен дневник съгласно член 14 от Регламент (ЕО) № 1224/2009.“</w:t>
      </w:r>
      <w:r w:rsidR="00F76D8E" w:rsidRPr="00527983">
        <w:t>;</w:t>
      </w:r>
    </w:p>
    <w:p w:rsidR="001C5064" w:rsidRPr="00527983" w:rsidRDefault="001C5064" w:rsidP="00527983">
      <w:pPr>
        <w:pStyle w:val="Point0"/>
      </w:pPr>
      <w:r w:rsidRPr="00527983">
        <w:t>4)</w:t>
      </w:r>
      <w:r w:rsidRPr="00CF52DD">
        <w:tab/>
      </w:r>
      <w:r w:rsidRPr="00527983">
        <w:t>Вмъкват се следните членове:</w:t>
      </w:r>
    </w:p>
    <w:p w:rsidR="001C5064" w:rsidRPr="00527983" w:rsidRDefault="001C5064" w:rsidP="00527983">
      <w:pPr>
        <w:pStyle w:val="Text1"/>
        <w:rPr>
          <w:i/>
          <w:iCs/>
        </w:rPr>
      </w:pPr>
      <w:r w:rsidRPr="00527983">
        <w:rPr>
          <w:i/>
          <w:iCs/>
        </w:rPr>
        <w:t>„Член 23a</w:t>
      </w:r>
      <w:r w:rsidR="00527983" w:rsidRPr="00527983">
        <w:rPr>
          <w:i/>
          <w:iCs/>
        </w:rPr>
        <w:br/>
      </w:r>
      <w:r w:rsidRPr="00527983">
        <w:rPr>
          <w:i/>
          <w:iCs/>
        </w:rPr>
        <w:t>Докладване на данни</w:t>
      </w:r>
      <w:r w:rsidR="003A505F" w:rsidRPr="00527983">
        <w:rPr>
          <w:i/>
          <w:iCs/>
        </w:rPr>
        <w:t xml:space="preserve"> от значение</w:t>
      </w:r>
      <w:r w:rsidRPr="00527983">
        <w:rPr>
          <w:i/>
          <w:iCs/>
        </w:rPr>
        <w:t xml:space="preserve"> на Комисията</w:t>
      </w:r>
    </w:p>
    <w:p w:rsidR="001C5064" w:rsidRPr="001A2101" w:rsidRDefault="001C5064" w:rsidP="00D95AA3">
      <w:pPr>
        <w:pStyle w:val="Point1"/>
      </w:pPr>
      <w:r w:rsidRPr="001A2101">
        <w:t>1.</w:t>
      </w:r>
      <w:r w:rsidRPr="00CF52DD">
        <w:tab/>
      </w:r>
      <w:r w:rsidR="004F7963" w:rsidRPr="001A2101">
        <w:t>Д</w:t>
      </w:r>
      <w:r w:rsidRPr="001A2101">
        <w:t>о 15 </w:t>
      </w:r>
      <w:r w:rsidRPr="00527983">
        <w:t>декември</w:t>
      </w:r>
      <w:r w:rsidRPr="001A2101">
        <w:t xml:space="preserve"> всяка година </w:t>
      </w:r>
      <w:r w:rsidR="004F7963" w:rsidRPr="001A2101">
        <w:t xml:space="preserve">съответните </w:t>
      </w:r>
      <w:r w:rsidRPr="001A2101">
        <w:t>държави членки представят на Комисията:</w:t>
      </w:r>
    </w:p>
    <w:p w:rsidR="001C5064" w:rsidRPr="00527983" w:rsidRDefault="001C5064" w:rsidP="00527983">
      <w:pPr>
        <w:pStyle w:val="Point2"/>
      </w:pPr>
      <w:r w:rsidRPr="00CF52DD">
        <w:rPr>
          <w:rFonts w:asciiTheme="majorBidi" w:hAnsiTheme="majorBidi" w:cstheme="majorBidi"/>
          <w:noProof/>
        </w:rPr>
        <w:t>а)</w:t>
      </w:r>
      <w:r>
        <w:rPr>
          <w:rFonts w:asciiTheme="majorBidi" w:hAnsiTheme="majorBidi" w:cstheme="majorBidi"/>
          <w:noProof/>
        </w:rPr>
        <w:tab/>
      </w:r>
      <w:r w:rsidRPr="00CF52DD">
        <w:rPr>
          <w:rFonts w:asciiTheme="majorBidi" w:hAnsiTheme="majorBidi" w:cstheme="majorBidi"/>
          <w:noProof/>
        </w:rPr>
        <w:t xml:space="preserve">данните </w:t>
      </w:r>
      <w:r w:rsidRPr="00527983">
        <w:t>относно червените корали, посочени в член 17a; и</w:t>
      </w:r>
    </w:p>
    <w:p w:rsidR="001C5064" w:rsidRPr="00CF52DD" w:rsidRDefault="003668EA" w:rsidP="00527983">
      <w:pPr>
        <w:pStyle w:val="Point2"/>
        <w:rPr>
          <w:rFonts w:asciiTheme="majorBidi" w:eastAsia="Calibri" w:hAnsiTheme="majorBidi" w:cstheme="majorBidi"/>
        </w:rPr>
      </w:pPr>
      <w:r>
        <w:br w:type="page"/>
      </w:r>
      <w:r w:rsidR="001C5064" w:rsidRPr="00527983">
        <w:t>б)</w:t>
      </w:r>
      <w:r w:rsidR="001C5064" w:rsidRPr="00527983">
        <w:tab/>
        <w:t>под формата на електронен доклад — процентите на случаен улов и освоб</w:t>
      </w:r>
      <w:r w:rsidR="001C5064" w:rsidRPr="00D95AA3">
        <w:t>ождава</w:t>
      </w:r>
      <w:r w:rsidR="001C5064" w:rsidRPr="00527983">
        <w:t>не на морски птици, морски костенурки, тюлени монаси, китоподобни и акули и скатове, както и всяка информация</w:t>
      </w:r>
      <w:r w:rsidR="003A505F" w:rsidRPr="00527983">
        <w:t xml:space="preserve"> от значение</w:t>
      </w:r>
      <w:r w:rsidR="001C5064" w:rsidRPr="00527983">
        <w:t>, докладвана съгласно член 17б, параграф</w:t>
      </w:r>
      <w:r w:rsidR="001C5064" w:rsidRPr="00CF52DD">
        <w:rPr>
          <w:rFonts w:asciiTheme="majorBidi" w:hAnsiTheme="majorBidi" w:cstheme="majorBidi"/>
        </w:rPr>
        <w:t> 1, букви a), б), в), г) и д) съответно.</w:t>
      </w:r>
    </w:p>
    <w:p w:rsidR="001C5064" w:rsidRPr="00527983" w:rsidRDefault="001C5064" w:rsidP="00527983">
      <w:pPr>
        <w:pStyle w:val="Point1"/>
      </w:pPr>
      <w:r w:rsidRPr="00527983">
        <w:t>2.</w:t>
      </w:r>
      <w:r w:rsidRPr="00CF52DD">
        <w:tab/>
      </w:r>
      <w:r w:rsidR="004F7963" w:rsidRPr="00527983">
        <w:t>Д</w:t>
      </w:r>
      <w:r w:rsidRPr="00527983">
        <w:t>о 31 декември всяка година Комисията предава информацията, посочена в параграф 1, на изпълнителния секретар на GFCM.</w:t>
      </w:r>
    </w:p>
    <w:p w:rsidR="001C5064" w:rsidRPr="00527983" w:rsidRDefault="001C5064" w:rsidP="00527983">
      <w:pPr>
        <w:pStyle w:val="Point1"/>
      </w:pPr>
      <w:r w:rsidRPr="00527983">
        <w:t>3.</w:t>
      </w:r>
      <w:r w:rsidRPr="00CF52DD">
        <w:tab/>
      </w:r>
      <w:r w:rsidRPr="00527983">
        <w:t xml:space="preserve">Държавите членки съобщават на Комисията за всички промени </w:t>
      </w:r>
      <w:r w:rsidR="004F7963" w:rsidRPr="00527983">
        <w:t xml:space="preserve">в </w:t>
      </w:r>
      <w:r w:rsidRPr="00527983">
        <w:t xml:space="preserve">списъка </w:t>
      </w:r>
      <w:r w:rsidR="003A505F" w:rsidRPr="00527983">
        <w:t xml:space="preserve">на </w:t>
      </w:r>
      <w:r w:rsidRPr="00527983">
        <w:t>пристанищата, определени за разтоварване</w:t>
      </w:r>
      <w:r w:rsidR="00F76D8E" w:rsidRPr="00527983">
        <w:t xml:space="preserve"> </w:t>
      </w:r>
      <w:r w:rsidRPr="00527983">
        <w:t xml:space="preserve">на събрани червени корали в съответствие с параграф 5 от </w:t>
      </w:r>
      <w:r w:rsidR="007C4BBF" w:rsidRPr="00527983">
        <w:t xml:space="preserve">Препоръка </w:t>
      </w:r>
      <w:r w:rsidRPr="00527983">
        <w:t>GFCM/36/2012/1.</w:t>
      </w:r>
    </w:p>
    <w:p w:rsidR="001C5064" w:rsidRPr="00527983" w:rsidRDefault="001C5064" w:rsidP="00527983">
      <w:pPr>
        <w:pStyle w:val="Point1"/>
      </w:pPr>
      <w:r w:rsidRPr="00527983">
        <w:t>4.</w:t>
      </w:r>
      <w:r w:rsidRPr="00CF52DD">
        <w:tab/>
      </w:r>
      <w:r w:rsidRPr="00527983">
        <w:t xml:space="preserve">Държавите членки </w:t>
      </w:r>
      <w:r w:rsidR="004F7963" w:rsidRPr="00527983">
        <w:t xml:space="preserve">въвеждат </w:t>
      </w:r>
      <w:r w:rsidRPr="00527983">
        <w:t>подходящ</w:t>
      </w:r>
      <w:r w:rsidR="00F76D8E" w:rsidRPr="00527983">
        <w:t>и системи за</w:t>
      </w:r>
      <w:r w:rsidRPr="00527983">
        <w:t xml:space="preserve"> мониторинг с цел да събират надеждна информация относно въздействието</w:t>
      </w:r>
      <w:r w:rsidR="00F76D8E" w:rsidRPr="00527983">
        <w:t xml:space="preserve"> върху популациите на китоподобни в Черно море</w:t>
      </w:r>
      <w:r w:rsidRPr="00527983">
        <w:t xml:space="preserve">, </w:t>
      </w:r>
      <w:r w:rsidR="0015299B" w:rsidRPr="00527983">
        <w:t xml:space="preserve">оказвано от </w:t>
      </w:r>
      <w:r w:rsidRPr="00527983">
        <w:t>риболовните кораби, извършващи риболов на черноморска бодлива акула с дънни хрилни мрежи, и представят</w:t>
      </w:r>
      <w:r w:rsidR="00F76D8E" w:rsidRPr="00527983">
        <w:t xml:space="preserve"> посочената информация</w:t>
      </w:r>
      <w:r w:rsidRPr="00527983">
        <w:t xml:space="preserve"> на Комисията.</w:t>
      </w:r>
    </w:p>
    <w:p w:rsidR="001C5064" w:rsidRPr="0015299B" w:rsidRDefault="001C5064" w:rsidP="00527983">
      <w:pPr>
        <w:pStyle w:val="Point1"/>
        <w:rPr>
          <w:rFonts w:asciiTheme="majorBidi" w:hAnsiTheme="majorBidi" w:cstheme="majorBidi"/>
          <w:noProof/>
        </w:rPr>
      </w:pPr>
      <w:r w:rsidRPr="00527983">
        <w:t>5.</w:t>
      </w:r>
      <w:r w:rsidRPr="00CF52DD">
        <w:tab/>
      </w:r>
      <w:r w:rsidRPr="00527983">
        <w:t>Държавите членки уведомяват Комисията за всички промени</w:t>
      </w:r>
      <w:r w:rsidR="00D95AA3">
        <w:t>, внесени</w:t>
      </w:r>
      <w:r w:rsidRPr="00527983">
        <w:t xml:space="preserve"> в картите и списъците с геогра</w:t>
      </w:r>
      <w:r w:rsidRPr="00D95AA3">
        <w:t xml:space="preserve">фски </w:t>
      </w:r>
      <w:r w:rsidR="004F7963" w:rsidRPr="00527983">
        <w:t>местоположения</w:t>
      </w:r>
      <w:r w:rsidRPr="00527983">
        <w:t xml:space="preserve">, указващи </w:t>
      </w:r>
      <w:r w:rsidR="004F7963" w:rsidRPr="00527983">
        <w:t xml:space="preserve">разположението </w:t>
      </w:r>
      <w:r w:rsidRPr="00527983">
        <w:t>на пещери на тюлени монаси, както е посочено в параграф</w:t>
      </w:r>
      <w:r w:rsidRPr="0015299B">
        <w:rPr>
          <w:rFonts w:asciiTheme="majorBidi" w:hAnsiTheme="majorBidi" w:cstheme="majorBidi"/>
        </w:rPr>
        <w:t xml:space="preserve"> 6 от </w:t>
      </w:r>
      <w:r w:rsidR="007C4BBF" w:rsidRPr="0015299B">
        <w:rPr>
          <w:rFonts w:asciiTheme="majorBidi" w:hAnsiTheme="majorBidi" w:cstheme="majorBidi"/>
        </w:rPr>
        <w:t xml:space="preserve">Препоръка </w:t>
      </w:r>
      <w:r w:rsidRPr="0015299B">
        <w:rPr>
          <w:rFonts w:asciiTheme="majorBidi" w:hAnsiTheme="majorBidi" w:cstheme="majorBidi"/>
        </w:rPr>
        <w:t>GFCM/35/2011/5.</w:t>
      </w:r>
    </w:p>
    <w:p w:rsidR="001C5064" w:rsidRPr="00527983" w:rsidRDefault="001C5064" w:rsidP="00527983">
      <w:pPr>
        <w:pStyle w:val="Point1"/>
      </w:pPr>
      <w:r w:rsidRPr="00527983">
        <w:t>6.</w:t>
      </w:r>
      <w:r w:rsidRPr="0015299B">
        <w:tab/>
      </w:r>
      <w:r w:rsidRPr="00527983">
        <w:t>Комисията предава незабавно информацията, посочена в параграфи 3, 4 и 5, на изпълнителния секретар на GFCM.</w:t>
      </w:r>
    </w:p>
    <w:p w:rsidR="001C5064" w:rsidRPr="00527983" w:rsidRDefault="003668EA" w:rsidP="00527983">
      <w:pPr>
        <w:pStyle w:val="Point1"/>
      </w:pPr>
      <w:r>
        <w:br w:type="page"/>
      </w:r>
      <w:r w:rsidR="001C5064" w:rsidRPr="00527983">
        <w:t>7.</w:t>
      </w:r>
      <w:r w:rsidR="001C5064" w:rsidRPr="00CF52DD">
        <w:tab/>
      </w:r>
      <w:r w:rsidR="001C5064" w:rsidRPr="00527983">
        <w:t>Комисията може да приеме актове за изпълнение по отношение на формата и предаването на информацията, посочена в параграфи 1, 3, 4 и 5. Тези актове за изпълнение се приемат в съответствие с процедурата по разглеждане, посочена в член 25, параграф 2.</w:t>
      </w:r>
    </w:p>
    <w:p w:rsidR="001C5064" w:rsidRPr="00527983" w:rsidRDefault="001C5064" w:rsidP="00527983">
      <w:pPr>
        <w:pStyle w:val="Text1"/>
        <w:rPr>
          <w:rFonts w:eastAsia="Calibri"/>
          <w:i/>
          <w:iCs/>
          <w:highlight w:val="yellow"/>
        </w:rPr>
      </w:pPr>
      <w:r w:rsidRPr="00527983">
        <w:rPr>
          <w:i/>
          <w:iCs/>
        </w:rPr>
        <w:t>Член 23б</w:t>
      </w:r>
      <w:r w:rsidR="00527983" w:rsidRPr="00527983">
        <w:rPr>
          <w:i/>
          <w:iCs/>
          <w:lang w:val="ru-RU"/>
        </w:rPr>
        <w:br/>
      </w:r>
      <w:r w:rsidRPr="00527983">
        <w:rPr>
          <w:i/>
          <w:iCs/>
          <w:noProof/>
        </w:rPr>
        <w:t>Контрол, мониторинг и наблюдение на риболова на малки пелагични запаси в Адриатическо море</w:t>
      </w:r>
    </w:p>
    <w:p w:rsidR="001C5064" w:rsidRPr="00527983" w:rsidRDefault="001C5064" w:rsidP="00D95AA3">
      <w:pPr>
        <w:pStyle w:val="Point1"/>
      </w:pPr>
      <w:r w:rsidRPr="00527983">
        <w:t>1.</w:t>
      </w:r>
      <w:r w:rsidRPr="00CF52DD">
        <w:tab/>
      </w:r>
      <w:r w:rsidR="009B6AFE" w:rsidRPr="00527983">
        <w:t>Д</w:t>
      </w:r>
      <w:r w:rsidRPr="00527983">
        <w:t>о 1 октомври</w:t>
      </w:r>
      <w:r w:rsidRPr="00CF52DD">
        <w:t xml:space="preserve"> </w:t>
      </w:r>
      <w:r w:rsidRPr="00527983">
        <w:t xml:space="preserve">всяка година държавите членки </w:t>
      </w:r>
      <w:r w:rsidR="00D95AA3">
        <w:t>съобщават на</w:t>
      </w:r>
      <w:r w:rsidRPr="00527983">
        <w:t xml:space="preserve"> Комисията своите планове и програми, с които се </w:t>
      </w:r>
      <w:r w:rsidR="004F7963" w:rsidRPr="00527983">
        <w:t xml:space="preserve">осигурява </w:t>
      </w:r>
      <w:r w:rsidRPr="00527983">
        <w:t>спазването на член 16л чрез подходящ мониторинг и докладване, по-специално във връзка с месечния улов и извърш</w:t>
      </w:r>
      <w:r w:rsidRPr="00D95AA3">
        <w:t>е</w:t>
      </w:r>
      <w:r w:rsidRPr="00527983">
        <w:t>ното риболовно усилие.</w:t>
      </w:r>
    </w:p>
    <w:p w:rsidR="001C5064" w:rsidRPr="00527983" w:rsidRDefault="001C5064" w:rsidP="00527983">
      <w:pPr>
        <w:pStyle w:val="Point1"/>
      </w:pPr>
      <w:r w:rsidRPr="00527983">
        <w:t>2.</w:t>
      </w:r>
      <w:r w:rsidRPr="00CF52DD">
        <w:tab/>
      </w:r>
      <w:r w:rsidRPr="00527983">
        <w:t>Не по-късно от 30 октомври всяка година Комисията препраща информацията, посочена в параграф 1, на изпълнителния секретар на GFCM.“</w:t>
      </w:r>
      <w:r w:rsidR="00746AFB" w:rsidRPr="00527983">
        <w:t>;</w:t>
      </w:r>
    </w:p>
    <w:p w:rsidR="0015299B" w:rsidRDefault="001C5064" w:rsidP="00527983">
      <w:pPr>
        <w:pStyle w:val="Point0"/>
      </w:pPr>
      <w:r w:rsidRPr="00527983">
        <w:t>5)</w:t>
      </w:r>
      <w:r w:rsidRPr="00CF52DD">
        <w:tab/>
      </w:r>
      <w:r w:rsidR="0015299B">
        <w:t>Член 27 се изменя, както следва:</w:t>
      </w:r>
    </w:p>
    <w:p w:rsidR="0015299B" w:rsidRDefault="0015299B" w:rsidP="001A2101">
      <w:pPr>
        <w:pStyle w:val="Point1"/>
      </w:pPr>
      <w:r>
        <w:t>а)</w:t>
      </w:r>
      <w:r w:rsidR="00527983" w:rsidRPr="00527983">
        <w:tab/>
      </w:r>
      <w:r>
        <w:t xml:space="preserve">думите </w:t>
      </w:r>
      <w:r w:rsidR="001A2101">
        <w:t>„</w:t>
      </w:r>
      <w:r>
        <w:t>член 26</w:t>
      </w:r>
      <w:r w:rsidR="001A2101">
        <w:t>“</w:t>
      </w:r>
      <w:r>
        <w:t xml:space="preserve"> се заменят с думите </w:t>
      </w:r>
      <w:r w:rsidR="001A2101">
        <w:t>„</w:t>
      </w:r>
      <w:r>
        <w:t>членове 16б, 16в и 26</w:t>
      </w:r>
      <w:r w:rsidR="001A2101">
        <w:t>“</w:t>
      </w:r>
      <w:r>
        <w:t>, като се правят необходимите граматични изменения;</w:t>
      </w:r>
    </w:p>
    <w:p w:rsidR="001C5064" w:rsidRPr="00527983" w:rsidRDefault="0015299B" w:rsidP="001A2101">
      <w:pPr>
        <w:pStyle w:val="Point1"/>
      </w:pPr>
      <w:r w:rsidRPr="00527983">
        <w:t>б)</w:t>
      </w:r>
      <w:r w:rsidR="00527983" w:rsidRPr="00527983">
        <w:tab/>
      </w:r>
      <w:r w:rsidRPr="00527983">
        <w:t>в</w:t>
      </w:r>
      <w:r w:rsidR="001C5064" w:rsidRPr="00527983">
        <w:t xml:space="preserve"> първото изречение на</w:t>
      </w:r>
      <w:r w:rsidR="00D95AA3">
        <w:t xml:space="preserve"> </w:t>
      </w:r>
      <w:r w:rsidR="001C5064" w:rsidRPr="00527983">
        <w:t>параграф 2 датата „19 януари 2012 г.“ се заменя с датата</w:t>
      </w:r>
      <w:r w:rsidR="001A2101">
        <w:t xml:space="preserve"> „</w:t>
      </w:r>
      <w:r w:rsidR="001C5064" w:rsidRPr="00527983">
        <w:t>…</w:t>
      </w:r>
      <w:r w:rsidR="00746AFB" w:rsidRPr="005D6F50">
        <w:rPr>
          <w:b/>
          <w:bCs/>
          <w:vertAlign w:val="superscript"/>
        </w:rPr>
        <w:footnoteReference w:customMarkFollows="1" w:id="14"/>
        <w:t>+</w:t>
      </w:r>
      <w:r w:rsidR="001C5064" w:rsidRPr="00527983">
        <w:t>“.</w:t>
      </w:r>
    </w:p>
    <w:p w:rsidR="00392E75" w:rsidRPr="00A9501D" w:rsidRDefault="003668EA" w:rsidP="00A9501D">
      <w:pPr>
        <w:pStyle w:val="Titrearticle"/>
      </w:pPr>
      <w:r>
        <w:br w:type="page"/>
      </w:r>
      <w:r w:rsidR="00392E75" w:rsidRPr="00A9501D">
        <w:t>Член 2</w:t>
      </w:r>
      <w:r w:rsidR="00392E75" w:rsidRPr="00A9501D">
        <w:br/>
        <w:t>Влизане в сила</w:t>
      </w:r>
    </w:p>
    <w:p w:rsidR="001C5064" w:rsidRPr="00CF52DD" w:rsidRDefault="001C5064" w:rsidP="00527983">
      <w:pPr>
        <w:rPr>
          <w:noProof/>
        </w:rPr>
      </w:pPr>
      <w:r w:rsidRPr="00527983">
        <w:t>Настоящият</w:t>
      </w:r>
      <w:r w:rsidRPr="00527983">
        <w:rPr>
          <w:noProof/>
        </w:rPr>
        <w:t xml:space="preserve"> регламент влиза в сила на третия ден</w:t>
      </w:r>
      <w:r w:rsidRPr="00CF52DD">
        <w:rPr>
          <w:noProof/>
        </w:rPr>
        <w:t xml:space="preserve"> след публикуването му в </w:t>
      </w:r>
      <w:r w:rsidRPr="00CF52DD">
        <w:rPr>
          <w:i/>
          <w:noProof/>
        </w:rPr>
        <w:t>Официален вестник на Европейския съюз</w:t>
      </w:r>
      <w:r w:rsidRPr="00CF52DD">
        <w:rPr>
          <w:noProof/>
        </w:rPr>
        <w:t>.</w:t>
      </w:r>
    </w:p>
    <w:p w:rsidR="001C5064" w:rsidRPr="00CF52DD" w:rsidRDefault="001C5064" w:rsidP="00527983">
      <w:pPr>
        <w:pStyle w:val="Applicationdirecte"/>
        <w:rPr>
          <w:noProof/>
        </w:rPr>
      </w:pPr>
      <w:r w:rsidRPr="00CF52DD"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 w:rsidR="001C5064" w:rsidRPr="00CF52DD" w:rsidRDefault="001C5064" w:rsidP="00392E75">
      <w:pPr>
        <w:pStyle w:val="Fait"/>
        <w:rPr>
          <w:noProof/>
        </w:rPr>
      </w:pPr>
      <w:r w:rsidRPr="00CF52DD">
        <w:rPr>
          <w:noProof/>
        </w:rPr>
        <w:t>Съставено в</w:t>
      </w:r>
      <w:r w:rsidR="00A9501D">
        <w:t xml:space="preserve"> </w:t>
      </w:r>
      <w:r w:rsidR="00746AFB">
        <w:rPr>
          <w:noProof/>
        </w:rPr>
        <w:t>...</w:t>
      </w:r>
      <w:r w:rsidRPr="00CF52DD">
        <w:rPr>
          <w:noProof/>
        </w:rPr>
        <w:t xml:space="preserve"> на</w:t>
      </w:r>
    </w:p>
    <w:p w:rsidR="001C5064" w:rsidRPr="00A9501D" w:rsidRDefault="001C5064" w:rsidP="00A9501D">
      <w:pPr>
        <w:pStyle w:val="Institutionquisigne"/>
      </w:pPr>
      <w:r w:rsidRPr="00A9501D">
        <w:t>За Европейския парламент</w:t>
      </w:r>
      <w:r w:rsidRPr="00A9501D">
        <w:tab/>
        <w:t>За Съвета</w:t>
      </w:r>
    </w:p>
    <w:p w:rsidR="001C5064" w:rsidRPr="00A9501D" w:rsidRDefault="001C5064" w:rsidP="00527983">
      <w:pPr>
        <w:pStyle w:val="Personnequisigne"/>
      </w:pPr>
      <w:r w:rsidRPr="00527983">
        <w:t>Председател</w:t>
      </w:r>
      <w:r w:rsidRPr="00A9501D">
        <w:tab/>
        <w:t>Председател</w:t>
      </w:r>
    </w:p>
    <w:p w:rsidR="00F97A66" w:rsidRPr="005D6F50" w:rsidRDefault="00F97A66" w:rsidP="00EA528A">
      <w:pPr>
        <w:pStyle w:val="Lignefinal"/>
      </w:pPr>
    </w:p>
    <w:sectPr w:rsidR="00F97A66" w:rsidRPr="005D6F50" w:rsidSect="009E6FA9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footnotePr>
        <w:numRestart w:val="eachPage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0A" w:rsidRDefault="003C330A" w:rsidP="00170B6E">
      <w:pPr>
        <w:spacing w:before="0" w:after="0" w:line="240" w:lineRule="auto"/>
      </w:pPr>
      <w:r>
        <w:separator/>
      </w:r>
    </w:p>
  </w:endnote>
  <w:endnote w:type="continuationSeparator" w:id="0">
    <w:p w:rsidR="003C330A" w:rsidRDefault="003C330A" w:rsidP="00170B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50" w:rsidRPr="009E6FA9" w:rsidRDefault="005D6F50" w:rsidP="009E6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9E6FA9" w:rsidRPr="0035025C" w:rsidTr="009E6FA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6FA9" w:rsidRPr="0035025C" w:rsidRDefault="009E6FA9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LEGACTS"/>
        </w:p>
      </w:tc>
    </w:tr>
    <w:tr w:rsidR="009E6FA9" w:rsidRPr="00B310DC" w:rsidTr="009E6FA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6FA9" w:rsidRPr="00AD7BF2" w:rsidRDefault="009E6FA9" w:rsidP="0035025C">
          <w:pPr>
            <w:pStyle w:val="FooterText"/>
          </w:pPr>
          <w:r>
            <w:t xml:space="preserve">8806/1/15 REV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6FA9" w:rsidRPr="00AD7BF2" w:rsidRDefault="009E6FA9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6FA9" w:rsidRPr="002511D8" w:rsidRDefault="009E6FA9" w:rsidP="0035025C">
          <w:pPr>
            <w:pStyle w:val="FooterText"/>
            <w:jc w:val="center"/>
          </w:pPr>
          <w:r>
            <w:t>/</w:t>
          </w:r>
          <w:proofErr w:type="spellStart"/>
          <w:r>
            <w:t>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6FA9" w:rsidRPr="00B310DC" w:rsidRDefault="009E6FA9" w:rsidP="0035025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30</w:t>
          </w:r>
          <w:r>
            <w:fldChar w:fldCharType="end"/>
          </w:r>
        </w:p>
      </w:tc>
    </w:tr>
    <w:tr w:rsidR="009E6FA9" w:rsidRPr="0035025C" w:rsidTr="009E6FA9">
      <w:trPr>
        <w:jc w:val="center"/>
      </w:trPr>
      <w:tc>
        <w:tcPr>
          <w:tcW w:w="1774" w:type="pct"/>
          <w:shd w:val="clear" w:color="auto" w:fill="auto"/>
        </w:tcPr>
        <w:p w:rsidR="009E6FA9" w:rsidRPr="00AD7BF2" w:rsidRDefault="009E6FA9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9E6FA9" w:rsidRPr="00AD7BF2" w:rsidRDefault="009E6FA9" w:rsidP="0035025C">
          <w:pPr>
            <w:pStyle w:val="FooterText"/>
            <w:spacing w:before="40"/>
            <w:jc w:val="center"/>
          </w:pPr>
          <w:r>
            <w:t>DGB 2A</w:t>
          </w:r>
        </w:p>
      </w:tc>
      <w:tc>
        <w:tcPr>
          <w:tcW w:w="1107" w:type="pct"/>
          <w:shd w:val="clear" w:color="auto" w:fill="auto"/>
        </w:tcPr>
        <w:p w:rsidR="009E6FA9" w:rsidRPr="0035025C" w:rsidRDefault="009E6FA9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6FA9" w:rsidRPr="0035025C" w:rsidRDefault="009E6FA9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C330A" w:rsidRPr="009E6FA9" w:rsidRDefault="003C330A" w:rsidP="009E6FA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9E6FA9" w:rsidRPr="0035025C" w:rsidTr="009E6FA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6FA9" w:rsidRPr="0035025C" w:rsidRDefault="009E6FA9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6FA9" w:rsidRPr="00B310DC" w:rsidTr="009E6FA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6FA9" w:rsidRPr="00AD7BF2" w:rsidRDefault="009E6FA9" w:rsidP="0035025C">
          <w:pPr>
            <w:pStyle w:val="FooterText"/>
          </w:pPr>
          <w:r>
            <w:t xml:space="preserve">8806/1/15 REV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6FA9" w:rsidRPr="00AD7BF2" w:rsidRDefault="009E6FA9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6FA9" w:rsidRPr="002511D8" w:rsidRDefault="009E6FA9" w:rsidP="0035025C">
          <w:pPr>
            <w:pStyle w:val="FooterText"/>
            <w:jc w:val="center"/>
          </w:pPr>
          <w:r>
            <w:t>/</w:t>
          </w:r>
          <w:proofErr w:type="spellStart"/>
          <w:r>
            <w:t>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6FA9" w:rsidRPr="00B310DC" w:rsidRDefault="009E6FA9" w:rsidP="0035025C">
          <w:pPr>
            <w:pStyle w:val="FooterText"/>
            <w:jc w:val="right"/>
          </w:pPr>
        </w:p>
      </w:tc>
    </w:tr>
    <w:tr w:rsidR="009E6FA9" w:rsidRPr="0035025C" w:rsidTr="009E6FA9">
      <w:trPr>
        <w:jc w:val="center"/>
      </w:trPr>
      <w:tc>
        <w:tcPr>
          <w:tcW w:w="1774" w:type="pct"/>
          <w:shd w:val="clear" w:color="auto" w:fill="auto"/>
        </w:tcPr>
        <w:p w:rsidR="009E6FA9" w:rsidRPr="00AD7BF2" w:rsidRDefault="009E6FA9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9E6FA9" w:rsidRPr="00AD7BF2" w:rsidRDefault="009E6FA9" w:rsidP="0035025C">
          <w:pPr>
            <w:pStyle w:val="FooterText"/>
            <w:spacing w:before="40"/>
            <w:jc w:val="center"/>
          </w:pPr>
          <w:r>
            <w:t>DGB 2A</w:t>
          </w:r>
        </w:p>
      </w:tc>
      <w:tc>
        <w:tcPr>
          <w:tcW w:w="1107" w:type="pct"/>
          <w:shd w:val="clear" w:color="auto" w:fill="auto"/>
        </w:tcPr>
        <w:p w:rsidR="009E6FA9" w:rsidRPr="0035025C" w:rsidRDefault="009E6FA9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6FA9" w:rsidRPr="0035025C" w:rsidRDefault="009E6FA9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C330A" w:rsidRPr="009E6FA9" w:rsidRDefault="003C330A" w:rsidP="009E6FA9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0A" w:rsidRPr="009E6FA9" w:rsidRDefault="003C330A" w:rsidP="009E6FA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0A" w:rsidRPr="009E6FA9" w:rsidRDefault="003C330A" w:rsidP="009E6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0A" w:rsidRDefault="003C330A" w:rsidP="00170B6E">
      <w:pPr>
        <w:spacing w:before="0" w:after="0" w:line="240" w:lineRule="auto"/>
      </w:pPr>
      <w:r>
        <w:separator/>
      </w:r>
    </w:p>
  </w:footnote>
  <w:footnote w:type="continuationSeparator" w:id="0">
    <w:p w:rsidR="003C330A" w:rsidRDefault="003C330A" w:rsidP="00170B6E">
      <w:pPr>
        <w:spacing w:before="0" w:after="0" w:line="240" w:lineRule="auto"/>
      </w:pPr>
      <w:r>
        <w:continuationSeparator/>
      </w:r>
    </w:p>
  </w:footnote>
  <w:footnote w:id="1">
    <w:p w:rsidR="003C330A" w:rsidRPr="00322144" w:rsidRDefault="003C330A" w:rsidP="001C5064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ОВ C </w:t>
      </w:r>
      <w:r w:rsidRPr="007B38B2">
        <w:t>12, 15.1.2015 г., стр. 116.</w:t>
      </w:r>
    </w:p>
  </w:footnote>
  <w:footnote w:id="2">
    <w:p w:rsidR="003C330A" w:rsidRPr="00322144" w:rsidRDefault="003C330A" w:rsidP="009E6FA9">
      <w:pPr>
        <w:pStyle w:val="FootnoteText"/>
      </w:pPr>
      <w:r w:rsidRPr="007B38B2">
        <w:rPr>
          <w:rStyle w:val="FootnoteReference"/>
        </w:rPr>
        <w:footnoteRef/>
      </w:r>
      <w:r>
        <w:tab/>
      </w:r>
      <w:r w:rsidRPr="007B38B2">
        <w:t xml:space="preserve">Позиция на Европейския парламент от 13 януари 2015 г.(все още непубликувана в Официален вестник) и позиция на Съвета на първо четене от </w:t>
      </w:r>
      <w:r w:rsidR="009E6FA9">
        <w:t>13 юли 2015 г.</w:t>
      </w:r>
      <w:r w:rsidR="005D6F50" w:rsidRPr="005D6F50">
        <w:rPr>
          <w:lang w:val="ru-RU"/>
        </w:rPr>
        <w:t xml:space="preserve"> </w:t>
      </w:r>
      <w:r w:rsidRPr="00D03827">
        <w:t>(</w:t>
      </w:r>
      <w:r w:rsidRPr="007B38B2">
        <w:t>все още непубликувана в Официален вестник</w:t>
      </w:r>
      <w:r w:rsidRPr="00D03827">
        <w:t xml:space="preserve">). </w:t>
      </w:r>
      <w:r w:rsidRPr="007B38B2">
        <w:t>Позиция на Европейския парламент от</w:t>
      </w:r>
      <w:r w:rsidRPr="00D03827">
        <w:t>...</w:t>
      </w:r>
      <w:r w:rsidR="005D6F50" w:rsidRPr="005D6F50">
        <w:rPr>
          <w:lang w:val="ru-RU"/>
        </w:rPr>
        <w:t xml:space="preserve"> </w:t>
      </w:r>
      <w:r w:rsidRPr="00D03827">
        <w:t>(</w:t>
      </w:r>
      <w:r w:rsidRPr="007B38B2">
        <w:t>все още непубликувана в Официален вестник</w:t>
      </w:r>
      <w:r w:rsidR="005D6F50">
        <w:t>)</w:t>
      </w:r>
      <w:r w:rsidRPr="007B38B2">
        <w:t>.</w:t>
      </w:r>
    </w:p>
  </w:footnote>
  <w:footnote w:id="3">
    <w:p w:rsidR="003C330A" w:rsidRPr="00322144" w:rsidRDefault="003C330A" w:rsidP="001C5064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Регламент (ЕС) № 1343/2011 на Европейския парламент и на Съвета от 13 декември 2011 г. относно определени разпоредби за риболова в зоната по Споразумението за GFCM (Генералната комисия по рибарство в Средиземно море) и за изменение на Регламент (ЕО) № 1967/2006 на Съвета относно мерките за управление на устойчивата експлоатация на рибните ресурси в Средиземно море (OВ L 347, 30.12.2011 г., стр. 44).</w:t>
      </w:r>
    </w:p>
  </w:footnote>
  <w:footnote w:id="4">
    <w:p w:rsidR="003C330A" w:rsidRPr="00322144" w:rsidRDefault="003C330A" w:rsidP="007B38B2">
      <w:pPr>
        <w:pStyle w:val="FootnoteText"/>
        <w:rPr>
          <w:b/>
          <w:bCs/>
          <w:i/>
          <w:iCs/>
        </w:rPr>
      </w:pPr>
      <w:r w:rsidRPr="007B38B2">
        <w:rPr>
          <w:rStyle w:val="FootnoteReference"/>
        </w:rPr>
        <w:footnoteRef/>
      </w:r>
      <w:r>
        <w:tab/>
      </w:r>
      <w:r w:rsidRPr="007B38B2">
        <w:t>Регламент (ЕО) № 1967/2006 на Съвета от 21 декември 2006 г. относно мерките за управление на устойчивата експлоатация на рибните ресурси в Средиземно море, за изменение на Регламент (ЕИО) № 2847/93 и за отмяна на Регламент (ЕО) № 1626/94 (ОВ L 409, 30.12.2006 г., стр. 11).</w:t>
      </w:r>
    </w:p>
  </w:footnote>
  <w:footnote w:id="5">
    <w:p w:rsidR="003C330A" w:rsidRPr="00322144" w:rsidRDefault="003C330A" w:rsidP="007B38B2">
      <w:pPr>
        <w:pStyle w:val="FootnoteText"/>
        <w:rPr>
          <w:b/>
          <w:bCs/>
          <w:i/>
          <w:iCs/>
        </w:rPr>
      </w:pPr>
      <w:r w:rsidRPr="007B38B2">
        <w:rPr>
          <w:rStyle w:val="FootnoteReference"/>
        </w:rPr>
        <w:footnoteRef/>
      </w:r>
      <w:r>
        <w:tab/>
        <w:t>OВ L 322, 14.12.1999 г., стр. 3.</w:t>
      </w:r>
    </w:p>
  </w:footnote>
  <w:footnote w:id="6">
    <w:p w:rsidR="003C330A" w:rsidRPr="00322144" w:rsidRDefault="003C330A" w:rsidP="001C5064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Регламент (ЕО) № 1185/2003 на Съвета от 26 юни 2003 г. за премахването на перките на акулите на борда на риболовните кораби (ОВ L </w:t>
      </w:r>
      <w:r w:rsidRPr="009E6FA9">
        <w:rPr>
          <w:iCs/>
        </w:rPr>
        <w:t>167</w:t>
      </w:r>
      <w:r>
        <w:t>, 4.7.2003 г., стр. 1).</w:t>
      </w:r>
    </w:p>
  </w:footnote>
  <w:footnote w:id="7">
    <w:p w:rsidR="003C330A" w:rsidRPr="00322144" w:rsidRDefault="003C330A" w:rsidP="001C5064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Регламент (ЕС) № 1380/2013 на Европейския парламент и на Съвета от 11 декември 2013 г. относно общата политика в областта на рибарството, за изменение на регламенти (ЕО) № 1954/2003 и (ЕО) № 1224/2009 на Съвета и за отмяна на регламенти (ЕО) № 2371/2002 и (ЕО) № 639/2004 и Решение 2004/585/ЕО на Съвета (ОВ L 354, 28.12.2013 г., стр. 22).</w:t>
      </w:r>
    </w:p>
  </w:footnote>
  <w:footnote w:id="8">
    <w:p w:rsidR="003C330A" w:rsidRPr="00322144" w:rsidRDefault="003C330A" w:rsidP="001C5064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>Регламент (ЕС) № 182/2011 на Европейския парламент и на Съвета от 16 февруари 2011 г.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(ОВ L 55, 28.2.2011 г., стр. 13).</w:t>
      </w:r>
    </w:p>
  </w:footnote>
  <w:footnote w:id="9">
    <w:p w:rsidR="005D6F50" w:rsidRDefault="005D6F50" w:rsidP="005D6F50">
      <w:pPr>
        <w:pStyle w:val="FootnoteText"/>
      </w:pPr>
      <w:r w:rsidRPr="00471436">
        <w:rPr>
          <w:rStyle w:val="FootnoteReference"/>
        </w:rPr>
        <w:sym w:font="Symbol" w:char="F02B"/>
      </w:r>
      <w:r>
        <w:tab/>
      </w:r>
      <w:r w:rsidRPr="007B38B2">
        <w:rPr>
          <w:bCs/>
          <w:iCs/>
          <w:color w:val="000000"/>
        </w:rPr>
        <w:t>ОВ: да се посочи датата: влизането в сила на настоящия регламент</w:t>
      </w:r>
      <w:r w:rsidRPr="00471436">
        <w:t>.</w:t>
      </w:r>
    </w:p>
  </w:footnote>
  <w:footnote w:id="10">
    <w:p w:rsidR="003C330A" w:rsidRPr="00322144" w:rsidRDefault="003C330A" w:rsidP="00AE2750">
      <w:pPr>
        <w:pStyle w:val="FootnoteText"/>
        <w:rPr>
          <w:b/>
          <w:bCs/>
          <w:i/>
          <w:iCs/>
          <w:color w:val="000000"/>
          <w:szCs w:val="24"/>
        </w:rPr>
      </w:pPr>
      <w:r w:rsidRPr="007B38B2">
        <w:rPr>
          <w:rStyle w:val="FootnoteReference"/>
        </w:rPr>
        <w:sym w:font="Symbol" w:char="F02B"/>
      </w:r>
      <w:r w:rsidRPr="00322144">
        <w:rPr>
          <w:b/>
          <w:bCs/>
          <w:i/>
          <w:iCs/>
          <w:color w:val="000000"/>
          <w:szCs w:val="24"/>
        </w:rPr>
        <w:tab/>
      </w:r>
      <w:r w:rsidRPr="007B38B2">
        <w:t>ОВ: Да се посочи датата: три години от влизане в сила на настоящия регламент.</w:t>
      </w:r>
    </w:p>
  </w:footnote>
  <w:footnote w:id="11">
    <w:p w:rsidR="00A77D5C" w:rsidRDefault="00A77D5C" w:rsidP="001A2101">
      <w:pPr>
        <w:pStyle w:val="FootnoteText"/>
      </w:pPr>
      <w:r w:rsidRPr="00A77D5C">
        <w:rPr>
          <w:rStyle w:val="FootnoteReference"/>
        </w:rPr>
        <w:sym w:font="Symbol" w:char="F02B"/>
      </w:r>
      <w:r w:rsidR="001A2101">
        <w:tab/>
      </w:r>
      <w:r w:rsidRPr="007B38B2">
        <w:t>ОВ: Да се посочи датата: влизането в сила на настоящия регламент</w:t>
      </w:r>
      <w:r>
        <w:rPr>
          <w:b/>
          <w:i/>
          <w:color w:val="000000"/>
        </w:rPr>
        <w:t>.</w:t>
      </w:r>
    </w:p>
  </w:footnote>
  <w:footnote w:id="12">
    <w:p w:rsidR="001A2101" w:rsidRPr="00471436" w:rsidRDefault="001A2101" w:rsidP="001A2101">
      <w:pPr>
        <w:pStyle w:val="FootnoteText"/>
      </w:pPr>
      <w:r w:rsidRPr="00471436">
        <w:rPr>
          <w:rStyle w:val="FootnoteReference"/>
        </w:rPr>
        <w:sym w:font="Symbol" w:char="F02B"/>
      </w:r>
      <w:r w:rsidRPr="00471436">
        <w:tab/>
      </w:r>
      <w:r w:rsidRPr="001A2101">
        <w:t>ОВ: Да се посочи датата: три години от влизане в сила на настоящия регламент</w:t>
      </w:r>
      <w:r w:rsidRPr="00471436">
        <w:t>.</w:t>
      </w:r>
    </w:p>
  </w:footnote>
  <w:footnote w:id="13">
    <w:p w:rsidR="003C330A" w:rsidRPr="00322144" w:rsidRDefault="003C330A" w:rsidP="00AE2750">
      <w:pPr>
        <w:pStyle w:val="FootnoteText"/>
        <w:rPr>
          <w:b/>
          <w:bCs/>
          <w:i/>
          <w:iCs/>
        </w:rPr>
      </w:pPr>
      <w:r w:rsidRPr="007B38B2">
        <w:rPr>
          <w:rStyle w:val="FootnoteReference"/>
        </w:rPr>
        <w:sym w:font="Symbol" w:char="F02B"/>
      </w:r>
      <w:r w:rsidRPr="00322144">
        <w:rPr>
          <w:b/>
          <w:bCs/>
          <w:i/>
          <w:iCs/>
          <w:color w:val="000000"/>
          <w:szCs w:val="24"/>
        </w:rPr>
        <w:tab/>
      </w:r>
      <w:r w:rsidRPr="007B38B2">
        <w:t>ОВ: да се посочи датата: влизането в сила на настоящия регламент.</w:t>
      </w:r>
    </w:p>
  </w:footnote>
  <w:footnote w:id="14">
    <w:p w:rsidR="003C330A" w:rsidRPr="00322144" w:rsidRDefault="003C330A" w:rsidP="00746AFB">
      <w:pPr>
        <w:pStyle w:val="FootnoteText"/>
        <w:rPr>
          <w:b/>
          <w:bCs/>
          <w:i/>
          <w:iCs/>
        </w:rPr>
      </w:pPr>
      <w:r w:rsidRPr="007B38B2">
        <w:rPr>
          <w:rStyle w:val="FootnoteReference"/>
        </w:rPr>
        <w:t>+</w:t>
      </w:r>
      <w:r w:rsidRPr="00322144">
        <w:rPr>
          <w:b/>
          <w:bCs/>
          <w:i/>
          <w:iCs/>
          <w:color w:val="000000"/>
          <w:szCs w:val="24"/>
        </w:rPr>
        <w:tab/>
      </w:r>
      <w:r w:rsidRPr="007B38B2">
        <w:t>ОВ: моля, въведете датата на влизане в сила на настоящия регламент</w:t>
      </w:r>
      <w:r>
        <w:rPr>
          <w:b/>
          <w:bCs/>
          <w:i/>
          <w:iCs/>
          <w:color w:val="000000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50" w:rsidRPr="009E6FA9" w:rsidRDefault="005D6F50" w:rsidP="009E6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50" w:rsidRPr="009E6FA9" w:rsidRDefault="005D6F50" w:rsidP="009E6FA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50" w:rsidRPr="009E6FA9" w:rsidRDefault="005D6F50" w:rsidP="009E6FA9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0A" w:rsidRPr="009E6FA9" w:rsidRDefault="003C330A" w:rsidP="009E6FA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0A" w:rsidRPr="009E6FA9" w:rsidRDefault="003C330A" w:rsidP="009E6FA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0A" w:rsidRPr="009E6FA9" w:rsidRDefault="003C330A" w:rsidP="009E6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7DEB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4A27F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F161B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D8A0C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3A4F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FD607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0CA53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3880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474A75"/>
    <w:multiLevelType w:val="multilevel"/>
    <w:tmpl w:val="12A223C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7D350F1"/>
    <w:multiLevelType w:val="singleLevel"/>
    <w:tmpl w:val="8A36B78C"/>
    <w:name w:val="Bullet (1)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1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3C78B8"/>
    <w:multiLevelType w:val="multilevel"/>
    <w:tmpl w:val="2ED4F4D0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A807310"/>
    <w:multiLevelType w:val="singleLevel"/>
    <w:tmpl w:val="62B42714"/>
    <w:name w:val="Bullet (3)"/>
    <w:lvl w:ilvl="0">
      <w:start w:val="1"/>
      <w:numFmt w:val="bullet"/>
      <w:lvlRestart w:val="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22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4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7CAE7682"/>
    <w:multiLevelType w:val="singleLevel"/>
    <w:tmpl w:val="D7C4174A"/>
    <w:name w:val="Bullet (2)"/>
    <w:lvl w:ilvl="0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7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8">
    <w:nsid w:val="7E474D4E"/>
    <w:multiLevelType w:val="singleLevel"/>
    <w:tmpl w:val="1A6608A0"/>
    <w:name w:val="List Bullet 2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18"/>
  </w:num>
  <w:num w:numId="5">
    <w:abstractNumId w:val="25"/>
  </w:num>
  <w:num w:numId="6">
    <w:abstractNumId w:val="13"/>
  </w:num>
  <w:num w:numId="7">
    <w:abstractNumId w:val="8"/>
  </w:num>
  <w:num w:numId="8">
    <w:abstractNumId w:val="27"/>
  </w:num>
  <w:num w:numId="9">
    <w:abstractNumId w:val="15"/>
  </w:num>
  <w:num w:numId="10">
    <w:abstractNumId w:val="11"/>
  </w:num>
  <w:num w:numId="11">
    <w:abstractNumId w:val="10"/>
  </w:num>
  <w:num w:numId="12">
    <w:abstractNumId w:val="24"/>
  </w:num>
  <w:num w:numId="13">
    <w:abstractNumId w:val="22"/>
  </w:num>
  <w:num w:numId="14">
    <w:abstractNumId w:val="23"/>
  </w:num>
  <w:num w:numId="15">
    <w:abstractNumId w:val="28"/>
  </w:num>
  <w:num w:numId="16">
    <w:abstractNumId w:val="7"/>
  </w:num>
  <w:num w:numId="17">
    <w:abstractNumId w:val="5"/>
  </w:num>
  <w:num w:numId="18">
    <w:abstractNumId w:val="4"/>
  </w:num>
  <w:num w:numId="19">
    <w:abstractNumId w:val="3"/>
  </w:num>
  <w:num w:numId="20">
    <w:abstractNumId w:val="6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9"/>
  </w:num>
  <w:num w:numId="26">
    <w:abstractNumId w:val="2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4ff42d0f-9242-4813-bd08-0a99c970048f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22&quot;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 /&gt;_x000d__x000a_    &lt;/basicdatatype&gt;_x000d__x000a_  &lt;/metadata&gt;_x000d__x000a_  &lt;metadata key=&quot;md_HeadingText&quot;&gt;_x000d__x000a_    &lt;headingtext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&gt;_x000d__x000a_      &lt;formattedtext&gt;_x000d__x000a_        &lt;xaml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&gt;&amp;lt;FlowDocument xmlns=&quot;http://schemas.microsoft.com/winfx/2006/xaml/presentation&quot;&amp;gt;&amp;lt;Paragraph&amp;g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7-14&lt;/text&gt;_x000d__x000a_  &lt;/metadata&gt;_x000d__x000a_  &lt;metadata key=&quot;md_Prefix&quot;&gt;_x000d__x000a_    &lt;text&gt;&lt;/text&gt;_x000d__x000a_  &lt;/metadata&gt;_x000d__x000a_  &lt;metadata key=&quot;md_DocumentNumber&quot;&gt;_x000d__x000a_    &lt;text&gt;880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ECHE 161&lt;/text&gt;_x000d__x000a_      &lt;text&gt;CODEC 705&lt;/text&gt;_x000d__x000a_      &lt;text&gt;PARLNAT 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4/0213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7;&amp;#1088;&amp;#1080;&amp;#1077;&amp;#1084;&amp;#1072;&amp;#1085;&amp;#1077;&amp;#1090;&amp;#1086; &amp;#1085;&amp;#1072; 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 1343/2011 &amp;#1086;&amp;#1090;&amp;#1085;&amp;#1086;&amp;#1089;&amp;#1085;&amp;#1086; &amp;#1086;&amp;#1087;&amp;#1088;&amp;#1077;&amp;#1076;&amp;#1077;&amp;#1083;&amp;#1077;&amp;#1085;&amp;#1080; &amp;#1088;&amp;#1072;&amp;#1079;&amp;#1087;&amp;#1086;&amp;#1088;&amp;#1077;&amp;#1076;&amp;#1073;&amp;#1080; &amp;#1079;&amp;#1072; &amp;#1088;&amp;#1080;&amp;#1073;&amp;#1086;&amp;#1083;&amp;#1086;&amp;#1074;&amp;#1072; &amp;#1074; &amp;#1079;&amp;#1086;&amp;#1085;&amp;#1072;&amp;#1090;&amp;#1072; &amp;#1087;&amp;#1086; &amp;#1057;&amp;#1087;&amp;#1086;&amp;#1088;&amp;#1072;&amp;#1079;&amp;#1091;&amp;#1084;&amp;#1077;&amp;#1085;&amp;#1080;&amp;#1077;&amp;#1090;&amp;#1086; &amp;#1079;&amp;#1072; GFCM (&amp;#1043;&amp;#1077;&amp;#1085;&amp;#1077;&amp;#1088;&amp;#1072;&amp;#1083;&amp;#1085;&amp;#1072;&amp;#1090;&amp;#1072; &amp;#1082;&amp;#1086;&amp;#1084;&amp;#1080;&amp;#1089;&amp;#1080;&amp;#1103; &amp;#1087;&amp;#1086; &amp;#1088;&amp;#1080;&amp;#1073;&amp;#1072;&amp;#1088;&amp;#1089;&amp;#1090;&amp;#1074;&amp;#1086; &amp;#1074; &amp;#1057;&amp;#1088;&amp;#1077;&amp;#1076;&amp;#1080;&amp;#1079;&amp;#1077;&amp;#1084;&amp;#1085;&amp;#1086; &amp;#1084;&amp;#1086;&amp;#1088;&amp;#1077;) - &amp;#1055;&amp;#1088;&amp;#1080;&amp;#1077;&amp;#1090;&amp;#1072; &amp;#1086;&amp;#1090; &amp;#1057;&amp;#1098;&amp;#1074;&amp;#1077;&amp;#1090;&amp;#1072; &amp;#1085;&amp;#1072; 13 &amp;#1102;&amp;#1083;&amp;#1080; 2015 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it-it&quot; xml:space=&quot;preserve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7;&amp;#1088;&amp;#1080;&amp;#1077;&amp;#1084;&amp;#1072;&amp;#1085;&amp;#1077;&amp;#1090;&amp;#1086; &amp;#1085;&amp;#1072; 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lt;/Run&amp;gt;&amp;lt;Run xml:lang=&quot;en-gb&quot;&amp;gt;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 1343/2011 &amp;#1086;&amp;#1090;&amp;#1085;&amp;#1086;&amp;#1089;&amp;#1085;&amp;#1086; &amp;#1086;&amp;#1087;&amp;#1088;&amp;#1077;&amp;#1076;&amp;#1077;&amp;#1083;&amp;#1077;&amp;#1085;&amp;#1080; &amp;#1088;&amp;#1072;&amp;#1079;&amp;#1087;&amp;#1086;&amp;#1088;&amp;#1077;&amp;#1076;&amp;#1073;&amp;#1080; &amp;#1079;&amp;#1072; &amp;#1088;&amp;#1080;&amp;#1073;&amp;#1086;&amp;#1083;&amp;#1086;&amp;#1074;&amp;#1072; &amp;#1074; &amp;#1079;&amp;#1086;&amp;#1085;&amp;#1072;&amp;#1090;&amp;#1072; &amp;#1087;&amp;#1086; &amp;#1057;&amp;#1087;&amp;#1086;&amp;#1088;&amp;#1072;&amp;#1079;&amp;#1091;&amp;#1084;&amp;#1077;&amp;#1085;&amp;#1080;&amp;#1077;&amp;#1090;&amp;#1086; &amp;#1079;&amp;#1072; GFCM (&amp;#1043;&amp;#1077;&amp;#1085;&amp;#1077;&amp;#1088;&amp;#1072;&amp;#1083;&amp;#1085;&amp;#1072;&amp;#1090;&amp;#1072; &amp;#1082;&amp;#1086;&amp;#1084;&amp;#1080;&amp;#1089;&amp;#1080;&amp;#1103; &amp;#1087;&amp;#1086; &amp;#1088;&amp;#1080;&amp;#1073;&amp;#1072;&amp;#1088;&amp;#1089;&amp;#1090;&amp;#1074;&amp;#1086; &amp;#1074; &amp;#1057;&amp;#1088;&amp;#1077;&amp;#1076;&amp;#1080;&amp;#1079;&amp;#1077;&amp;#1084;&amp;#1085;&amp;#1086; &amp;#1084;&amp;#1086;&amp;#1088;&amp;#1077;)&amp;lt;/Run&amp;gt;&amp;lt;/Paragraph&amp;gt;&amp;lt;Paragraph&amp;gt;&amp;lt;Run xml:lang=&quot;en-gb&quot;&amp;gt;-&amp;lt;/Run&amp;gt;&amp;lt;Run xml:lang=&quot;bg-bg&quot; xml:space=&quot;preserve&quot;&amp;gt; &amp;#1055;&amp;#1088;&amp;#1080;&amp;#1077;&amp;#1090;&amp;#1072; &amp;#1086;&amp;#1090; &amp;#1057;&amp;#1098;&amp;#1074;&amp;#1077;&amp;#1090;&amp;#1072; &amp;#1085;&amp;#1072; 13 &amp;#1102;&amp;#1083;&amp;#1080; 2015 &amp;#1075;.&amp;lt;/Run&amp;gt;&amp;lt;/Paragraph&amp;gt;&amp;lt;/FlowDocument&amp;gt;&lt;/xaml&gt;_x000d__x000a_  &lt;/metadata&gt;_x000d__x000a_  &lt;metadata key=&quot;md_SubjectFootnote&quot; /&gt;_x000d__x000a_  &lt;metadata key=&quot;md_DG&quot;&gt;_x000d__x000a_    &lt;text&gt;DGB 2A&lt;/text&gt;_x000d__x000a_  &lt;/metadata&gt;_x000d__x000a_  &lt;metadata key=&quot;md_Initials&quot;&gt;_x000d__x000a_    &lt;text&gt;/g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LEGACTS"/>
    <w:docVar w:name="LW_DocType" w:val="DW_LEGACTS"/>
    <w:docVar w:name="VSSDB_IniPath" w:val="\\at100\user\wovo\SEILEG\vss\srcsafe.ini"/>
    <w:docVar w:name="VSSDB_ProjectPath" w:val="$/DocuWrite/DOT/DW_LEGACTS"/>
  </w:docVars>
  <w:rsids>
    <w:rsidRoot w:val="00170B6E"/>
    <w:rsid w:val="00024998"/>
    <w:rsid w:val="000853B1"/>
    <w:rsid w:val="000B14AC"/>
    <w:rsid w:val="001051AC"/>
    <w:rsid w:val="0015299B"/>
    <w:rsid w:val="00170B6E"/>
    <w:rsid w:val="001A2101"/>
    <w:rsid w:val="001C5064"/>
    <w:rsid w:val="001F3BA8"/>
    <w:rsid w:val="00224697"/>
    <w:rsid w:val="002259F6"/>
    <w:rsid w:val="00227CEF"/>
    <w:rsid w:val="002531D6"/>
    <w:rsid w:val="002577FE"/>
    <w:rsid w:val="00262088"/>
    <w:rsid w:val="002631A6"/>
    <w:rsid w:val="00267A22"/>
    <w:rsid w:val="00277101"/>
    <w:rsid w:val="002D424A"/>
    <w:rsid w:val="002F155E"/>
    <w:rsid w:val="003041A7"/>
    <w:rsid w:val="00320F28"/>
    <w:rsid w:val="00357A50"/>
    <w:rsid w:val="0036128D"/>
    <w:rsid w:val="003668EA"/>
    <w:rsid w:val="00366AEC"/>
    <w:rsid w:val="0037533C"/>
    <w:rsid w:val="00383438"/>
    <w:rsid w:val="00392E75"/>
    <w:rsid w:val="003A1B24"/>
    <w:rsid w:val="003A505F"/>
    <w:rsid w:val="003C330A"/>
    <w:rsid w:val="00496109"/>
    <w:rsid w:val="004F7963"/>
    <w:rsid w:val="00527983"/>
    <w:rsid w:val="00527ECE"/>
    <w:rsid w:val="00581396"/>
    <w:rsid w:val="005B7B05"/>
    <w:rsid w:val="005D6F50"/>
    <w:rsid w:val="005F7B62"/>
    <w:rsid w:val="006019B7"/>
    <w:rsid w:val="00641B4A"/>
    <w:rsid w:val="00654DE7"/>
    <w:rsid w:val="006660D2"/>
    <w:rsid w:val="00693061"/>
    <w:rsid w:val="00695110"/>
    <w:rsid w:val="007020CB"/>
    <w:rsid w:val="00746AFB"/>
    <w:rsid w:val="00746B60"/>
    <w:rsid w:val="00776919"/>
    <w:rsid w:val="00790BD2"/>
    <w:rsid w:val="007A141F"/>
    <w:rsid w:val="007A1470"/>
    <w:rsid w:val="007B38B2"/>
    <w:rsid w:val="007C4BBF"/>
    <w:rsid w:val="007D15F4"/>
    <w:rsid w:val="007E3639"/>
    <w:rsid w:val="00811704"/>
    <w:rsid w:val="00827ED1"/>
    <w:rsid w:val="00856C59"/>
    <w:rsid w:val="008A3AD6"/>
    <w:rsid w:val="008C29BB"/>
    <w:rsid w:val="008C608C"/>
    <w:rsid w:val="008F74DE"/>
    <w:rsid w:val="009205C9"/>
    <w:rsid w:val="00925F25"/>
    <w:rsid w:val="00987B19"/>
    <w:rsid w:val="00996B1A"/>
    <w:rsid w:val="009B6AFE"/>
    <w:rsid w:val="009E6FA9"/>
    <w:rsid w:val="00A306DC"/>
    <w:rsid w:val="00A3461C"/>
    <w:rsid w:val="00A570DE"/>
    <w:rsid w:val="00A77D5C"/>
    <w:rsid w:val="00A9501D"/>
    <w:rsid w:val="00A96B8B"/>
    <w:rsid w:val="00AC5C3D"/>
    <w:rsid w:val="00AE2750"/>
    <w:rsid w:val="00B046DE"/>
    <w:rsid w:val="00B25505"/>
    <w:rsid w:val="00B34292"/>
    <w:rsid w:val="00B6516A"/>
    <w:rsid w:val="00BB5CFF"/>
    <w:rsid w:val="00BD5E59"/>
    <w:rsid w:val="00C27622"/>
    <w:rsid w:val="00C36F29"/>
    <w:rsid w:val="00C41061"/>
    <w:rsid w:val="00C778AD"/>
    <w:rsid w:val="00CB08DD"/>
    <w:rsid w:val="00CC404F"/>
    <w:rsid w:val="00CD225A"/>
    <w:rsid w:val="00CE20C5"/>
    <w:rsid w:val="00D03827"/>
    <w:rsid w:val="00D2656A"/>
    <w:rsid w:val="00D46E83"/>
    <w:rsid w:val="00D47313"/>
    <w:rsid w:val="00D91432"/>
    <w:rsid w:val="00D95AA3"/>
    <w:rsid w:val="00DF16FD"/>
    <w:rsid w:val="00E053F9"/>
    <w:rsid w:val="00E95B56"/>
    <w:rsid w:val="00EA528A"/>
    <w:rsid w:val="00EC4E58"/>
    <w:rsid w:val="00F05ABA"/>
    <w:rsid w:val="00F12548"/>
    <w:rsid w:val="00F76D8E"/>
    <w:rsid w:val="00F97A66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4697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rsid w:val="007B38B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9E6FA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1"/>
      </w:numPr>
    </w:pPr>
  </w:style>
  <w:style w:type="paragraph" w:customStyle="1" w:styleId="Tiret1">
    <w:name w:val="Tiret 1"/>
    <w:basedOn w:val="Normal"/>
    <w:rsid w:val="00224697"/>
    <w:pPr>
      <w:numPr>
        <w:numId w:val="2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3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4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5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6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6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6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6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8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8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8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8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8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8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8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8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9"/>
      </w:numPr>
    </w:pPr>
  </w:style>
  <w:style w:type="paragraph" w:customStyle="1" w:styleId="Bullet1">
    <w:name w:val="Bullet 1"/>
    <w:basedOn w:val="Normal"/>
    <w:rsid w:val="00224697"/>
    <w:pPr>
      <w:numPr>
        <w:numId w:val="10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11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12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13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14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link w:val="FormuledadoptionChar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link w:val="LignefinalChar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  <w:style w:type="paragraph" w:customStyle="1" w:styleId="Langue">
    <w:name w:val="Langue"/>
    <w:basedOn w:val="Normal"/>
    <w:next w:val="Rfrenceinterne"/>
    <w:rsid w:val="00170B6E"/>
    <w:pPr>
      <w:spacing w:before="0" w:after="600" w:line="240" w:lineRule="auto"/>
      <w:jc w:val="center"/>
    </w:pPr>
    <w:rPr>
      <w:b/>
      <w:caps/>
      <w:lang w:eastAsia="de-DE"/>
    </w:rPr>
  </w:style>
  <w:style w:type="paragraph" w:customStyle="1" w:styleId="Rfrenceinterne">
    <w:name w:val="Référence interne"/>
    <w:basedOn w:val="Normal"/>
    <w:next w:val="Normal"/>
    <w:rsid w:val="00170B6E"/>
    <w:pPr>
      <w:spacing w:before="0" w:after="600" w:line="240" w:lineRule="auto"/>
      <w:jc w:val="center"/>
    </w:pPr>
    <w:rPr>
      <w:b/>
      <w:lang w:eastAsia="de-DE"/>
    </w:rPr>
  </w:style>
  <w:style w:type="paragraph" w:customStyle="1" w:styleId="HeaderCouncilLarge">
    <w:name w:val="Header Council Large"/>
    <w:basedOn w:val="Normal"/>
    <w:link w:val="HeaderCouncilLargeChar"/>
    <w:rsid w:val="00170B6E"/>
    <w:pPr>
      <w:spacing w:before="0" w:after="440"/>
    </w:pPr>
    <w:rPr>
      <w:sz w:val="2"/>
      <w:lang w:val="it-IT"/>
    </w:rPr>
  </w:style>
  <w:style w:type="character" w:customStyle="1" w:styleId="LignefinalChar">
    <w:name w:val="Ligne final Char"/>
    <w:basedOn w:val="DefaultParagraphFont"/>
    <w:link w:val="Lignefinal"/>
    <w:rsid w:val="00170B6E"/>
    <w:rPr>
      <w:b/>
      <w:sz w:val="24"/>
      <w:szCs w:val="24"/>
      <w:lang w:val="it-IT" w:eastAsia="en-US"/>
    </w:rPr>
  </w:style>
  <w:style w:type="character" w:customStyle="1" w:styleId="HeaderCouncilLargeChar">
    <w:name w:val="Header Council Large Char"/>
    <w:basedOn w:val="LignefinalChar"/>
    <w:link w:val="HeaderCouncilLarge"/>
    <w:rsid w:val="00170B6E"/>
    <w:rPr>
      <w:b w:val="0"/>
      <w:sz w:val="2"/>
      <w:szCs w:val="24"/>
      <w:lang w:val="it-IT" w:eastAsia="en-US"/>
    </w:rPr>
  </w:style>
  <w:style w:type="paragraph" w:customStyle="1" w:styleId="FooterText">
    <w:name w:val="Footer Text"/>
    <w:basedOn w:val="Normal"/>
    <w:rsid w:val="00170B6E"/>
    <w:pPr>
      <w:spacing w:before="0" w:after="0" w:line="240" w:lineRule="auto"/>
    </w:pPr>
    <w:rPr>
      <w:lang w:val="en-GB"/>
    </w:rPr>
  </w:style>
  <w:style w:type="character" w:customStyle="1" w:styleId="HeaderChar">
    <w:name w:val="Header Char"/>
    <w:link w:val="Header"/>
    <w:rsid w:val="00F97A66"/>
    <w:rPr>
      <w:sz w:val="24"/>
      <w:szCs w:val="24"/>
      <w:lang w:val="it-IT" w:eastAsia="en-US"/>
    </w:rPr>
  </w:style>
  <w:style w:type="character" w:customStyle="1" w:styleId="FooterChar">
    <w:name w:val="Footer Char"/>
    <w:link w:val="Footer"/>
    <w:rsid w:val="00F97A66"/>
    <w:rPr>
      <w:sz w:val="24"/>
      <w:szCs w:val="24"/>
      <w:lang w:val="it-IT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7A66"/>
    <w:rPr>
      <w:sz w:val="24"/>
      <w:lang w:val="it-IT" w:eastAsia="en-US"/>
    </w:rPr>
  </w:style>
  <w:style w:type="character" w:customStyle="1" w:styleId="FormuledadoptionChar">
    <w:name w:val="Formule d'adoption Char"/>
    <w:link w:val="Formuledadoption"/>
    <w:rsid w:val="00F97A66"/>
    <w:rPr>
      <w:sz w:val="24"/>
      <w:szCs w:val="24"/>
      <w:lang w:val="it-IT" w:eastAsia="en-US"/>
    </w:rPr>
  </w:style>
  <w:style w:type="paragraph" w:styleId="ListBullet">
    <w:name w:val="List Bullet"/>
    <w:basedOn w:val="Normal"/>
    <w:uiPriority w:val="99"/>
    <w:semiHidden/>
    <w:unhideWhenUsed/>
    <w:rsid w:val="006660D2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60D2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60D2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60D2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660D2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660D2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60D2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60D2"/>
    <w:pPr>
      <w:numPr>
        <w:numId w:val="23"/>
      </w:numPr>
      <w:contextualSpacing/>
    </w:pPr>
  </w:style>
  <w:style w:type="paragraph" w:customStyle="1" w:styleId="FinalLine">
    <w:name w:val="Final Line"/>
    <w:basedOn w:val="Normal"/>
    <w:next w:val="Normal"/>
    <w:rsid w:val="001C5064"/>
    <w:pPr>
      <w:pBdr>
        <w:bottom w:val="single" w:sz="4" w:space="0" w:color="000000"/>
      </w:pBdr>
      <w:spacing w:before="360"/>
      <w:ind w:left="3400" w:right="3400"/>
      <w:jc w:val="center"/>
    </w:pPr>
    <w:rPr>
      <w:b/>
      <w:lang w:eastAsia="bg-BG" w:bidi="bg-BG"/>
    </w:rPr>
  </w:style>
  <w:style w:type="paragraph" w:customStyle="1" w:styleId="FormuledadoptionHeadingsCSTimesNewRoman">
    <w:name w:val="Formule d'adoption + +Headings CS (Times New Roman)"/>
    <w:aliases w:val="Before:  12 pt"/>
    <w:basedOn w:val="Institutionquiagit"/>
    <w:rsid w:val="002F155E"/>
    <w:pPr>
      <w:spacing w:before="240"/>
    </w:pPr>
    <w:rPr>
      <w:rFonts w:asciiTheme="majorBidi" w:hAnsiTheme="majorBidi" w:cstheme="majorBidi"/>
      <w:noProof/>
    </w:rPr>
  </w:style>
  <w:style w:type="paragraph" w:customStyle="1" w:styleId="Fq">
    <w:name w:val="Fq"/>
    <w:basedOn w:val="Fait"/>
    <w:rsid w:val="00392E75"/>
    <w:pPr>
      <w:spacing w:before="240"/>
    </w:pPr>
    <w:rPr>
      <w:rFonts w:asciiTheme="majorBidi" w:hAnsiTheme="majorBidi" w:cstheme="majorBid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61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919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19"/>
    <w:rPr>
      <w:b/>
      <w:bCs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7B3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4697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rsid w:val="007B38B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9E6FA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1"/>
      </w:numPr>
    </w:pPr>
  </w:style>
  <w:style w:type="paragraph" w:customStyle="1" w:styleId="Tiret1">
    <w:name w:val="Tiret 1"/>
    <w:basedOn w:val="Normal"/>
    <w:rsid w:val="00224697"/>
    <w:pPr>
      <w:numPr>
        <w:numId w:val="2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3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4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5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6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6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6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6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8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8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8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8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8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8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8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8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9"/>
      </w:numPr>
    </w:pPr>
  </w:style>
  <w:style w:type="paragraph" w:customStyle="1" w:styleId="Bullet1">
    <w:name w:val="Bullet 1"/>
    <w:basedOn w:val="Normal"/>
    <w:rsid w:val="00224697"/>
    <w:pPr>
      <w:numPr>
        <w:numId w:val="10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11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12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13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14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link w:val="FormuledadoptionChar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link w:val="LignefinalChar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  <w:style w:type="paragraph" w:customStyle="1" w:styleId="Langue">
    <w:name w:val="Langue"/>
    <w:basedOn w:val="Normal"/>
    <w:next w:val="Rfrenceinterne"/>
    <w:rsid w:val="00170B6E"/>
    <w:pPr>
      <w:spacing w:before="0" w:after="600" w:line="240" w:lineRule="auto"/>
      <w:jc w:val="center"/>
    </w:pPr>
    <w:rPr>
      <w:b/>
      <w:caps/>
      <w:lang w:eastAsia="de-DE"/>
    </w:rPr>
  </w:style>
  <w:style w:type="paragraph" w:customStyle="1" w:styleId="Rfrenceinterne">
    <w:name w:val="Référence interne"/>
    <w:basedOn w:val="Normal"/>
    <w:next w:val="Normal"/>
    <w:rsid w:val="00170B6E"/>
    <w:pPr>
      <w:spacing w:before="0" w:after="600" w:line="240" w:lineRule="auto"/>
      <w:jc w:val="center"/>
    </w:pPr>
    <w:rPr>
      <w:b/>
      <w:lang w:eastAsia="de-DE"/>
    </w:rPr>
  </w:style>
  <w:style w:type="paragraph" w:customStyle="1" w:styleId="HeaderCouncilLarge">
    <w:name w:val="Header Council Large"/>
    <w:basedOn w:val="Normal"/>
    <w:link w:val="HeaderCouncilLargeChar"/>
    <w:rsid w:val="00170B6E"/>
    <w:pPr>
      <w:spacing w:before="0" w:after="440"/>
    </w:pPr>
    <w:rPr>
      <w:sz w:val="2"/>
      <w:lang w:val="it-IT"/>
    </w:rPr>
  </w:style>
  <w:style w:type="character" w:customStyle="1" w:styleId="LignefinalChar">
    <w:name w:val="Ligne final Char"/>
    <w:basedOn w:val="DefaultParagraphFont"/>
    <w:link w:val="Lignefinal"/>
    <w:rsid w:val="00170B6E"/>
    <w:rPr>
      <w:b/>
      <w:sz w:val="24"/>
      <w:szCs w:val="24"/>
      <w:lang w:val="it-IT" w:eastAsia="en-US"/>
    </w:rPr>
  </w:style>
  <w:style w:type="character" w:customStyle="1" w:styleId="HeaderCouncilLargeChar">
    <w:name w:val="Header Council Large Char"/>
    <w:basedOn w:val="LignefinalChar"/>
    <w:link w:val="HeaderCouncilLarge"/>
    <w:rsid w:val="00170B6E"/>
    <w:rPr>
      <w:b w:val="0"/>
      <w:sz w:val="2"/>
      <w:szCs w:val="24"/>
      <w:lang w:val="it-IT" w:eastAsia="en-US"/>
    </w:rPr>
  </w:style>
  <w:style w:type="paragraph" w:customStyle="1" w:styleId="FooterText">
    <w:name w:val="Footer Text"/>
    <w:basedOn w:val="Normal"/>
    <w:rsid w:val="00170B6E"/>
    <w:pPr>
      <w:spacing w:before="0" w:after="0" w:line="240" w:lineRule="auto"/>
    </w:pPr>
    <w:rPr>
      <w:lang w:val="en-GB"/>
    </w:rPr>
  </w:style>
  <w:style w:type="character" w:customStyle="1" w:styleId="HeaderChar">
    <w:name w:val="Header Char"/>
    <w:link w:val="Header"/>
    <w:rsid w:val="00F97A66"/>
    <w:rPr>
      <w:sz w:val="24"/>
      <w:szCs w:val="24"/>
      <w:lang w:val="it-IT" w:eastAsia="en-US"/>
    </w:rPr>
  </w:style>
  <w:style w:type="character" w:customStyle="1" w:styleId="FooterChar">
    <w:name w:val="Footer Char"/>
    <w:link w:val="Footer"/>
    <w:rsid w:val="00F97A66"/>
    <w:rPr>
      <w:sz w:val="24"/>
      <w:szCs w:val="24"/>
      <w:lang w:val="it-IT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7A66"/>
    <w:rPr>
      <w:sz w:val="24"/>
      <w:lang w:val="it-IT" w:eastAsia="en-US"/>
    </w:rPr>
  </w:style>
  <w:style w:type="character" w:customStyle="1" w:styleId="FormuledadoptionChar">
    <w:name w:val="Formule d'adoption Char"/>
    <w:link w:val="Formuledadoption"/>
    <w:rsid w:val="00F97A66"/>
    <w:rPr>
      <w:sz w:val="24"/>
      <w:szCs w:val="24"/>
      <w:lang w:val="it-IT" w:eastAsia="en-US"/>
    </w:rPr>
  </w:style>
  <w:style w:type="paragraph" w:styleId="ListBullet">
    <w:name w:val="List Bullet"/>
    <w:basedOn w:val="Normal"/>
    <w:uiPriority w:val="99"/>
    <w:semiHidden/>
    <w:unhideWhenUsed/>
    <w:rsid w:val="006660D2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60D2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60D2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60D2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660D2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660D2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60D2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60D2"/>
    <w:pPr>
      <w:numPr>
        <w:numId w:val="23"/>
      </w:numPr>
      <w:contextualSpacing/>
    </w:pPr>
  </w:style>
  <w:style w:type="paragraph" w:customStyle="1" w:styleId="FinalLine">
    <w:name w:val="Final Line"/>
    <w:basedOn w:val="Normal"/>
    <w:next w:val="Normal"/>
    <w:rsid w:val="001C5064"/>
    <w:pPr>
      <w:pBdr>
        <w:bottom w:val="single" w:sz="4" w:space="0" w:color="000000"/>
      </w:pBdr>
      <w:spacing w:before="360"/>
      <w:ind w:left="3400" w:right="3400"/>
      <w:jc w:val="center"/>
    </w:pPr>
    <w:rPr>
      <w:b/>
      <w:lang w:eastAsia="bg-BG" w:bidi="bg-BG"/>
    </w:rPr>
  </w:style>
  <w:style w:type="paragraph" w:customStyle="1" w:styleId="FormuledadoptionHeadingsCSTimesNewRoman">
    <w:name w:val="Formule d'adoption + +Headings CS (Times New Roman)"/>
    <w:aliases w:val="Before:  12 pt"/>
    <w:basedOn w:val="Institutionquiagit"/>
    <w:rsid w:val="002F155E"/>
    <w:pPr>
      <w:spacing w:before="240"/>
    </w:pPr>
    <w:rPr>
      <w:rFonts w:asciiTheme="majorBidi" w:hAnsiTheme="majorBidi" w:cstheme="majorBidi"/>
      <w:noProof/>
    </w:rPr>
  </w:style>
  <w:style w:type="paragraph" w:customStyle="1" w:styleId="Fq">
    <w:name w:val="Fq"/>
    <w:basedOn w:val="Fait"/>
    <w:rsid w:val="00392E75"/>
    <w:pPr>
      <w:spacing w:before="240"/>
    </w:pPr>
    <w:rPr>
      <w:rFonts w:asciiTheme="majorBidi" w:hAnsiTheme="majorBidi" w:cstheme="majorBid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0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61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919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19"/>
    <w:rPr>
      <w:b/>
      <w:bCs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7B3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761F-F574-444D-A994-202706DD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DW_LEGACTS.dotm</Template>
  <TotalTime>11</TotalTime>
  <Pages>31</Pages>
  <Words>4914</Words>
  <Characters>28015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dcterms:created xsi:type="dcterms:W3CDTF">2015-07-14T06:28:00Z</dcterms:created>
  <dcterms:modified xsi:type="dcterms:W3CDTF">2015-07-14T06:42:00Z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