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07" w:rsidRPr="00DF6525" w:rsidRDefault="00944645" w:rsidP="00DF6525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65c3785-354e-4c33-b00a-70526245baef_0" style="width:568.5pt;height:356.25pt">
            <v:imagedata r:id="rId9" o:title=""/>
          </v:shape>
        </w:pict>
      </w:r>
      <w:bookmarkEnd w:id="0"/>
    </w:p>
    <w:p w:rsidR="00C75107" w:rsidRPr="00D43D12" w:rsidRDefault="00C75107" w:rsidP="00C75107">
      <w:pPr>
        <w:sectPr w:rsidR="00C75107" w:rsidRPr="00D43D12" w:rsidSect="00DF652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624" w:right="1134" w:bottom="1134" w:left="1134" w:header="567" w:footer="567" w:gutter="0"/>
          <w:pgNumType w:start="1"/>
          <w:cols w:space="708"/>
          <w:titlePg/>
          <w:docGrid w:linePitch="360"/>
        </w:sectPr>
      </w:pPr>
    </w:p>
    <w:p w:rsidR="00C75107" w:rsidRPr="00D43D12" w:rsidRDefault="001863F5" w:rsidP="001863F5">
      <w:pPr>
        <w:pStyle w:val="HeadingIVX"/>
      </w:pPr>
      <w:r w:rsidRPr="00D43D12">
        <w:lastRenderedPageBreak/>
        <w:t>ВЪВЕДЕНИЕ</w:t>
      </w:r>
    </w:p>
    <w:p w:rsidR="00383FE4" w:rsidRPr="00D43D12" w:rsidRDefault="00383FE4" w:rsidP="00383FE4">
      <w:pPr>
        <w:pStyle w:val="Point123"/>
      </w:pPr>
      <w:r w:rsidRPr="00D43D12">
        <w:rPr>
          <w:u w:val="single"/>
        </w:rPr>
        <w:t>Комисията</w:t>
      </w:r>
      <w:r w:rsidRPr="00D43D12">
        <w:t xml:space="preserve"> представи посоченото по-горе предложение на 11 юли 2014 г.</w:t>
      </w:r>
    </w:p>
    <w:p w:rsidR="00383FE4" w:rsidRPr="00D43D12" w:rsidRDefault="00383FE4" w:rsidP="00383FE4">
      <w:pPr>
        <w:pStyle w:val="Point123"/>
      </w:pPr>
      <w:r w:rsidRPr="00D43D12">
        <w:rPr>
          <w:u w:val="single"/>
        </w:rPr>
        <w:t xml:space="preserve">Работната група по вътрешна и външна политика на рибарството </w:t>
      </w:r>
      <w:r w:rsidRPr="00D43D12">
        <w:t>обсъжда предложението в периода 18 юли 2014 г. — 8 януари 2015 г., като взе предвид и писмените коментари на държавите членки.</w:t>
      </w:r>
      <w:r w:rsidRPr="00D43D12">
        <w:rPr>
          <w:rStyle w:val="FootnoteReference"/>
        </w:rPr>
        <w:footnoteReference w:id="1"/>
      </w:r>
    </w:p>
    <w:p w:rsidR="00383FE4" w:rsidRPr="00D43D12" w:rsidRDefault="00383FE4" w:rsidP="00383FE4">
      <w:pPr>
        <w:pStyle w:val="Point123"/>
      </w:pPr>
      <w:r w:rsidRPr="00D43D12">
        <w:rPr>
          <w:u w:val="single"/>
        </w:rPr>
        <w:t>Европейският икономически и социален комитет</w:t>
      </w:r>
      <w:r w:rsidRPr="00D43D12">
        <w:t xml:space="preserve"> прие становището си на 15 октомври 2014 г.</w:t>
      </w:r>
      <w:r w:rsidRPr="00D43D12">
        <w:rPr>
          <w:rStyle w:val="FootnoteReference"/>
        </w:rPr>
        <w:footnoteReference w:id="2"/>
      </w:r>
    </w:p>
    <w:p w:rsidR="00383FE4" w:rsidRPr="00D43D12" w:rsidRDefault="00383FE4" w:rsidP="00383FE4">
      <w:pPr>
        <w:pStyle w:val="Point123"/>
      </w:pPr>
      <w:r w:rsidRPr="00D43D12">
        <w:rPr>
          <w:u w:val="single"/>
        </w:rPr>
        <w:t>Европейският парламент</w:t>
      </w:r>
      <w:r w:rsidRPr="00D43D12">
        <w:t xml:space="preserve"> прие позицията си на първо четене на 13 януари 2015 г., като потвърди измененията, гласувани преди това от Комисията по рибно стопанство.</w:t>
      </w:r>
    </w:p>
    <w:p w:rsidR="00383FE4" w:rsidRPr="00D43D12" w:rsidRDefault="00383FE4" w:rsidP="0067223E">
      <w:pPr>
        <w:pStyle w:val="Point123"/>
      </w:pPr>
      <w:r w:rsidRPr="00D43D12">
        <w:t xml:space="preserve">Въз основа на мандат, възложен от </w:t>
      </w:r>
      <w:r w:rsidRPr="00D43D12">
        <w:rPr>
          <w:u w:val="single"/>
        </w:rPr>
        <w:t>Корепер</w:t>
      </w:r>
      <w:r w:rsidRPr="00D43D12">
        <w:t xml:space="preserve"> на </w:t>
      </w:r>
      <w:r w:rsidRPr="00D43D12">
        <w:rPr>
          <w:u w:val="single"/>
        </w:rPr>
        <w:t>председателството</w:t>
      </w:r>
      <w:r w:rsidRPr="00D43D12">
        <w:t xml:space="preserve"> на 21 януари 2015 г., институциите проведоха тристранни срещи на 2 и 26 март 2015 г., като последната се проведе въз основа на изменен мандат. Постигнатият тогава компромис беше одобрен от Корепер на 8 май 2015 г.</w:t>
      </w:r>
      <w:r w:rsidRPr="00D43D12">
        <w:rPr>
          <w:rStyle w:val="FootnoteReference"/>
        </w:rPr>
        <w:footnoteReference w:id="3"/>
      </w:r>
      <w:r w:rsidRPr="00D43D12">
        <w:t xml:space="preserve"> Впоследствие, на 11 май 2015 г. </w:t>
      </w:r>
      <w:r w:rsidRPr="00D43D12">
        <w:rPr>
          <w:u w:val="single"/>
        </w:rPr>
        <w:t>председателят на Комисията по рибно стопанство на Европейския парламент</w:t>
      </w:r>
      <w:r w:rsidRPr="00D43D12">
        <w:t xml:space="preserve"> информира Съвета, че Европейският парламент ще одобри без изменения на второ четене позицията, която Съветът ще приеме в съответствие с политическото споразумение.</w:t>
      </w:r>
    </w:p>
    <w:p w:rsidR="00383FE4" w:rsidRPr="00D43D12" w:rsidRDefault="007A39A2" w:rsidP="007A39A2">
      <w:pPr>
        <w:pStyle w:val="Point123"/>
        <w:keepNext/>
      </w:pPr>
      <w:r w:rsidRPr="00D43D12">
        <w:rPr>
          <w:u w:val="single"/>
        </w:rPr>
        <w:t>Съветът</w:t>
      </w:r>
      <w:r w:rsidRPr="00D43D12">
        <w:t xml:space="preserve"> постигна политическо споразумение по преработения текст на 19 май 2015 г.</w:t>
      </w:r>
    </w:p>
    <w:p w:rsidR="00C75107" w:rsidRPr="00D43D12" w:rsidRDefault="001863F5" w:rsidP="001863F5">
      <w:pPr>
        <w:pStyle w:val="HeadingIVX"/>
      </w:pPr>
      <w:r w:rsidRPr="00D43D12">
        <w:t>ЦЕЛ</w:t>
      </w:r>
    </w:p>
    <w:p w:rsidR="00C75107" w:rsidRPr="00D43D12" w:rsidRDefault="007A39A2" w:rsidP="00581884">
      <w:pPr>
        <w:pStyle w:val="Point123"/>
      </w:pPr>
      <w:r w:rsidRPr="00D43D12">
        <w:t>Целта на предложението е да се актуализира Регламент (ЕС) № 1343/2011, като в правото на Съюза се включат задълженията, произтичащи от мерките за опазване и контрол, приети от Генералната комисия по рибарство за Средиземно море (GFCM) между 2011 и 2014 година.</w:t>
      </w:r>
    </w:p>
    <w:p w:rsidR="00C75107" w:rsidRPr="00D43D12" w:rsidRDefault="00324B9F" w:rsidP="001863F5">
      <w:pPr>
        <w:pStyle w:val="HeadingIVX"/>
      </w:pPr>
      <w:r w:rsidRPr="00D43D12">
        <w:br w:type="page"/>
      </w:r>
      <w:r w:rsidRPr="00D43D12">
        <w:lastRenderedPageBreak/>
        <w:t>АНАЛИЗ НА ПОЗИЦИЯТА НА СЪВЕТА НА ПЪРВО ЧЕТЕНЕ</w:t>
      </w:r>
    </w:p>
    <w:p w:rsidR="00324B9F" w:rsidRPr="00D43D12" w:rsidRDefault="00324B9F" w:rsidP="00324B9F">
      <w:pPr>
        <w:rPr>
          <w:b/>
          <w:bCs/>
          <w:u w:val="single"/>
        </w:rPr>
      </w:pPr>
      <w:r w:rsidRPr="00D43D12">
        <w:rPr>
          <w:b/>
        </w:rPr>
        <w:t>A.</w:t>
      </w:r>
      <w:r w:rsidRPr="00D43D12">
        <w:tab/>
      </w:r>
      <w:r w:rsidRPr="00D43D12">
        <w:rPr>
          <w:b/>
          <w:u w:val="single"/>
        </w:rPr>
        <w:t>Общи положения</w:t>
      </w:r>
    </w:p>
    <w:p w:rsidR="00324B9F" w:rsidRPr="00D43D12" w:rsidRDefault="00324B9F" w:rsidP="0067223E">
      <w:pPr>
        <w:pStyle w:val="Point123"/>
      </w:pPr>
      <w:r w:rsidRPr="00D43D12">
        <w:rPr>
          <w:u w:val="single"/>
        </w:rPr>
        <w:t>Съветът</w:t>
      </w:r>
      <w:r w:rsidRPr="00D43D12">
        <w:t xml:space="preserve"> въведе в предложението изменения, които имат за цел, от една страна, да направят прилагането на мерките за опазване възможно най-близко до международно договорените препоръки. Съветът желае да осигури равни условия в рамките на политиката в областта на рибарството за Средиземно море. От друга страна, измененията имат за цел да опростят и модернизират делегираното вземане на решения.</w:t>
      </w:r>
    </w:p>
    <w:p w:rsidR="001F61AF" w:rsidRPr="00D43D12" w:rsidRDefault="001F61AF" w:rsidP="00581884">
      <w:pPr>
        <w:pStyle w:val="Point123"/>
      </w:pPr>
      <w:r w:rsidRPr="00D43D12">
        <w:rPr>
          <w:u w:val="single"/>
        </w:rPr>
        <w:t>Европейският парламент</w:t>
      </w:r>
      <w:r w:rsidRPr="00D43D12">
        <w:t xml:space="preserve"> гласува 25 изменения с подобна насоченост. Що се отнася до делегираното вземане на решения, Парламентът одобри делегирането на правомощия на Комисията, но въведе гаранции за националните мерки, взети в същото време с оглед на изпълнението на международните препоръки. </w:t>
      </w:r>
      <w:r w:rsidRPr="00D43D12">
        <w:rPr>
          <w:u w:val="single"/>
        </w:rPr>
        <w:t>Съветът</w:t>
      </w:r>
      <w:r w:rsidRPr="00D43D12">
        <w:t xml:space="preserve"> прояви гъвкавост по отношение на позицията си, за да вземе предвид някои от измененията на Парламента по същество, и преформулира процедурните разпоредби относно делегираното вземане на решения с оглед на постигането на компромис.</w:t>
      </w:r>
    </w:p>
    <w:p w:rsidR="00324B9F" w:rsidRPr="00D43D12" w:rsidRDefault="007B148B" w:rsidP="00D37DE5">
      <w:pPr>
        <w:rPr>
          <w:b/>
          <w:bCs/>
          <w:u w:val="single"/>
        </w:rPr>
      </w:pPr>
      <w:r w:rsidRPr="00D43D12">
        <w:rPr>
          <w:b/>
        </w:rPr>
        <w:t>Б.</w:t>
      </w:r>
      <w:r w:rsidRPr="00D43D12">
        <w:tab/>
      </w:r>
      <w:r w:rsidRPr="00D43D12">
        <w:rPr>
          <w:b/>
          <w:u w:val="single"/>
        </w:rPr>
        <w:t>Правила за Черно и Адриатическо море</w:t>
      </w:r>
    </w:p>
    <w:p w:rsidR="00324B9F" w:rsidRPr="00D43D12" w:rsidRDefault="00D37DE5" w:rsidP="00581884">
      <w:pPr>
        <w:pStyle w:val="Point123"/>
      </w:pPr>
      <w:r w:rsidRPr="00D43D12">
        <w:t>Съветът измени забраната за използване на тралове в крайбрежните води на Черно море, за да позволи прилагането на специфични дерогации, оправдани от конкретните обстоятелства, посочени в съответната препоръка на GFCM. Комисията осъществява контрол върху дерогациите на държавите членки.</w:t>
      </w:r>
    </w:p>
    <w:p w:rsidR="0067223E" w:rsidRPr="00D43D12" w:rsidRDefault="00761CB6" w:rsidP="00D37DE5">
      <w:pPr>
        <w:pStyle w:val="Point123"/>
      </w:pPr>
      <w:r w:rsidRPr="00D43D12">
        <w:t xml:space="preserve">По отношение на защитните мерки за малки пелагични видове в Адриатическо море, </w:t>
      </w:r>
      <w:r w:rsidRPr="00D43D12">
        <w:rPr>
          <w:u w:val="single"/>
        </w:rPr>
        <w:t>Съветът и Парламентът</w:t>
      </w:r>
      <w:r w:rsidRPr="00D43D12">
        <w:t xml:space="preserve"> договориха техническо изменение в обхвата на мярката.</w:t>
      </w:r>
    </w:p>
    <w:p w:rsidR="00324B9F" w:rsidRPr="00D43D12" w:rsidRDefault="0067223E" w:rsidP="00581884">
      <w:pPr>
        <w:rPr>
          <w:b/>
          <w:bCs/>
          <w:u w:val="single"/>
        </w:rPr>
      </w:pPr>
      <w:r w:rsidRPr="00D43D12">
        <w:br w:type="page"/>
      </w:r>
      <w:r w:rsidRPr="00D43D12">
        <w:rPr>
          <w:b/>
        </w:rPr>
        <w:lastRenderedPageBreak/>
        <w:t>В.</w:t>
      </w:r>
      <w:r w:rsidRPr="00D43D12">
        <w:tab/>
      </w:r>
      <w:r w:rsidRPr="00D43D12">
        <w:rPr>
          <w:b/>
          <w:u w:val="single"/>
        </w:rPr>
        <w:t>Експлоатация на червени корали</w:t>
      </w:r>
    </w:p>
    <w:p w:rsidR="0067223E" w:rsidRPr="00D43D12" w:rsidRDefault="00507916" w:rsidP="0067223E">
      <w:pPr>
        <w:pStyle w:val="Point123"/>
      </w:pPr>
      <w:r w:rsidRPr="00D43D12">
        <w:rPr>
          <w:u w:val="single"/>
        </w:rPr>
        <w:t>Съветът</w:t>
      </w:r>
      <w:r w:rsidRPr="00D43D12">
        <w:t xml:space="preserve"> взе предвид опасенията на </w:t>
      </w:r>
      <w:r w:rsidRPr="00D43D12">
        <w:rPr>
          <w:u w:val="single"/>
        </w:rPr>
        <w:t>Парламента</w:t>
      </w:r>
      <w:r w:rsidRPr="00D43D12">
        <w:t xml:space="preserve"> във връзка с изброяването на различни преходни разпоредби за постепенното преустановяване на използването на подводни апарати с дистанционно управление. Що се отнася до прилагането на дерогациите, в измененото предложение се предвижда делегиран акт, разработен чрез процес на регионализация — концепция, която беше въведена с реформата на общата политика в областта на рибарството. Освен това опасенията на Парламента, свързани с гарантирането на националните мерки, намериха отражение в преходния механизъм.</w:t>
      </w:r>
    </w:p>
    <w:p w:rsidR="00761CB6" w:rsidRPr="00D43D12" w:rsidRDefault="00761CB6" w:rsidP="0067223E">
      <w:pPr>
        <w:rPr>
          <w:b/>
          <w:bCs/>
          <w:u w:val="single"/>
        </w:rPr>
      </w:pPr>
      <w:r w:rsidRPr="00D43D12">
        <w:rPr>
          <w:b/>
        </w:rPr>
        <w:t>Г.</w:t>
      </w:r>
      <w:r w:rsidRPr="00D43D12">
        <w:tab/>
      </w:r>
      <w:r w:rsidRPr="00D43D12">
        <w:rPr>
          <w:b/>
          <w:u w:val="single"/>
        </w:rPr>
        <w:t>Защита на нецелевите морски видове</w:t>
      </w:r>
    </w:p>
    <w:p w:rsidR="00761CB6" w:rsidRPr="00D43D12" w:rsidRDefault="0067223E" w:rsidP="00581884">
      <w:pPr>
        <w:pStyle w:val="Point123"/>
      </w:pPr>
      <w:r w:rsidRPr="00D43D12">
        <w:t>Измененията на Съвета до голяма степен съвпаднаха с измененията на Парламента. Чрез тях бяха добавени някои практически елементи, свързани с избягването на защитени видове и с предприемането на конкретни мерки при случаен улов.</w:t>
      </w:r>
    </w:p>
    <w:p w:rsidR="00843049" w:rsidRPr="00D43D12" w:rsidRDefault="00843049" w:rsidP="00843049">
      <w:pPr>
        <w:rPr>
          <w:b/>
          <w:bCs/>
          <w:u w:val="single"/>
        </w:rPr>
      </w:pPr>
      <w:r w:rsidRPr="00D43D12">
        <w:rPr>
          <w:b/>
        </w:rPr>
        <w:t>Д.</w:t>
      </w:r>
      <w:r w:rsidRPr="00D43D12">
        <w:tab/>
      </w:r>
      <w:r w:rsidRPr="00D43D12">
        <w:rPr>
          <w:b/>
          <w:u w:val="single"/>
        </w:rPr>
        <w:t>Записване и докладване</w:t>
      </w:r>
    </w:p>
    <w:p w:rsidR="00843049" w:rsidRPr="00D43D12" w:rsidRDefault="00843049" w:rsidP="00581884">
      <w:pPr>
        <w:pStyle w:val="Point123"/>
      </w:pPr>
      <w:r w:rsidRPr="00D43D12">
        <w:t xml:space="preserve">Измененията на </w:t>
      </w:r>
      <w:r w:rsidRPr="00D43D12">
        <w:rPr>
          <w:u w:val="single"/>
        </w:rPr>
        <w:t>Съвета</w:t>
      </w:r>
      <w:r w:rsidRPr="00D43D12">
        <w:t xml:space="preserve"> внасят разграничение между минималната информация, която трябва да се записва от рибарите, и агрегираната статистическа информация, която държавите членки ще предоставят на GFCM.</w:t>
      </w:r>
    </w:p>
    <w:p w:rsidR="00C75107" w:rsidRPr="00D43D12" w:rsidRDefault="001863F5" w:rsidP="001863F5">
      <w:pPr>
        <w:pStyle w:val="HeadingIVX"/>
      </w:pPr>
      <w:r w:rsidRPr="00D43D12">
        <w:t>ЗАКЛЮЧЕНИЕ</w:t>
      </w:r>
    </w:p>
    <w:p w:rsidR="00C75107" w:rsidRPr="00D43D12" w:rsidRDefault="00843049" w:rsidP="00843049">
      <w:pPr>
        <w:pStyle w:val="Point123"/>
      </w:pPr>
      <w:r w:rsidRPr="00D43D12">
        <w:t xml:space="preserve">При определянето на своята позиция </w:t>
      </w:r>
      <w:r w:rsidRPr="00D43D12">
        <w:rPr>
          <w:u w:val="single"/>
        </w:rPr>
        <w:t>Съветът</w:t>
      </w:r>
      <w:r w:rsidRPr="00D43D12">
        <w:t xml:space="preserve"> взе изцяло предвид предложението на Комисията и позицията на Европейския парламент на първо четене.</w:t>
      </w:r>
    </w:p>
    <w:p w:rsidR="00FC4670" w:rsidRPr="001863F5" w:rsidRDefault="00FC4670" w:rsidP="00C75107">
      <w:pPr>
        <w:pStyle w:val="FinalLine"/>
      </w:pPr>
    </w:p>
    <w:sectPr w:rsidR="00FC4670" w:rsidRPr="001863F5" w:rsidSect="00DF6525">
      <w:headerReference w:type="default" r:id="rId16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559" w:rsidRDefault="00DA3559" w:rsidP="00C75107">
      <w:pPr>
        <w:spacing w:before="0" w:after="0" w:line="240" w:lineRule="auto"/>
      </w:pPr>
      <w:r>
        <w:separator/>
      </w:r>
    </w:p>
  </w:endnote>
  <w:endnote w:type="continuationSeparator" w:id="0">
    <w:p w:rsidR="00DA3559" w:rsidRDefault="00DA3559" w:rsidP="00C751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525" w:rsidRPr="00DF6525" w:rsidRDefault="00DF6525" w:rsidP="00DF65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F6525" w:rsidRPr="00D94637" w:rsidTr="00DF652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F6525" w:rsidRPr="00D94637" w:rsidRDefault="00DF652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DF6525" w:rsidRPr="00B310DC" w:rsidTr="00DF652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F6525" w:rsidRPr="00AD7BF2" w:rsidRDefault="00DF6525" w:rsidP="004F54B2">
          <w:pPr>
            <w:pStyle w:val="FooterText"/>
          </w:pPr>
          <w:r>
            <w:t>8806/1/15</w:t>
          </w:r>
          <w:r w:rsidRPr="002511D8">
            <w:t xml:space="preserve"> </w:t>
          </w:r>
          <w:r>
            <w:t>REV 1 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F6525" w:rsidRPr="00AD7BF2" w:rsidRDefault="00DF652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F6525" w:rsidRPr="002511D8" w:rsidRDefault="00DF6525" w:rsidP="00D94637">
          <w:pPr>
            <w:pStyle w:val="FooterText"/>
            <w:jc w:val="center"/>
          </w:pPr>
          <w:r>
            <w:t>nm/nb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F6525" w:rsidRPr="00B310DC" w:rsidRDefault="00DF652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73913">
            <w:rPr>
              <w:noProof/>
            </w:rPr>
            <w:t>4</w:t>
          </w:r>
          <w:r>
            <w:fldChar w:fldCharType="end"/>
          </w:r>
        </w:p>
      </w:tc>
    </w:tr>
    <w:tr w:rsidR="00DF6525" w:rsidRPr="00D94637" w:rsidTr="00DF6525">
      <w:trPr>
        <w:jc w:val="center"/>
      </w:trPr>
      <w:tc>
        <w:tcPr>
          <w:tcW w:w="1774" w:type="pct"/>
          <w:shd w:val="clear" w:color="auto" w:fill="auto"/>
        </w:tcPr>
        <w:p w:rsidR="00DF6525" w:rsidRPr="00AD7BF2" w:rsidRDefault="00DF652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F6525" w:rsidRPr="00AD7BF2" w:rsidRDefault="00DF652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F6525" w:rsidRPr="00D94637" w:rsidRDefault="00DF652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F6525" w:rsidRPr="00D94637" w:rsidRDefault="00DF652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C75107" w:rsidRPr="00DF6525" w:rsidRDefault="00C75107" w:rsidP="00DF652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F6525" w:rsidRPr="00D94637" w:rsidTr="00DF652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F6525" w:rsidRPr="00D94637" w:rsidRDefault="00DF652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F6525" w:rsidRPr="00B310DC" w:rsidTr="00DF652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F6525" w:rsidRPr="00AD7BF2" w:rsidRDefault="00DF6525" w:rsidP="004F54B2">
          <w:pPr>
            <w:pStyle w:val="FooterText"/>
          </w:pPr>
          <w:r>
            <w:t>8806/1/15</w:t>
          </w:r>
          <w:r w:rsidRPr="002511D8">
            <w:t xml:space="preserve"> </w:t>
          </w:r>
          <w:r>
            <w:t>REV 1 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F6525" w:rsidRPr="00AD7BF2" w:rsidRDefault="00DF652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F6525" w:rsidRPr="002511D8" w:rsidRDefault="00DF6525" w:rsidP="00D94637">
          <w:pPr>
            <w:pStyle w:val="FooterText"/>
            <w:jc w:val="center"/>
          </w:pPr>
          <w:r>
            <w:t>nm/nb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F6525" w:rsidRPr="00B310DC" w:rsidRDefault="00DF652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44645">
            <w:rPr>
              <w:noProof/>
            </w:rPr>
            <w:t>1</w:t>
          </w:r>
          <w:r>
            <w:fldChar w:fldCharType="end"/>
          </w:r>
        </w:p>
      </w:tc>
    </w:tr>
    <w:tr w:rsidR="00DF6525" w:rsidRPr="00D94637" w:rsidTr="00DF6525">
      <w:trPr>
        <w:jc w:val="center"/>
      </w:trPr>
      <w:tc>
        <w:tcPr>
          <w:tcW w:w="1774" w:type="pct"/>
          <w:shd w:val="clear" w:color="auto" w:fill="auto"/>
        </w:tcPr>
        <w:p w:rsidR="00DF6525" w:rsidRPr="00AD7BF2" w:rsidRDefault="00DF652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F6525" w:rsidRPr="00AD7BF2" w:rsidRDefault="00DF652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F6525" w:rsidRPr="00D94637" w:rsidRDefault="00DF652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F6525" w:rsidRPr="00D94637" w:rsidRDefault="00DF652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C75107" w:rsidRPr="00DF6525" w:rsidRDefault="00C75107" w:rsidP="00DF652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559" w:rsidRDefault="00DA3559" w:rsidP="00C75107">
      <w:pPr>
        <w:spacing w:before="0" w:after="0" w:line="240" w:lineRule="auto"/>
      </w:pPr>
      <w:r>
        <w:separator/>
      </w:r>
    </w:p>
  </w:footnote>
  <w:footnote w:type="continuationSeparator" w:id="0">
    <w:p w:rsidR="00DA3559" w:rsidRDefault="00DA3559" w:rsidP="00C75107">
      <w:pPr>
        <w:spacing w:before="0" w:after="0" w:line="240" w:lineRule="auto"/>
      </w:pPr>
      <w:r>
        <w:continuationSeparator/>
      </w:r>
    </w:p>
  </w:footnote>
  <w:footnote w:id="1">
    <w:p w:rsidR="00383FE4" w:rsidRPr="00335808" w:rsidRDefault="00383FE4" w:rsidP="00383FE4">
      <w:pPr>
        <w:pStyle w:val="FootnoteText"/>
      </w:pPr>
      <w:r>
        <w:rPr>
          <w:rStyle w:val="FootnoteReference"/>
        </w:rPr>
        <w:footnoteRef/>
      </w:r>
      <w:r>
        <w:tab/>
        <w:t>Документи 12682/14 PECHE 392 CODEC 1743 + ADD1 — ADD 8 и 14123/4/14 PECHE 458 CODEC 1993 REV 4.</w:t>
      </w:r>
    </w:p>
  </w:footnote>
  <w:footnote w:id="2">
    <w:p w:rsidR="00383FE4" w:rsidRPr="00507AA3" w:rsidRDefault="00383FE4" w:rsidP="009868D6">
      <w:pPr>
        <w:pStyle w:val="FootnoteText"/>
      </w:pPr>
      <w:r>
        <w:rPr>
          <w:rStyle w:val="FootnoteReference"/>
        </w:rPr>
        <w:footnoteRef/>
      </w:r>
      <w:r>
        <w:tab/>
        <w:t>ОВ C 12, 15.1.2015 г., стр. 116.</w:t>
      </w:r>
    </w:p>
  </w:footnote>
  <w:footnote w:id="3">
    <w:p w:rsidR="00383FE4" w:rsidRPr="00383FE4" w:rsidRDefault="00383FE4">
      <w:pPr>
        <w:pStyle w:val="FootnoteText"/>
      </w:pPr>
      <w:r>
        <w:rPr>
          <w:rStyle w:val="FootnoteReference"/>
          <w:b w:val="0"/>
        </w:rPr>
        <w:footnoteRef/>
      </w:r>
      <w:r>
        <w:tab/>
        <w:t>Док. 8180/15 PECHE 141 CODEC 564.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525" w:rsidRPr="00DF6525" w:rsidRDefault="00DF6525" w:rsidP="00DF65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525" w:rsidRPr="00DF6525" w:rsidRDefault="00DF6525" w:rsidP="00DF652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525" w:rsidRPr="00DF6525" w:rsidRDefault="00DF6525" w:rsidP="00DF6525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07" w:rsidRPr="00DF6525" w:rsidRDefault="00C75107" w:rsidP="00DF65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  <w:num w:numId="21">
    <w:abstractNumId w:val="9"/>
  </w:num>
  <w:num w:numId="22">
    <w:abstractNumId w:val="5"/>
  </w:num>
  <w:num w:numId="23">
    <w:abstractNumId w:val="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3&quot; technicalblockguid=&quot;d65c3785-354e-4c33-b00a-70526245baef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60&quot; text=&quot;&amp;#1048;&amp;#1047;&amp;#1051;&amp;#1054;&amp;#1046;&amp;#1045;&amp;#1053;&amp;#1048;&amp;#1045; &amp;#1053;&amp;#1040; &amp;#1052;&amp;#1054;&amp;#1058;&amp;#1048;&amp;#1042;&amp;#1048;&amp;#1058;&amp;#1045; &amp;#1053;&amp;#1040; &amp;#1057;&amp;#1066;&amp;#1042;&amp;#1045;&amp;#1058;&amp;#1040;&quot; /&gt;_x000d__x000a_    &lt;/basicdatatype&gt;_x000d__x000a_  &lt;/metadata&gt;_x000d__x000a_  &lt;metadata key=&quot;md_HeadingText&quot; translate=&quot;false&quot;&gt;_x000d__x000a_    &lt;headingtext text=&quot;&amp;#1048;&amp;#1047;&amp;#1051;&amp;#1054;&amp;#1046;&amp;#1045;&amp;#1053;&amp;#1048;&amp;#1045; &amp;#1053;&amp;#1040; &amp;#1052;&amp;#1054;&amp;#1058;&amp;#1048;&amp;#1042;&amp;#1048;&amp;#1058;&amp;#1045; &amp;#1053;&amp;#1040; &amp;#1057;&amp;#1066;&amp;#1042;&amp;#1045;&amp;#1058;&amp;#1040;&quot;&gt;_x000d__x000a_      &lt;formattedtext&gt;_x000d__x000a_        &lt;xaml text=&quot;&amp;#1048;&amp;#1047;&amp;#1051;&amp;#1054;&amp;#1046;&amp;#1045;&amp;#1053;&amp;#1048;&amp;#1045; &amp;#1053;&amp;#1040; &amp;#1052;&amp;#1054;&amp;#1058;&amp;#1048;&amp;#1042;&amp;#1048;&amp;#1058;&amp;#1045; &amp;#1053;&amp;#1040; &amp;#1057;&amp;#1066;&amp;#1042;&amp;#1045;&amp;#1058;&amp;#1040;&quot;&gt;&amp;lt;FlowDocument xmlns=&quot;http://schemas.microsoft.com/winfx/2006/xaml/presentation&quot;&amp;gt;&amp;lt;Paragraph&amp;gt;&amp;#1048;&amp;#1047;&amp;#1051;&amp;#1054;&amp;#1046;&amp;#1045;&amp;#1053;&amp;#1048;&amp;#1045; &amp;#1053;&amp;#1040; &amp;#1052;&amp;#1054;&amp;#1058;&amp;#1048;&amp;#1042;&amp;#1048;&amp;#1058;&amp;#1045; &amp;#1053;&amp;#1040; &amp;#1057;&amp;#1066;&amp;#1042;&amp;#1045;&amp;#1058;&amp;#1040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10&quot; text=&quot;Statement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7-14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8806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REV 1 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1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ECHE 161&lt;/text&gt;_x000d__x000a_      &lt;text&gt;CODEC 705&lt;/text&gt;_x000d__x000a_      &lt;text&gt;PARLNAT 82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 translate=&quot;false&quot;&gt;_x000d__x000a_    &lt;textlist&gt;_x000d__x000a_      &lt;text&gt;2014/0213 (COD)&lt;/text&gt;_x000d__x000a_    &lt;/textlist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&amp;#1055;&amp;#1086;&amp;#1079;&amp;#1080;&amp;#1094;&amp;#1080;&amp;#1103; &amp;#1085;&amp;#1072; &amp;#1057;&amp;#1098;&amp;#1074;&amp;#1077;&amp;#1090;&amp;#1072; &amp;#1085;&amp;#1072; &amp;#1087;&amp;#1098;&amp;#1088;&amp;#1074;&amp;#1086; &amp;#1095;&amp;#1077;&amp;#1090;&amp;#1077;&amp;#1085;&amp;#1077; &amp;#1089; &amp;#1086;&amp;#1075;&amp;#1083;&amp;#1077;&amp;#1076; &amp;#1085;&amp;#1072; &amp;#1087;&amp;#1088;&amp;#1080;&amp;#1077;&amp;#1084;&amp;#1072;&amp;#1085;&amp;#1077;&amp;#1090;&amp;#1086; &amp;#1085;&amp;#1072; &amp;#1088;&amp;#1077;&amp;#1075;&amp;#1083;&amp;#1072;&amp;#1084;&amp;#1077;&amp;#1085;&amp;#1090; &amp;#1085;&amp;#1072; &amp;#1045;&amp;#1074;&amp;#1088;&amp;#1086;&amp;#1087;&amp;#1077;&amp;#1081;&amp;#1089;&amp;#1082;&amp;#1080;&amp;#1103; &amp;#1087;&amp;#1072;&amp;#1088;&amp;#1083;&amp;#1072;&amp;#1084;&amp;#1077;&amp;#1085;&amp;#1090; &amp;#1080; &amp;#1085;&amp;#1072; &amp;#1057;&amp;#1098;&amp;#1074;&amp;#1077;&amp;#1090;&amp;#1072; &amp;#1079;&amp;#1072; &amp;#1080;&amp;#1079;&amp;#1084;&amp;#1077;&amp;#1085;&amp;#1077;&amp;#1085;&amp;#1080;&amp;#1077; &amp;#1085;&amp;#1072; &amp;#1056;&amp;#1077;&amp;#1075;&amp;#1083;&amp;#1072;&amp;#1084;&amp;#1077;&amp;#1085;&amp;#1090; (&amp;#1045;&amp;#1057;) &amp;#8470; 1343/2011 &amp;#1086;&amp;#1090;&amp;#1085;&amp;#1086;&amp;#1089;&amp;#1085;&amp;#1086; &amp;#1086;&amp;#1087;&amp;#1088;&amp;#1077;&amp;#1076;&amp;#1077;&amp;#1083;&amp;#1077;&amp;#1085;&amp;#1080; &amp;#1088;&amp;#1072;&amp;#1079;&amp;#1087;&amp;#1086;&amp;#1088;&amp;#1077;&amp;#1076;&amp;#1073;&amp;#1080; &amp;#1079;&amp;#1072; &amp;#1088;&amp;#1080;&amp;#1073;&amp;#1086;&amp;#1083;&amp;#1086;&amp;#1074;&amp;#1072; &amp;#1074; &amp;#1079;&amp;#1086;&amp;#1085;&amp;#1072;&amp;#1090;&amp;#1072; &amp;#1087;&amp;#1086; &amp;#1057;&amp;#1087;&amp;#1086;&amp;#1088;&amp;#1072;&amp;#1079;&amp;#1091;&amp;#1084;&amp;#1077;&amp;#1085;&amp;#1080;&amp;#1077;&amp;#1090;&amp;#1086; &amp;#1079;&amp;#1072; GFCM (&amp;#1043;&amp;#1077;&amp;#1085;&amp;#1077;&amp;#1088;&amp;#1072;&amp;#1083;&amp;#1085;&amp;#1072;&amp;#1090;&amp;#1072; &amp;#1082;&amp;#1086;&amp;#1084;&amp;#1080;&amp;#1089;&amp;#1080;&amp;#1103; &amp;#1087;&amp;#1086; &amp;#1088;&amp;#1080;&amp;#1073;&amp;#1072;&amp;#1088;&amp;#1089;&amp;#1090;&amp;#1074;&amp;#1086; &amp;#1074; &amp;#1057;&amp;#1088;&amp;#1077;&amp;#1076;&amp;#1080;&amp;#1079;&amp;#1077;&amp;#1084;&amp;#1085;&amp;#1086; &amp;#1084;&amp;#1086;&amp;#1088;&amp;#1077;)  &amp;#8212; &amp;#1048;&amp;#1079;&amp;#1083;&amp;#1086;&amp;#1078;&amp;#1077;&amp;#1085;&amp;#1080;&amp;#1077; &amp;#1085;&amp;#1072; &amp;#1084;&amp;#1086;&amp;#1090;&amp;#1080;&amp;#1074;&amp;#1080;&amp;#1090;&amp;#1077; &amp;#1085;&amp;#1072; &amp;#1057;&amp;#1098;&amp;#1074;&amp;#1077;&amp;#1090;&amp;#1072; &amp;#8212; &amp;#1055;&amp;#1088;&amp;#1080;&amp;#1077;&amp;#1090;&amp;#1086; &amp;#1086;&amp;#1090; &amp;#1057;&amp;#1098;&amp;#1074;&amp;#1077;&amp;#1090;&amp;#1072; &amp;#1085;&amp;#1072; 13 &amp;#1102;&amp;#1083;&amp;#1080; 2015 &amp;#1075;.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 xml:space=&quot;preserve&quot;&amp;gt;&amp;#1055;&amp;#1086;&amp;#1079;&amp;#1080;&amp;#1094;&amp;#1080;&amp;#1103; &amp;#1085;&amp;#1072; &amp;#1057;&amp;#1098;&amp;#1074;&amp;#1077;&amp;#1090;&amp;#1072; &amp;#1085;&amp;#1072; &amp;#1087;&amp;#1098;&amp;#1088;&amp;#1074;&amp;#1086; &amp;#1095;&amp;#1077;&amp;#1090;&amp;#1077;&amp;#1085;&amp;#1077; &amp;#1089; &amp;#1086;&amp;#1075;&amp;#1083;&amp;#1077;&amp;#1076; &amp;#1085;&amp;#1072; &amp;#1087;&amp;#1088;&amp;#1080;&amp;#1077;&amp;#1084;&amp;#1072;&amp;#1085;&amp;#1077;&amp;#1090;&amp;#1086; &amp;#1085;&amp;#1072; &amp;#1088;&amp;#1077;&amp;#1075;&amp;#1083;&amp;#1072;&amp;#1084;&amp;#1077;&amp;#1085;&amp;#1090; &amp;#1085;&amp;#1072; &amp;#1045;&amp;#1074;&amp;#1088;&amp;#1086;&amp;#1087;&amp;#1077;&amp;#1081;&amp;#1089;&amp;#1082;&amp;#1080;&amp;#1103; &amp;#1087;&amp;#1072;&amp;#1088;&amp;#1083;&amp;#1072;&amp;#1084;&amp;#1077;&amp;#1085;&amp;#1090; &amp;#1080; &amp;#1085;&amp;#1072; &amp;#1057;&amp;#1098;&amp;#1074;&amp;#1077;&amp;#1090;&amp;#1072; &amp;#1079;&amp;#1072; &amp;#1080;&amp;#1079;&amp;#1084;&amp;#1077;&amp;#1085;&amp;#1077;&amp;#1085;&amp;#1080;&amp;#1077; &amp;#1085;&amp;#1072; &amp;#1056;&amp;#1077;&amp;#1075;&amp;#1083;&amp;#1072;&amp;#1084;&amp;#1077;&amp;#1085;&amp;#1090; (&amp;#1045;&amp;#1057;) &amp;#8470; 1343/2011 &amp;#1086;&amp;#1090;&amp;#1085;&amp;#1086;&amp;#1089;&amp;#1085;&amp;#1086; &amp;#1086;&amp;#1087;&amp;#1088;&amp;#1077;&amp;#1076;&amp;#1077;&amp;#1083;&amp;#1077;&amp;#1085;&amp;#1080; &amp;#1088;&amp;#1072;&amp;#1079;&amp;#1087;&amp;#1086;&amp;#1088;&amp;#1077;&amp;#1076;&amp;#1073;&amp;#1080; &amp;#1079;&amp;#1072; &amp;#1088;&amp;#1080;&amp;#1073;&amp;#1086;&amp;#1083;&amp;#1086;&amp;#1074;&amp;#1072; &amp;#1074; &amp;#1079;&amp;#1086;&amp;#1085;&amp;#1072;&amp;#1090;&amp;#1072; &amp;#1087;&amp;#1086; &amp;#1057;&amp;#1087;&amp;#1086;&amp;#1088;&amp;#1072;&amp;#1079;&amp;#1091;&amp;#1084;&amp;#1077;&amp;#1085;&amp;#1080;&amp;#1077;&amp;#1090;&amp;#1086; &amp;#1079;&amp;#1072; GFCM (&amp;#1043;&amp;#1077;&amp;#1085;&amp;#1077;&amp;#1088;&amp;#1072;&amp;#1083;&amp;#1085;&amp;#1072;&amp;#1090;&amp;#1072; &amp;#1082;&amp;#1086;&amp;#1084;&amp;#1080;&amp;#1089;&amp;#1080;&amp;#1103; &amp;#1087;&amp;#1086; &amp;#1088;&amp;#1080;&amp;#1073;&amp;#1072;&amp;#1088;&amp;#1089;&amp;#1090;&amp;#1074;&amp;#1086; &amp;#1074; &amp;#1057;&amp;#1088;&amp;#1077;&amp;#1076;&amp;#1080;&amp;#1079;&amp;#1077;&amp;#1084;&amp;#1085;&amp;#1086; &amp;#1084;&amp;#1086;&amp;#1088;&amp;#1077;) &amp;lt;/Paragraph&amp;gt;&amp;lt;Paragraph&amp;gt;&amp;#8212; &amp;lt;Run xml:lang=&quot;bg-bg&quot;&amp;gt;&amp;#1048;&amp;lt;/Run&amp;gt;&amp;#1079;&amp;#1083;&amp;#1086;&amp;#1078;&amp;#1077;&amp;#1085;&amp;#1080;&amp;#1077; &amp;#1085;&amp;#1072; &amp;#1084;&amp;#1086;&amp;#1090;&amp;#1080;&amp;#1074;&amp;#1080;&amp;#1090;&amp;#1077; &amp;#1085;&amp;#1072; &amp;#1057;&amp;#1098;&amp;#1074;&amp;#1077;&amp;#1090;&amp;#1072;&amp;lt;LineBreak /&amp;gt;&amp;lt;Run FontFamily=&quot;Arial Unicode MS&quot; xml:space=&quot;preserve&quot;&amp;gt;&amp;#8212; &amp;#1055;&amp;#1088;&amp;#1080;&amp;#1077;&amp;#1090;&amp;#1086; &amp;#1086;&amp;#1090; &amp;#1057;&amp;#1098;&amp;#1074;&amp;#1077;&amp;#1090;&amp;#1072; &amp;#1085;&amp;#1072; &amp;lt;/Run&amp;gt;&amp;lt;Run xml:lang=&quot;bg-bg&quot;&amp;gt;13 &amp;#1102;&amp;#1083;&amp;#1080; 2015&amp;lt;/Run&amp;gt; &amp;#1075;.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nm/nb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6.3&quot; technicalblockguid=&quot;3fe7671e-defb-41ad-8418-ddb6e3f06679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59&quot; text=&quot;&amp;#1055;&amp;#1056;&amp;#1054;&amp;#1045;&amp;#1050;&amp;#1058; &amp;#1047;&amp;#1040; &amp;#1048;&amp;#1047;&amp;#1051;&amp;#1054;&amp;#1046;&amp;#1045;&amp;#1053;&amp;#1048;&amp;#1045; &amp;#1053;&amp;#1040; &amp;#1052;&amp;#1054;&amp;#1058;&amp;#1048;&amp;#1042;&amp;#1048;&amp;#1058;&amp;#1045; &amp;#1053;&amp;#1040; &amp;#1057;&amp;#1066;&amp;#1042;&amp;#1045;&amp;#1058;&amp;#1040;&quot; /&gt;_x000d__x000a_    &lt;/basicdatatype&gt;_x000d__x000a_  &lt;/metadata&gt;_x000d__x000a_  &lt;metadata key=&quot;md_HeadingText&quot; translate=&quot;false&quot;&gt;_x000d__x000a_    &lt;headingtext text=&quot;&amp;#1055;&amp;#1056;&amp;#1054;&amp;#1045;&amp;#1050;&amp;#1058; &amp;#1047;&amp;#1040; &amp;#1048;&amp;#1047;&amp;#1051;&amp;#1054;&amp;#1046;&amp;#1045;&amp;#1053;&amp;#1048;&amp;#1045; &amp;#1053;&amp;#1040; &amp;#1052;&amp;#1054;&amp;#1058;&amp;#1048;&amp;#1042;&amp;#1048;&amp;#1058;&amp;#1045; &amp;#1053;&amp;#1040; &amp;#1057;&amp;#1066;&amp;#1042;&amp;#1045;&amp;#1058;&amp;#1040;&quot;&gt;_x000d__x000a_      &lt;formattedtext&gt;_x000d__x000a_        &lt;xaml text=&quot;&amp;#1055;&amp;#1056;&amp;#1054;&amp;#1045;&amp;#1050;&amp;#1058; &amp;#1047;&amp;#1040; &amp;#1048;&amp;#1047;&amp;#1051;&amp;#1054;&amp;#1046;&amp;#1045;&amp;#1053;&amp;#1048;&amp;#1045; &amp;#1053;&amp;#1040; &amp;#1052;&amp;#1054;&amp;#1058;&amp;#1048;&amp;#1042;&amp;#1048;&amp;#1058;&amp;#1045; &amp;#1053;&amp;#1040; &amp;#1057;&amp;#1066;&amp;#1042;&amp;#1045;&amp;#1058;&amp;#1040;&quot;&gt;&amp;lt;FlowDocument xmlns=&quot;http://schemas.microsoft.com/winfx/2006/xaml/presentation&quot;&amp;gt;&amp;lt;Paragraph&amp;gt;&amp;#1055;&amp;#1056;&amp;#1054;&amp;#1045;&amp;#1050;&amp;#1058; &amp;#1047;&amp;#1040; &amp;#1048;&amp;#1047;&amp;#1051;&amp;#1054;&amp;#1046;&amp;#1045;&amp;#1053;&amp;#1048;&amp;#1045; &amp;#1053;&amp;#1040; &amp;#1052;&amp;#1054;&amp;#1058;&amp;#1048;&amp;#1042;&amp;#1048;&amp;#1058;&amp;#1045; &amp;#1053;&amp;#1040; &amp;#1057;&amp;#1066;&amp;#1042;&amp;#1045;&amp;#1058;&amp;#1040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10&quot; text=&quot;Statement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6-25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8806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ECHE 161&lt;/text&gt;_x000d__x000a_      &lt;text&gt;CODEC 70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translate=&quot;false&quot;&gt;_x000d__x000a_    &lt;textlist&gt;_x000d__x000a_      &lt;text&gt;2014/0213 (COD)&lt;/text&gt;_x000d__x000a_    &lt;/textlist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&amp;#1055;&amp;#1086;&amp;#1079;&amp;#1080;&amp;#1094;&amp;#1080;&amp;#1103; &amp;#1085;&amp;#1072; &amp;#1057;&amp;#1098;&amp;#1074;&amp;#1077;&amp;#1090;&amp;#1072; &amp;#1085;&amp;#1072; &amp;#1087;&amp;#1098;&amp;#1088;&amp;#1074;&amp;#1086; &amp;#1095;&amp;#1077;&amp;#1090;&amp;#1077;&amp;#1085;&amp;#1077; &amp;#1089; &amp;#1086;&amp;#1075;&amp;#1083;&amp;#1077;&amp;#1076; &amp;#1085;&amp;#1072; &amp;#1087;&amp;#1088;&amp;#1080;&amp;#1077;&amp;#1084;&amp;#1072;&amp;#1085;&amp;#1077;&amp;#1090;&amp;#1086; &amp;#1085;&amp;#1072; &amp;#1088;&amp;#1077;&amp;#1075;&amp;#1083;&amp;#1072;&amp;#1084;&amp;#1077;&amp;#1085;&amp;#1090; &amp;#1085;&amp;#1072; &amp;#1045;&amp;#1074;&amp;#1088;&amp;#1086;&amp;#1087;&amp;#1077;&amp;#1081;&amp;#1089;&amp;#1082;&amp;#1080;&amp;#1103; &amp;#1087;&amp;#1072;&amp;#1088;&amp;#1083;&amp;#1072;&amp;#1084;&amp;#1077;&amp;#1085;&amp;#1090; &amp;#1080; &amp;#1085;&amp;#1072; &amp;#1057;&amp;#1098;&amp;#1074;&amp;#1077;&amp;#1090;&amp;#1072; &amp;#1079;&amp;#1072; &amp;#1080;&amp;#1079;&amp;#1084;&amp;#1077;&amp;#1085;&amp;#1077;&amp;#1085;&amp;#1080;&amp;#1077; &amp;#1085;&amp;#1072; &amp;#1056;&amp;#1077;&amp;#1075;&amp;#1083;&amp;#1072;&amp;#1084;&amp;#1077;&amp;#1085;&amp;#1090; (&amp;#1045;&amp;#1057;) &amp;#8470; 1343/2011 &amp;#1085;&amp;#1072; &amp;#1045;&amp;#1074;&amp;#1088;&amp;#1086;&amp;#1087;&amp;#1077;&amp;#1081;&amp;#1089;&amp;#1082;&amp;#1080;&amp;#1103; &amp;#1087;&amp;#1072;&amp;#1088;&amp;#1083;&amp;#1072;&amp;#1084;&amp;#1077;&amp;#1085;&amp;#1090; &amp;#1080; &amp;#1085;&amp;#1072; &amp;#1057;&amp;#1098;&amp;#1074;&amp;#1077;&amp;#1090;&amp;#1072; &amp;#1086;&amp;#1090; 13 &amp;#1076;&amp;#1077;&amp;#1082;&amp;#1077;&amp;#1084;&amp;#1074;&amp;#1088;&amp;#1080; 2011 &amp;#1075;. &amp;#1086;&amp;#1090;&amp;#1085;&amp;#1086;&amp;#1089;&amp;#1085;&amp;#1086; &amp;#1086;&amp;#1087;&amp;#1088;&amp;#1077;&amp;#1076;&amp;#1077;&amp;#1083;&amp;#1077;&amp;#1085;&amp;#1080; &amp;#1088;&amp;#1072;&amp;#1079;&amp;#1087;&amp;#1086;&amp;#1088;&amp;#1077;&amp;#1076;&amp;#1073;&amp;#1080; &amp;#1079;&amp;#1072; &amp;#1088;&amp;#1080;&amp;#1073;&amp;#1086;&amp;#1083;&amp;#1086;&amp;#1074;&amp;#1072; &amp;#1074; &amp;#1079;&amp;#1086;&amp;#1085;&amp;#1072;&amp;#1090;&amp;#1072; &amp;#1087;&amp;#1086; &amp;#1057;&amp;#1087;&amp;#1086;&amp;#1088;&amp;#1072;&amp;#1079;&amp;#1091;&amp;#1084;&amp;#1077;&amp;#1085;&amp;#1080;&amp;#1077;&amp;#1090;&amp;#1086; &amp;#1079;&amp;#1072; GFCM (&amp;#1043;&amp;#1077;&amp;#1085;&amp;#1077;&amp;#1088;&amp;#1072;&amp;#1083;&amp;#1085;&amp;#1072;&amp;#1090;&amp;#1072; &amp;#1082;&amp;#1086;&amp;#1084;&amp;#1080;&amp;#1089;&amp;#1080;&amp;#1103; &amp;#1087;&amp;#1086; &amp;#1088;&amp;#1080;&amp;#1073;&amp;#1072;&amp;#1088;&amp;#1089;&amp;#1090;&amp;#1074;&amp;#1086; &amp;#1074; &amp;#1057;&amp;#1088;&amp;#1077;&amp;#1076;&amp;#1080;&amp;#1079;&amp;#1077;&amp;#1084;&amp;#1085;&amp;#1086; &amp;#1084;&amp;#1086;&amp;#1088;&amp;#1077;)  &amp;#8212; &amp;#1055;&amp;#1088;&amp;#1086;&amp;#1077;&amp;#1082;&amp;#1090; &amp;#1079;&amp;#1072; &amp;#1080;&amp;#1079;&amp;#1083;&amp;#1086;&amp;#1078;&amp;#1077;&amp;#1085;&amp;#1080;&amp;#1077; &amp;#1085;&amp;#1072; &amp;#1084;&amp;#1086;&amp;#1090;&amp;#1080;&amp;#1074;&amp;#1080;&amp;#1090;&amp;#1077; &amp;#1085;&amp;#1072; &amp;#1057;&amp;#1098;&amp;#1074;&amp;#1077;&amp;#1090;&amp;#1072;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FontFamily=&quot;Times New Roman&quot; xml:lang=&quot;fr-be&quot; xml:space=&quot;preserve&quot;&amp;gt;&amp;#1055;&amp;#1086;&amp;#1079;&amp;#1080;&amp;#1094;&amp;#1080;&amp;#1103; &amp;#1085;&amp;#1072; &amp;#1057;&amp;#1098;&amp;#1074;&amp;#1077;&amp;#1090;&amp;#1072; &amp;#1085;&amp;#1072; &amp;#1087;&amp;#1098;&amp;#1088;&amp;#1074;&amp;#1086; &amp;#1095;&amp;#1077;&amp;#1090;&amp;#1077;&amp;#1085;&amp;#1077; &amp;#1089; &amp;#1086;&amp;#1075;&amp;#1083;&amp;#1077;&amp;#1076; &amp;#1085;&amp;#1072; &amp;#1087;&amp;#1088;&amp;#1080;&amp;#1077;&amp;#1084;&amp;#1072;&amp;#1085;&amp;#1077;&amp;#1090;&amp;#1086; &amp;#1085;&amp;#1072; &amp;#1088;&amp;#1077;&amp;#1075;&amp;#1083;&amp;#1072;&amp;#1084;&amp;#1077;&amp;#1085;&amp;#1090; &amp;#1085;&amp;#1072; &amp;#1045;&amp;#1074;&amp;#1088;&amp;#1086;&amp;#1087;&amp;#1077;&amp;#1081;&amp;#1089;&amp;#1082;&amp;#1080;&amp;#1103; &amp;#1087;&amp;#1072;&amp;#1088;&amp;#1083;&amp;#1072;&amp;#1084;&amp;#1077;&amp;#1085;&amp;#1090; &amp;#1080; &amp;#1085;&amp;#1072; &amp;#1057;&amp;#1098;&amp;#1074;&amp;#1077;&amp;#1090;&amp;#1072; &amp;lt;/Run&amp;gt;&amp;lt;Run FontFamily=&quot;Times New Roman&quot; xml:space=&quot;preserve&quot;&amp;gt;&amp;#1079;&amp;#1072; &amp;#1080;&amp;#1079;&amp;#1084;&amp;#1077;&amp;#1085;&amp;#1077;&amp;#1085;&amp;#1080;&amp;#1077; &amp;#1085;&amp;#1072; &amp;#1056;&amp;#1077;&amp;#1075;&amp;#1083;&amp;#1072;&amp;#1084;&amp;#1077;&amp;#1085;&amp;#1090; (&amp;#1045;&amp;#1057;) &amp;#8470; 1343/2011 &amp;#1085;&amp;#1072; &amp;#1045;&amp;#1074;&amp;#1088;&amp;#1086;&amp;#1087;&amp;#1077;&amp;#1081;&amp;#1089;&amp;#1082;&amp;#1080;&amp;#1103; &amp;#1087;&amp;#1072;&amp;#1088;&amp;#1083;&amp;#1072;&amp;#1084;&amp;#1077;&amp;#1085;&amp;#1090; &amp;#1080; &amp;#1085;&amp;#1072; &amp;#1057;&amp;#1098;&amp;#1074;&amp;#1077;&amp;#1090;&amp;#1072; &amp;#1086;&amp;#1090; 13 &amp;#1076;&amp;#1077;&amp;#1082;&amp;#1077;&amp;#1084;&amp;#1074;&amp;#1088;&amp;#1080; 2011 &amp;#1075;. &amp;#1086;&amp;#1090;&amp;#1085;&amp;#1086;&amp;#1089;&amp;#1085;&amp;#1086; &amp;#1086;&amp;#1087;&amp;#1088;&amp;#1077;&amp;#1076;&amp;#1077;&amp;#1083;&amp;#1077;&amp;#1085;&amp;#1080; &amp;#1088;&amp;#1072;&amp;#1079;&amp;#1087;&amp;#1086;&amp;#1088;&amp;#1077;&amp;#1076;&amp;#1073;&amp;#1080; &amp;#1079;&amp;#1072; &amp;#1088;&amp;#1080;&amp;#1073;&amp;#1086;&amp;#1083;&amp;#1086;&amp;#1074;&amp;#1072; &amp;#1074; &amp;#1079;&amp;#1086;&amp;#1085;&amp;#1072;&amp;#1090;&amp;#1072; &amp;#1087;&amp;#1086; &amp;#1057;&amp;#1087;&amp;#1086;&amp;#1088;&amp;#1072;&amp;#1079;&amp;#1091;&amp;#1084;&amp;#1077;&amp;#1085;&amp;#1080;&amp;#1077;&amp;#1090;&amp;#1086; &amp;#1079;&amp;#1072; GFCM (&amp;#1043;&amp;#1077;&amp;#1085;&amp;#1077;&amp;#1088;&amp;#1072;&amp;#1083;&amp;#1085;&amp;#1072;&amp;#1090;&amp;#1072; &amp;#1082;&amp;#1086;&amp;#1084;&amp;#1080;&amp;#1089;&amp;#1080;&amp;#1103; &amp;#1087;&amp;#1086; &amp;#1088;&amp;#1080;&amp;#1073;&amp;#1072;&amp;#1088;&amp;#1089;&amp;#1090;&amp;#1074;&amp;#1086; &amp;#1074; &amp;#1057;&amp;#1088;&amp;#1077;&amp;#1076;&amp;#1080;&amp;#1079;&amp;#1077;&amp;#1084;&amp;#1085;&amp;#1086; &amp;#1084;&amp;#1086;&amp;#1088;&amp;#1077;) &amp;lt;/Run&amp;gt;&amp;lt;/Paragraph&amp;gt;&amp;lt;Paragraph&amp;gt;&amp;#8212; &amp;lt;Run FontStyle=&quot;Italic&quot;&amp;gt;&amp;#1055;&amp;#1088;&amp;#1086;&amp;#1077;&amp;#1082;&amp;#1090; &amp;#1079;&amp;#1072; &amp;#1080;&amp;#1079;&amp;#1083;&amp;#1086;&amp;#1078;&amp;#1077;&amp;#1085;&amp;#1080;&amp;#1077; &amp;#1085;&amp;#1072; &amp;#1084;&amp;#1086;&amp;#1090;&amp;#1080;&amp;#1074;&amp;#1080;&amp;#1090;&amp;#1077; &amp;#1085;&amp;#1072; &amp;#1057;&amp;#1098;&amp;#1074;&amp;#1077;&amp;#1090;&amp;#1072;&amp;lt;/Run&amp;gt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GB 2A&lt;/text&gt;_x000d__x000a_  &lt;/metadata&gt;_x000d__x000a_  &lt;metadata key=&quot;md_Initials&quot; translate=&quot;false&quot;&gt;_x000d__x000a_    &lt;text&gt;ea/gd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LW_DocType" w:val="DW_COUNCIL"/>
    <w:docVar w:name="VSSDB_IniPath" w:val="\\at100\user\wovo\SEILEG\vss\srcsafe.ini"/>
    <w:docVar w:name="VSSDB_ProjectPath" w:val="$/DocuWrite/DOT/DW_COUNCIL"/>
  </w:docVars>
  <w:rsids>
    <w:rsidRoot w:val="00C75107"/>
    <w:rsid w:val="0000108B"/>
    <w:rsid w:val="00017234"/>
    <w:rsid w:val="00065929"/>
    <w:rsid w:val="00096B04"/>
    <w:rsid w:val="000F0BE4"/>
    <w:rsid w:val="00130CD9"/>
    <w:rsid w:val="00182F2F"/>
    <w:rsid w:val="001863F5"/>
    <w:rsid w:val="001F61AF"/>
    <w:rsid w:val="00225BE7"/>
    <w:rsid w:val="002345D5"/>
    <w:rsid w:val="00273913"/>
    <w:rsid w:val="002A3D63"/>
    <w:rsid w:val="003123C5"/>
    <w:rsid w:val="00324B9F"/>
    <w:rsid w:val="00356F5F"/>
    <w:rsid w:val="00383FE4"/>
    <w:rsid w:val="00414945"/>
    <w:rsid w:val="004A5CE6"/>
    <w:rsid w:val="004C5E16"/>
    <w:rsid w:val="00507916"/>
    <w:rsid w:val="00507AA3"/>
    <w:rsid w:val="00581884"/>
    <w:rsid w:val="005B4111"/>
    <w:rsid w:val="00625999"/>
    <w:rsid w:val="006351BB"/>
    <w:rsid w:val="00656555"/>
    <w:rsid w:val="0067223E"/>
    <w:rsid w:val="007161AD"/>
    <w:rsid w:val="007478F1"/>
    <w:rsid w:val="00761CB6"/>
    <w:rsid w:val="00773B69"/>
    <w:rsid w:val="007A39A2"/>
    <w:rsid w:val="007B148B"/>
    <w:rsid w:val="0082213C"/>
    <w:rsid w:val="00843049"/>
    <w:rsid w:val="00860636"/>
    <w:rsid w:val="008974B4"/>
    <w:rsid w:val="00901450"/>
    <w:rsid w:val="0092626B"/>
    <w:rsid w:val="00930040"/>
    <w:rsid w:val="00944645"/>
    <w:rsid w:val="009868D6"/>
    <w:rsid w:val="00995A1C"/>
    <w:rsid w:val="009B07D1"/>
    <w:rsid w:val="00A30641"/>
    <w:rsid w:val="00A93207"/>
    <w:rsid w:val="00AF3113"/>
    <w:rsid w:val="00B54F86"/>
    <w:rsid w:val="00BE6E3D"/>
    <w:rsid w:val="00C75107"/>
    <w:rsid w:val="00C84CA3"/>
    <w:rsid w:val="00D13316"/>
    <w:rsid w:val="00D37DE5"/>
    <w:rsid w:val="00D43D12"/>
    <w:rsid w:val="00D45240"/>
    <w:rsid w:val="00DA3559"/>
    <w:rsid w:val="00DC5EF5"/>
    <w:rsid w:val="00DD231C"/>
    <w:rsid w:val="00DF6525"/>
    <w:rsid w:val="00E5767B"/>
    <w:rsid w:val="00E80814"/>
    <w:rsid w:val="00EB2249"/>
    <w:rsid w:val="00ED3249"/>
    <w:rsid w:val="00F86DEA"/>
    <w:rsid w:val="00FA6558"/>
    <w:rsid w:val="00FA7189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7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2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2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link w:val="FootnoteTextChar"/>
    <w:uiPriority w:val="99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017234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F6525"/>
    <w:pPr>
      <w:spacing w:before="0" w:after="240" w:line="240" w:lineRule="auto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C75107"/>
    <w:pPr>
      <w:spacing w:before="0"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C75107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C75107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C75107"/>
    <w:pPr>
      <w:spacing w:before="0" w:after="0" w:line="240" w:lineRule="auto"/>
    </w:pPr>
  </w:style>
  <w:style w:type="character" w:customStyle="1" w:styleId="FootnoteTextChar">
    <w:name w:val="Footnote Text Char"/>
    <w:link w:val="FootnoteText"/>
    <w:uiPriority w:val="99"/>
    <w:rsid w:val="00383FE4"/>
    <w:rPr>
      <w:sz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2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23E"/>
    <w:rPr>
      <w:rFonts w:ascii="Tahoma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017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2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2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23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234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234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0172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7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2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2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link w:val="FootnoteTextChar"/>
    <w:uiPriority w:val="99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017234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F6525"/>
    <w:pPr>
      <w:spacing w:before="0" w:after="240" w:line="240" w:lineRule="auto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C75107"/>
    <w:pPr>
      <w:spacing w:before="0"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C75107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C75107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C75107"/>
    <w:pPr>
      <w:spacing w:before="0" w:after="0" w:line="240" w:lineRule="auto"/>
    </w:pPr>
  </w:style>
  <w:style w:type="character" w:customStyle="1" w:styleId="FootnoteTextChar">
    <w:name w:val="Footnote Text Char"/>
    <w:link w:val="FootnoteText"/>
    <w:uiPriority w:val="99"/>
    <w:rsid w:val="00383FE4"/>
    <w:rPr>
      <w:sz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2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23E"/>
    <w:rPr>
      <w:rFonts w:ascii="Tahoma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017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2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2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23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234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234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0172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44088-30C7-4221-8810-1A49B295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0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GEORGIEVOVA Zita</dc:creator>
  <cp:lastModifiedBy>BORANOVA Nevina</cp:lastModifiedBy>
  <cp:revision>2</cp:revision>
  <cp:lastPrinted>2015-06-30T14:57:00Z</cp:lastPrinted>
  <dcterms:created xsi:type="dcterms:W3CDTF">2015-07-15T13:05:00Z</dcterms:created>
  <dcterms:modified xsi:type="dcterms:W3CDTF">2015-07-15T13:05:00Z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3.6.3, Build 20150630</vt:lpwstr>
  </property>
  <property fmtid="{D5CDD505-2E9C-101B-9397-08002B2CF9AE}" pid="5" name="SkipControlLengthPage">
    <vt:lpwstr/>
  </property>
</Properties>
</file>