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238" w:rsidRPr="00AA0D07" w:rsidRDefault="00AF0BC1" w:rsidP="00AA0D07">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3493990-07dd-4c51-a161-f743fcf5a117" style="width:568.5pt;height:398.9pt">
            <v:imagedata r:id="rId8" o:title=""/>
          </v:shape>
        </w:pict>
      </w:r>
      <w:bookmarkEnd w:id="0"/>
    </w:p>
    <w:p w:rsidR="00A50238" w:rsidRPr="00784AB8" w:rsidRDefault="00A50238" w:rsidP="00A50238">
      <w:pPr>
        <w:sectPr w:rsidR="00A50238" w:rsidRPr="00784AB8" w:rsidSect="00AF0BC1">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pPr>
    </w:p>
    <w:p w:rsidR="00A2440D" w:rsidRPr="00784AB8" w:rsidRDefault="00A2440D" w:rsidP="00A2440D">
      <w:pPr>
        <w:pStyle w:val="Par-numberI"/>
        <w:numPr>
          <w:ilvl w:val="0"/>
          <w:numId w:val="0"/>
        </w:numPr>
        <w:rPr>
          <w:b/>
          <w:u w:val="single"/>
        </w:rPr>
      </w:pPr>
      <w:r w:rsidRPr="00784AB8">
        <w:rPr>
          <w:b/>
        </w:rPr>
        <w:lastRenderedPageBreak/>
        <w:t>I.</w:t>
      </w:r>
      <w:r w:rsidRPr="00784AB8">
        <w:tab/>
      </w:r>
      <w:r w:rsidRPr="00784AB8">
        <w:rPr>
          <w:b/>
          <w:u w:val="single"/>
        </w:rPr>
        <w:t>INTRODUCTION</w:t>
      </w:r>
    </w:p>
    <w:p w:rsidR="00095CB3" w:rsidRPr="00784AB8" w:rsidRDefault="00095CB3" w:rsidP="00095CB3"/>
    <w:p w:rsidR="00A2440D" w:rsidRPr="00784AB8" w:rsidRDefault="00A2440D" w:rsidP="00D84A6B">
      <w:pPr>
        <w:pStyle w:val="NormalIndent"/>
        <w:ind w:left="1134" w:hanging="567"/>
      </w:pPr>
      <w:r w:rsidRPr="00784AB8">
        <w:t>1.</w:t>
      </w:r>
      <w:r w:rsidRPr="00784AB8">
        <w:tab/>
        <w:t>Le 1</w:t>
      </w:r>
      <w:r w:rsidRPr="00784AB8">
        <w:rPr>
          <w:vertAlign w:val="superscript"/>
        </w:rPr>
        <w:t>er</w:t>
      </w:r>
      <w:r w:rsidRPr="00784AB8">
        <w:t xml:space="preserve"> juillet 2013, la </w:t>
      </w:r>
      <w:r w:rsidRPr="00784AB8">
        <w:rPr>
          <w:u w:val="single"/>
        </w:rPr>
        <w:t>Commission</w:t>
      </w:r>
      <w:r w:rsidRPr="00784AB8">
        <w:t xml:space="preserve"> a présenté la proposition mentionnée en objet</w:t>
      </w:r>
      <w:r w:rsidRPr="00784AB8">
        <w:rPr>
          <w:rStyle w:val="FootnoteReference"/>
        </w:rPr>
        <w:footnoteReference w:id="1"/>
      </w:r>
      <w:r w:rsidRPr="00784AB8">
        <w:t xml:space="preserve"> et l'analyse d'impact correspondante au Conseil et au Parlement européen.</w:t>
      </w:r>
    </w:p>
    <w:p w:rsidR="00A2440D" w:rsidRPr="00784AB8" w:rsidRDefault="00A2440D" w:rsidP="00095CB3">
      <w:pPr>
        <w:pStyle w:val="NormalIndent"/>
      </w:pPr>
    </w:p>
    <w:p w:rsidR="00F72201" w:rsidRPr="00784AB8" w:rsidRDefault="00D84A6B" w:rsidP="00D84A6B">
      <w:pPr>
        <w:pStyle w:val="NormalIndent"/>
        <w:ind w:left="1134" w:hanging="567"/>
      </w:pPr>
      <w:r w:rsidRPr="00784AB8">
        <w:t>2.</w:t>
      </w:r>
      <w:r w:rsidRPr="00784AB8">
        <w:tab/>
        <w:t xml:space="preserve">Le </w:t>
      </w:r>
      <w:r w:rsidRPr="00784AB8">
        <w:rPr>
          <w:u w:val="single"/>
        </w:rPr>
        <w:t>Comité économique et social</w:t>
      </w:r>
      <w:r w:rsidRPr="00784AB8">
        <w:t xml:space="preserve"> a adopté son avis le 16 octobre 2013</w:t>
      </w:r>
      <w:r w:rsidRPr="00784AB8">
        <w:rPr>
          <w:rStyle w:val="FootnoteReference"/>
        </w:rPr>
        <w:footnoteReference w:id="2"/>
      </w:r>
      <w:r w:rsidRPr="00784AB8">
        <w:t>.</w:t>
      </w:r>
    </w:p>
    <w:p w:rsidR="00A2440D" w:rsidRPr="00784AB8" w:rsidRDefault="00A2440D" w:rsidP="00095CB3">
      <w:pPr>
        <w:pStyle w:val="NormalIndent"/>
      </w:pPr>
    </w:p>
    <w:p w:rsidR="00A2440D" w:rsidRPr="00784AB8" w:rsidRDefault="00A2440D" w:rsidP="00D84A6B">
      <w:pPr>
        <w:pStyle w:val="NormalIndent"/>
        <w:ind w:left="1134"/>
      </w:pPr>
      <w:r w:rsidRPr="00784AB8">
        <w:t xml:space="preserve">Le </w:t>
      </w:r>
      <w:r w:rsidRPr="00784AB8">
        <w:rPr>
          <w:u w:val="single"/>
        </w:rPr>
        <w:t>Parlement européen</w:t>
      </w:r>
      <w:r w:rsidRPr="00784AB8">
        <w:t xml:space="preserve"> a adopté son avis en première lecture le 16 avril 2014</w:t>
      </w:r>
      <w:r w:rsidRPr="00784AB8">
        <w:rPr>
          <w:rStyle w:val="FootnoteReference"/>
        </w:rPr>
        <w:footnoteReference w:id="3"/>
      </w:r>
      <w:r w:rsidRPr="00784AB8">
        <w:t>, approuvant 85 amendements.</w:t>
      </w:r>
    </w:p>
    <w:p w:rsidR="00A2440D" w:rsidRPr="00784AB8" w:rsidRDefault="00A2440D" w:rsidP="00095CB3">
      <w:pPr>
        <w:pStyle w:val="NormalIndent"/>
      </w:pPr>
    </w:p>
    <w:p w:rsidR="00A2440D" w:rsidRPr="00784AB8" w:rsidRDefault="00D84A6B" w:rsidP="003F35E6">
      <w:pPr>
        <w:pStyle w:val="NormalIndent"/>
        <w:ind w:left="1134" w:hanging="567"/>
      </w:pPr>
      <w:r w:rsidRPr="00784AB8">
        <w:t>3.</w:t>
      </w:r>
      <w:r w:rsidRPr="00784AB8">
        <w:tab/>
        <w:t>Le Conseil et le Parlement européen ont mené des négociations informelles en vue de conclure un accord au stade de la position du Conseil en première lecture ("accord en</w:t>
      </w:r>
      <w:r w:rsidR="003F35E6">
        <w:t> </w:t>
      </w:r>
      <w:r w:rsidRPr="00784AB8">
        <w:t>deuxième lecture anticipée"). Ces négociations ont abouti à un accord provisoire le</w:t>
      </w:r>
      <w:r w:rsidR="003F35E6">
        <w:t> </w:t>
      </w:r>
      <w:r w:rsidRPr="00784AB8">
        <w:t>18 novembre 2014.</w:t>
      </w:r>
    </w:p>
    <w:p w:rsidR="00A2440D" w:rsidRPr="00784AB8" w:rsidRDefault="00A2440D" w:rsidP="00095CB3">
      <w:pPr>
        <w:pStyle w:val="NormalIndent"/>
      </w:pPr>
    </w:p>
    <w:p w:rsidR="00A2440D" w:rsidRPr="00784AB8" w:rsidRDefault="00D84A6B" w:rsidP="003F35E6">
      <w:pPr>
        <w:pStyle w:val="NormalIndent"/>
        <w:ind w:left="1134" w:hanging="567"/>
      </w:pPr>
      <w:r w:rsidRPr="00784AB8">
        <w:rPr>
          <w:color w:val="000000"/>
        </w:rPr>
        <w:t>4.</w:t>
      </w:r>
      <w:r w:rsidRPr="00784AB8">
        <w:tab/>
      </w:r>
      <w:r w:rsidRPr="00784AB8">
        <w:rPr>
          <w:color w:val="000000"/>
        </w:rPr>
        <w:t xml:space="preserve">Le 3 décembre 2014, la commission de l'environnement, de la santé publique et de la sécurité alimentaire (ENVI) du Parlement européen a approuvé le résultat des négociations menées dans le cadre du trilogue informel. Le même jour, la </w:t>
      </w:r>
      <w:r w:rsidRPr="00784AB8">
        <w:rPr>
          <w:color w:val="000000"/>
          <w:u w:val="single"/>
        </w:rPr>
        <w:t>présidence de</w:t>
      </w:r>
      <w:r w:rsidR="003F35E6">
        <w:rPr>
          <w:color w:val="000000"/>
          <w:u w:val="single"/>
        </w:rPr>
        <w:t> </w:t>
      </w:r>
      <w:r w:rsidRPr="00784AB8">
        <w:rPr>
          <w:color w:val="000000"/>
          <w:u w:val="single"/>
        </w:rPr>
        <w:t>la commission ENVI</w:t>
      </w:r>
      <w:r w:rsidRPr="00784AB8">
        <w:rPr>
          <w:color w:val="000000"/>
        </w:rPr>
        <w:t xml:space="preserve"> a informé par lettre la </w:t>
      </w:r>
      <w:r w:rsidRPr="00784AB8">
        <w:rPr>
          <w:color w:val="000000"/>
          <w:u w:val="single"/>
        </w:rPr>
        <w:t xml:space="preserve">présidence du Coreper </w:t>
      </w:r>
      <w:r w:rsidRPr="00784AB8">
        <w:rPr>
          <w:color w:val="000000"/>
        </w:rPr>
        <w:t>(1</w:t>
      </w:r>
      <w:r w:rsidRPr="00784AB8">
        <w:rPr>
          <w:color w:val="000000"/>
          <w:vertAlign w:val="superscript"/>
        </w:rPr>
        <w:t>re</w:t>
      </w:r>
      <w:r w:rsidRPr="00784AB8">
        <w:rPr>
          <w:color w:val="000000"/>
        </w:rPr>
        <w:t xml:space="preserve"> partie) que, dans le cas où le Conseil transmettrait formellement sa position au Parlement européen dans les termes convenus, sous réserve de la vérification du texte par les juristes</w:t>
      </w:r>
      <w:r w:rsidR="003F35E6">
        <w:rPr>
          <w:color w:val="000000"/>
        </w:rPr>
        <w:noBreakHyphen/>
      </w:r>
      <w:r w:rsidRPr="00784AB8">
        <w:rPr>
          <w:color w:val="000000"/>
        </w:rPr>
        <w:t>linguistes, elle recommanderait, en collaboration avec le rapporteur, à la</w:t>
      </w:r>
      <w:r w:rsidR="003F35E6">
        <w:rPr>
          <w:color w:val="000000"/>
        </w:rPr>
        <w:t> </w:t>
      </w:r>
      <w:r w:rsidRPr="00784AB8">
        <w:rPr>
          <w:color w:val="000000"/>
        </w:rPr>
        <w:t>plénière que la position du</w:t>
      </w:r>
      <w:r w:rsidR="00696C29">
        <w:rPr>
          <w:color w:val="000000"/>
        </w:rPr>
        <w:t> </w:t>
      </w:r>
      <w:r w:rsidRPr="00784AB8">
        <w:rPr>
          <w:color w:val="000000"/>
        </w:rPr>
        <w:t>Conseil soit approuvée en deuxième lecture sans amendement.</w:t>
      </w:r>
    </w:p>
    <w:p w:rsidR="00A2440D" w:rsidRPr="00784AB8" w:rsidRDefault="00A2440D" w:rsidP="00095CB3">
      <w:pPr>
        <w:pStyle w:val="NormalIndent"/>
      </w:pPr>
    </w:p>
    <w:p w:rsidR="00A2440D" w:rsidRPr="00784AB8" w:rsidRDefault="00D84A6B" w:rsidP="00D84A6B">
      <w:pPr>
        <w:pStyle w:val="NormalIndent"/>
        <w:ind w:left="1134" w:hanging="567"/>
      </w:pPr>
      <w:r w:rsidRPr="00784AB8">
        <w:t>5.</w:t>
      </w:r>
      <w:r w:rsidRPr="00784AB8">
        <w:tab/>
        <w:t>Sur cette base, le Conseil a confirmé, le 17 décembre 2014, son accord politique sur le texte du règlement en question</w:t>
      </w:r>
      <w:r w:rsidRPr="00784AB8">
        <w:rPr>
          <w:rStyle w:val="FootnoteReference"/>
        </w:rPr>
        <w:footnoteReference w:id="4"/>
      </w:r>
      <w:r w:rsidRPr="00784AB8">
        <w:t xml:space="preserve"> tel qu'il a été approuvé par les deux institutions.</w:t>
      </w:r>
    </w:p>
    <w:p w:rsidR="00A2440D" w:rsidRPr="00784AB8" w:rsidRDefault="00A2440D" w:rsidP="00095CB3">
      <w:pPr>
        <w:pStyle w:val="NormalIndent"/>
      </w:pPr>
    </w:p>
    <w:p w:rsidR="00A2440D" w:rsidRPr="00784AB8" w:rsidRDefault="00D84A6B" w:rsidP="00095CB3">
      <w:pPr>
        <w:pStyle w:val="Par-numberI"/>
        <w:numPr>
          <w:ilvl w:val="0"/>
          <w:numId w:val="0"/>
        </w:numPr>
        <w:rPr>
          <w:b/>
        </w:rPr>
      </w:pPr>
      <w:r w:rsidRPr="00784AB8">
        <w:br w:type="page"/>
      </w:r>
      <w:r w:rsidRPr="00784AB8">
        <w:rPr>
          <w:b/>
        </w:rPr>
        <w:t>II.</w:t>
      </w:r>
      <w:r w:rsidRPr="00784AB8">
        <w:tab/>
      </w:r>
      <w:r w:rsidRPr="00784AB8">
        <w:rPr>
          <w:b/>
          <w:u w:val="single"/>
        </w:rPr>
        <w:t>OBJECTIF</w:t>
      </w:r>
    </w:p>
    <w:p w:rsidR="00A2440D" w:rsidRPr="00784AB8" w:rsidRDefault="00A2440D" w:rsidP="00095CB3">
      <w:pPr>
        <w:spacing w:before="0" w:after="0"/>
      </w:pPr>
    </w:p>
    <w:p w:rsidR="00A2440D" w:rsidRPr="00784AB8" w:rsidRDefault="00A2440D" w:rsidP="00095CB3">
      <w:pPr>
        <w:spacing w:before="0" w:after="0"/>
        <w:ind w:left="567" w:hanging="567"/>
      </w:pPr>
      <w:r w:rsidRPr="00784AB8">
        <w:tab/>
        <w:t>Le règlement proposé vise principalement à établir un système de surveillance, de déclaration et de vérification (monitoring, reporting and verification – MRV) des émissions de CO</w:t>
      </w:r>
      <w:r w:rsidRPr="00784AB8">
        <w:rPr>
          <w:vertAlign w:val="subscript"/>
        </w:rPr>
        <w:t>2</w:t>
      </w:r>
      <w:r w:rsidRPr="00784AB8">
        <w:t xml:space="preserve"> du secteur des transports maritimes, en tant que première étape vers un système MRV mondial.</w:t>
      </w:r>
    </w:p>
    <w:p w:rsidR="00A2440D" w:rsidRPr="00784AB8" w:rsidRDefault="00A2440D" w:rsidP="00095CB3">
      <w:pPr>
        <w:spacing w:before="0" w:after="0"/>
        <w:ind w:left="567" w:hanging="567"/>
        <w:rPr>
          <w:b/>
          <w:u w:val="single"/>
        </w:rPr>
      </w:pPr>
    </w:p>
    <w:p w:rsidR="00A2440D" w:rsidRPr="00784AB8" w:rsidRDefault="00A2440D" w:rsidP="00095CB3">
      <w:pPr>
        <w:spacing w:before="0" w:after="0"/>
        <w:rPr>
          <w:u w:val="single"/>
        </w:rPr>
      </w:pPr>
      <w:r w:rsidRPr="00784AB8">
        <w:rPr>
          <w:b/>
        </w:rPr>
        <w:t>III.</w:t>
      </w:r>
      <w:r w:rsidRPr="00784AB8">
        <w:tab/>
      </w:r>
      <w:r w:rsidRPr="00784AB8">
        <w:rPr>
          <w:b/>
          <w:u w:val="single"/>
        </w:rPr>
        <w:t>ANALYSE DE LA POSITION DU CONSEIL EN PREMIÈRE LECTURE</w:t>
      </w:r>
    </w:p>
    <w:p w:rsidR="00A2440D" w:rsidRPr="00784AB8" w:rsidRDefault="00A2440D" w:rsidP="00095CB3">
      <w:pPr>
        <w:pStyle w:val="Par-number1"/>
        <w:numPr>
          <w:ilvl w:val="0"/>
          <w:numId w:val="0"/>
        </w:numPr>
        <w:ind w:left="567"/>
        <w:outlineLvl w:val="0"/>
        <w:rPr>
          <w:b/>
        </w:rPr>
      </w:pPr>
    </w:p>
    <w:p w:rsidR="00A2440D" w:rsidRPr="00784AB8" w:rsidRDefault="001656A3" w:rsidP="001656A3">
      <w:pPr>
        <w:spacing w:before="0" w:after="0"/>
        <w:ind w:left="567"/>
        <w:rPr>
          <w:b/>
          <w:bCs/>
        </w:rPr>
      </w:pPr>
      <w:r w:rsidRPr="00784AB8">
        <w:rPr>
          <w:b/>
        </w:rPr>
        <w:t>A.</w:t>
      </w:r>
      <w:r w:rsidRPr="00784AB8">
        <w:tab/>
      </w:r>
      <w:r w:rsidRPr="00784AB8">
        <w:rPr>
          <w:b/>
        </w:rPr>
        <w:t>Observations d'ordre général</w:t>
      </w:r>
    </w:p>
    <w:p w:rsidR="00095CB3" w:rsidRPr="00784AB8" w:rsidRDefault="00095CB3" w:rsidP="00095CB3">
      <w:pPr>
        <w:spacing w:before="0" w:after="0"/>
        <w:rPr>
          <w:b/>
          <w:bCs/>
        </w:rPr>
      </w:pPr>
    </w:p>
    <w:p w:rsidR="00A2440D" w:rsidRPr="00784AB8" w:rsidRDefault="00A2440D" w:rsidP="00696C29">
      <w:pPr>
        <w:spacing w:before="0" w:after="0"/>
        <w:ind w:left="567"/>
      </w:pPr>
      <w:r w:rsidRPr="00784AB8">
        <w:t>À l'issue du vote en plénière, le Parlement européen et le Conseil ont mené des négociations en vue de conclure un accord en deuxième lecture sur la base de la position du Conseil en</w:t>
      </w:r>
      <w:r w:rsidR="00696C29">
        <w:t> </w:t>
      </w:r>
      <w:r w:rsidRPr="00784AB8">
        <w:t>première lecture, que le Parlement a été en mesure d'approuver telle quelle. Le texte de la</w:t>
      </w:r>
      <w:r w:rsidR="00696C29">
        <w:t> </w:t>
      </w:r>
      <w:r w:rsidRPr="00784AB8">
        <w:t>position du Conseil en première lecture reflète tout à fait le compromis intervenu entre les colégislateurs.</w:t>
      </w:r>
    </w:p>
    <w:p w:rsidR="00A2440D" w:rsidRPr="00784AB8" w:rsidRDefault="00A2440D" w:rsidP="00095CB3">
      <w:pPr>
        <w:spacing w:before="0" w:after="0"/>
      </w:pPr>
    </w:p>
    <w:p w:rsidR="00A2440D" w:rsidRPr="00784AB8" w:rsidRDefault="00A2440D" w:rsidP="001656A3">
      <w:pPr>
        <w:spacing w:before="0" w:after="0"/>
        <w:ind w:left="567"/>
        <w:rPr>
          <w:b/>
          <w:bCs/>
        </w:rPr>
      </w:pPr>
      <w:r w:rsidRPr="00784AB8">
        <w:rPr>
          <w:b/>
        </w:rPr>
        <w:t>B.</w:t>
      </w:r>
      <w:r w:rsidRPr="00784AB8">
        <w:tab/>
      </w:r>
      <w:r w:rsidRPr="00784AB8">
        <w:rPr>
          <w:b/>
        </w:rPr>
        <w:t>Questions principales</w:t>
      </w:r>
    </w:p>
    <w:p w:rsidR="00A2440D" w:rsidRPr="00784AB8" w:rsidRDefault="00A2440D" w:rsidP="00095CB3">
      <w:pPr>
        <w:spacing w:before="0" w:after="0"/>
        <w:rPr>
          <w:b/>
          <w:bCs/>
        </w:rPr>
      </w:pPr>
    </w:p>
    <w:p w:rsidR="00A2440D" w:rsidRPr="00784AB8" w:rsidRDefault="00A2440D" w:rsidP="00F72201">
      <w:pPr>
        <w:spacing w:before="0" w:after="0"/>
        <w:ind w:left="567"/>
      </w:pPr>
      <w:r w:rsidRPr="00784AB8">
        <w:t>Les modifications apportées à la proposition de la Commission reflètent, d'une manière générale, la nécessité de parvenir à un juste équilibre en établissant un système de surveillance, de déclaration et de vérification (MRV) qui demeure souple, tout en garantissant un minimum de conditions de concurrence équitable et en réduisant au maximum la charge administrative.</w:t>
      </w:r>
    </w:p>
    <w:p w:rsidR="00A2440D" w:rsidRPr="00784AB8" w:rsidRDefault="00A2440D" w:rsidP="00095CB3">
      <w:pPr>
        <w:spacing w:before="0" w:after="0"/>
      </w:pPr>
    </w:p>
    <w:p w:rsidR="00A2440D" w:rsidRPr="00784AB8" w:rsidRDefault="00A2440D" w:rsidP="00696C29">
      <w:pPr>
        <w:spacing w:before="0" w:after="0"/>
        <w:ind w:left="567"/>
      </w:pPr>
      <w:r w:rsidRPr="00784AB8">
        <w:t>Plus spécifiquement, les principaux aspects ayant appelé des modifications par rapport à la</w:t>
      </w:r>
      <w:r w:rsidR="00696C29">
        <w:t> </w:t>
      </w:r>
      <w:r w:rsidRPr="00784AB8">
        <w:t>proposition initiale de la Commission sont les suivants:</w:t>
      </w:r>
    </w:p>
    <w:p w:rsidR="00A2440D" w:rsidRPr="00784AB8" w:rsidRDefault="00A2440D" w:rsidP="00095CB3">
      <w:pPr>
        <w:spacing w:before="0" w:after="0"/>
      </w:pPr>
    </w:p>
    <w:p w:rsidR="00A2440D" w:rsidRPr="00784AB8" w:rsidRDefault="00A2440D" w:rsidP="00DC0BFF">
      <w:pPr>
        <w:spacing w:before="0" w:after="0"/>
        <w:ind w:left="993" w:hanging="426"/>
      </w:pPr>
      <w:r w:rsidRPr="00784AB8">
        <w:t>a)</w:t>
      </w:r>
      <w:r w:rsidRPr="00784AB8">
        <w:tab/>
        <w:t>la liste des définitions, qui a été élargie, de nouvelles définitions ayant été ajoutées et d'autres clarifiées;</w:t>
      </w:r>
    </w:p>
    <w:p w:rsidR="00A2440D" w:rsidRPr="00784AB8" w:rsidRDefault="00A2440D" w:rsidP="00095CB3">
      <w:pPr>
        <w:spacing w:before="0" w:after="0"/>
      </w:pPr>
    </w:p>
    <w:p w:rsidR="00A2440D" w:rsidRPr="00784AB8" w:rsidRDefault="00A2440D" w:rsidP="00DC0BFF">
      <w:pPr>
        <w:spacing w:before="0" w:after="0"/>
        <w:ind w:left="993" w:hanging="426"/>
      </w:pPr>
      <w:r w:rsidRPr="00784AB8">
        <w:t>b)</w:t>
      </w:r>
      <w:r w:rsidRPr="00784AB8">
        <w:tab/>
        <w:t>le contenu des modifications du plan de surveillance et la procédure à suivre à cet effet;</w:t>
      </w:r>
    </w:p>
    <w:p w:rsidR="00A2440D" w:rsidRPr="00784AB8" w:rsidRDefault="00D84A6B" w:rsidP="00696C29">
      <w:pPr>
        <w:spacing w:before="0" w:after="0"/>
        <w:ind w:left="993" w:hanging="426"/>
      </w:pPr>
      <w:r w:rsidRPr="00784AB8">
        <w:br w:type="page"/>
        <w:t>c)</w:t>
      </w:r>
      <w:r w:rsidRPr="00784AB8">
        <w:tab/>
        <w:t>les types de surveillance des émissions de CO</w:t>
      </w:r>
      <w:r w:rsidRPr="00784AB8">
        <w:rPr>
          <w:vertAlign w:val="subscript"/>
        </w:rPr>
        <w:t>2</w:t>
      </w:r>
      <w:r w:rsidRPr="00784AB8">
        <w:t>, une dérogation spécifique ayant été instaurée dans le cadre de la surveillance par voyage; a également été incluse la possibilité de soumettre à une surveillance et une déclaration sur une base volontaire, à</w:t>
      </w:r>
      <w:r w:rsidR="00696C29">
        <w:t> la </w:t>
      </w:r>
      <w:r w:rsidRPr="00784AB8">
        <w:t>fois de façon annuelle et par voyage, d'autres éléments d'information tels que ceux se</w:t>
      </w:r>
      <w:r w:rsidR="00696C29">
        <w:t> </w:t>
      </w:r>
      <w:r w:rsidRPr="00784AB8">
        <w:t>rapportant à la classe glace du navire et à la navigation dans les glaces;</w:t>
      </w:r>
    </w:p>
    <w:p w:rsidR="00A2440D" w:rsidRPr="00784AB8" w:rsidRDefault="00A2440D" w:rsidP="00095CB3">
      <w:pPr>
        <w:spacing w:before="0" w:after="0"/>
      </w:pPr>
    </w:p>
    <w:p w:rsidR="00A2440D" w:rsidRPr="00784AB8" w:rsidRDefault="00A2440D" w:rsidP="00DC0BFF">
      <w:pPr>
        <w:spacing w:before="0" w:after="0"/>
        <w:ind w:left="993" w:hanging="426"/>
      </w:pPr>
      <w:r w:rsidRPr="00784AB8">
        <w:t>d)</w:t>
      </w:r>
      <w:r w:rsidRPr="00784AB8">
        <w:tab/>
        <w:t>l'organisation des activités de vérification, en vue de clarifier l'ordonnancement des actions et de simplifier la procédure;</w:t>
      </w:r>
    </w:p>
    <w:p w:rsidR="00A2440D" w:rsidRPr="00784AB8" w:rsidRDefault="00A2440D" w:rsidP="00095CB3">
      <w:pPr>
        <w:spacing w:before="0" w:after="0"/>
      </w:pPr>
    </w:p>
    <w:p w:rsidR="00A2440D" w:rsidRPr="00784AB8" w:rsidRDefault="00A2440D" w:rsidP="00DC0BFF">
      <w:pPr>
        <w:spacing w:before="0" w:after="0"/>
        <w:ind w:left="993" w:hanging="426"/>
      </w:pPr>
      <w:r w:rsidRPr="00784AB8">
        <w:t>e)</w:t>
      </w:r>
      <w:r w:rsidRPr="00784AB8">
        <w:tab/>
        <w:t>la structure et le contenu du dispositif de mise en œuvre et le mécanisme de sanctions, ainsi que les liens éventuels avec la directive 2009/16/CE relative au contrôle par l'État du port;</w:t>
      </w:r>
    </w:p>
    <w:p w:rsidR="00A2440D" w:rsidRPr="00784AB8" w:rsidRDefault="00A2440D" w:rsidP="00095C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pPr>
    </w:p>
    <w:p w:rsidR="00A2440D" w:rsidRPr="00784AB8" w:rsidRDefault="00A2440D" w:rsidP="00DC0BFF">
      <w:pPr>
        <w:spacing w:before="0" w:after="0"/>
        <w:ind w:left="993" w:hanging="426"/>
      </w:pPr>
      <w:r w:rsidRPr="00784AB8">
        <w:t>f)</w:t>
      </w:r>
      <w:r w:rsidRPr="00784AB8">
        <w:tab/>
        <w:t>la suppression du lien avec le règlement (UE) n° 525/2013 relatif à un mécanisme pour la surveillance et la déclaration des émissions de gaz à effet de serre et pour la déclaration, au niveau national et au niveau de l'Union, d'autres informations ayant trait au changement climatique;</w:t>
      </w:r>
    </w:p>
    <w:p w:rsidR="00A2440D" w:rsidRPr="00784AB8" w:rsidRDefault="00A2440D" w:rsidP="00095CB3">
      <w:pPr>
        <w:spacing w:before="0" w:after="0"/>
      </w:pPr>
    </w:p>
    <w:p w:rsidR="00F72201" w:rsidRPr="00784AB8" w:rsidRDefault="00DC0BFF" w:rsidP="00DC0BFF">
      <w:pPr>
        <w:spacing w:before="0" w:after="0"/>
        <w:ind w:left="993" w:hanging="426"/>
      </w:pPr>
      <w:r w:rsidRPr="00784AB8">
        <w:t>g)</w:t>
      </w:r>
      <w:r w:rsidRPr="00784AB8">
        <w:tab/>
        <w:t>les informations qui doivent être communiquées par la Commission, l'instauration d'une possibilité de déroger (de façon limitée) à cette publicité, ainsi que les différents types de rapports que la Commission est tenue d'établir au titre du règlement;</w:t>
      </w:r>
    </w:p>
    <w:p w:rsidR="00A2440D" w:rsidRPr="00784AB8" w:rsidRDefault="00A2440D" w:rsidP="00095CB3">
      <w:pPr>
        <w:spacing w:before="0" w:after="0"/>
      </w:pPr>
    </w:p>
    <w:p w:rsidR="00F72201" w:rsidRPr="00784AB8" w:rsidRDefault="00DC0BFF" w:rsidP="00DC0BFF">
      <w:pPr>
        <w:spacing w:before="0" w:after="0"/>
        <w:ind w:left="993" w:hanging="426"/>
      </w:pPr>
      <w:r w:rsidRPr="00784AB8">
        <w:t>h)</w:t>
      </w:r>
      <w:r w:rsidRPr="00784AB8">
        <w:tab/>
        <w:t>la portée de l'annexe II, dans laquelle a été introduite une possibilité de faire une distinction entre les différents types de navires et de préciser par la voie d'actes d'exécution les paramètres applicables aux fins du calcul de la cargaison;</w:t>
      </w:r>
    </w:p>
    <w:p w:rsidR="00A2440D" w:rsidRPr="00784AB8" w:rsidRDefault="00A2440D" w:rsidP="00095CB3">
      <w:pPr>
        <w:spacing w:before="0" w:after="0"/>
      </w:pPr>
    </w:p>
    <w:p w:rsidR="00A2440D" w:rsidRPr="00784AB8" w:rsidRDefault="00DC0BFF" w:rsidP="00DC0BFF">
      <w:pPr>
        <w:spacing w:before="0" w:after="0"/>
        <w:ind w:left="993" w:hanging="426"/>
      </w:pPr>
      <w:r w:rsidRPr="00784AB8">
        <w:t>i)</w:t>
      </w:r>
      <w:r w:rsidRPr="00784AB8">
        <w:tab/>
        <w:t>la portée des actes délégués prévus dans le règlement.</w:t>
      </w:r>
    </w:p>
    <w:p w:rsidR="00A2440D" w:rsidRPr="00784AB8" w:rsidRDefault="00A2440D" w:rsidP="00095CB3">
      <w:pPr>
        <w:pStyle w:val="NormalIndent"/>
      </w:pPr>
    </w:p>
    <w:p w:rsidR="00A2440D" w:rsidRPr="00784AB8" w:rsidRDefault="00D84A6B" w:rsidP="00095CB3">
      <w:pPr>
        <w:pStyle w:val="Par-numberI"/>
        <w:numPr>
          <w:ilvl w:val="0"/>
          <w:numId w:val="0"/>
        </w:numPr>
        <w:rPr>
          <w:b/>
          <w:u w:val="single"/>
        </w:rPr>
      </w:pPr>
      <w:r w:rsidRPr="00784AB8">
        <w:br w:type="page"/>
      </w:r>
      <w:r w:rsidRPr="00784AB8">
        <w:rPr>
          <w:b/>
        </w:rPr>
        <w:t>IV.</w:t>
      </w:r>
      <w:r w:rsidRPr="00784AB8">
        <w:tab/>
      </w:r>
      <w:r w:rsidRPr="00784AB8">
        <w:rPr>
          <w:b/>
          <w:u w:val="single"/>
        </w:rPr>
        <w:t>CONCLUSIONS</w:t>
      </w:r>
    </w:p>
    <w:p w:rsidR="00A2440D" w:rsidRPr="00784AB8" w:rsidRDefault="00A2440D" w:rsidP="00095CB3">
      <w:pPr>
        <w:spacing w:before="0" w:after="0"/>
      </w:pPr>
    </w:p>
    <w:p w:rsidR="00A2440D" w:rsidRPr="00784AB8" w:rsidRDefault="00A2440D" w:rsidP="00095CB3">
      <w:pPr>
        <w:spacing w:before="0" w:after="0"/>
        <w:ind w:left="567"/>
      </w:pPr>
      <w:r w:rsidRPr="00784AB8">
        <w:t xml:space="preserve">La position du </w:t>
      </w:r>
      <w:r w:rsidRPr="00784AB8">
        <w:rPr>
          <w:u w:val="single"/>
        </w:rPr>
        <w:t>Conseil</w:t>
      </w:r>
      <w:r w:rsidRPr="00784AB8">
        <w:t xml:space="preserve"> reflète fidèlement le compromis obtenu à l'issue des négociations informelles entre le Parlement européen et le Conseil, avec le soutien de la Commission.</w:t>
      </w:r>
    </w:p>
    <w:p w:rsidR="00A2440D" w:rsidRPr="00784AB8" w:rsidRDefault="00A2440D" w:rsidP="00095CB3">
      <w:pPr>
        <w:spacing w:before="0" w:after="0"/>
        <w:ind w:left="567"/>
      </w:pPr>
    </w:p>
    <w:p w:rsidR="00A2440D" w:rsidRPr="00784AB8" w:rsidRDefault="00A2440D" w:rsidP="00696C29">
      <w:pPr>
        <w:spacing w:before="0" w:after="0"/>
        <w:ind w:left="567"/>
      </w:pPr>
      <w:r w:rsidRPr="00784AB8">
        <w:t>Ce compromis a été confirmé par une lettre adressée à la présidence le 3 décembre 2014 par la</w:t>
      </w:r>
      <w:r w:rsidR="00696C29">
        <w:t> </w:t>
      </w:r>
      <w:r w:rsidRPr="00784AB8">
        <w:t>présidence de la commission ENVI du Parlement européen. Il a ensuite été approuvé par le</w:t>
      </w:r>
      <w:r w:rsidR="00696C29">
        <w:t> </w:t>
      </w:r>
      <w:r w:rsidRPr="00784AB8">
        <w:t>Conseil "Environnement" le 17 décembre 2014 par l'adoption de l'accord politique.</w:t>
      </w:r>
    </w:p>
    <w:p w:rsidR="00A2440D" w:rsidRPr="00784AB8" w:rsidRDefault="00A2440D" w:rsidP="00A2440D">
      <w:pPr>
        <w:ind w:left="567"/>
      </w:pPr>
    </w:p>
    <w:p w:rsidR="00A2440D" w:rsidRPr="00696C29" w:rsidRDefault="00696C29" w:rsidP="00A2440D">
      <w:pPr>
        <w:jc w:val="center"/>
      </w:pPr>
      <w:r w:rsidRPr="00696C29">
        <w:t>____________________</w:t>
      </w:r>
    </w:p>
    <w:sectPr w:rsidR="00A2440D" w:rsidRPr="00696C29" w:rsidSect="00AF0BC1">
      <w:headerReference w:type="default" r:id="rId15"/>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B5C" w:rsidRDefault="004C5B5C" w:rsidP="00A50238">
      <w:pPr>
        <w:spacing w:before="0" w:after="0" w:line="240" w:lineRule="auto"/>
      </w:pPr>
      <w:r>
        <w:separator/>
      </w:r>
    </w:p>
  </w:endnote>
  <w:endnote w:type="continuationSeparator" w:id="0">
    <w:p w:rsidR="004C5B5C" w:rsidRDefault="004C5B5C" w:rsidP="00A502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266" w:rsidRPr="00AF0BC1" w:rsidRDefault="001C4266" w:rsidP="00AF0B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AF0BC1" w:rsidRPr="00D94637" w:rsidTr="00AF0BC1">
      <w:trPr>
        <w:jc w:val="center"/>
      </w:trPr>
      <w:tc>
        <w:tcPr>
          <w:tcW w:w="5000" w:type="pct"/>
          <w:gridSpan w:val="7"/>
          <w:shd w:val="clear" w:color="auto" w:fill="auto"/>
          <w:tcMar>
            <w:top w:w="57" w:type="dxa"/>
          </w:tcMar>
        </w:tcPr>
        <w:p w:rsidR="00AF0BC1" w:rsidRPr="00D94637" w:rsidRDefault="00AF0BC1" w:rsidP="00D94637">
          <w:pPr>
            <w:pStyle w:val="FooterText"/>
            <w:pBdr>
              <w:top w:val="single" w:sz="4" w:space="1" w:color="auto"/>
            </w:pBdr>
            <w:spacing w:before="200"/>
            <w:rPr>
              <w:sz w:val="2"/>
              <w:szCs w:val="2"/>
            </w:rPr>
          </w:pPr>
          <w:bookmarkStart w:id="2" w:name="FOOTER_STANDARD"/>
        </w:p>
      </w:tc>
    </w:tr>
    <w:tr w:rsidR="00AF0BC1" w:rsidRPr="00B310DC" w:rsidTr="00AF0BC1">
      <w:trPr>
        <w:jc w:val="center"/>
      </w:trPr>
      <w:tc>
        <w:tcPr>
          <w:tcW w:w="2500" w:type="pct"/>
          <w:gridSpan w:val="2"/>
          <w:shd w:val="clear" w:color="auto" w:fill="auto"/>
          <w:tcMar>
            <w:top w:w="0" w:type="dxa"/>
          </w:tcMar>
        </w:tcPr>
        <w:p w:rsidR="00AF0BC1" w:rsidRPr="00AD7BF2" w:rsidRDefault="00AF0BC1" w:rsidP="004F54B2">
          <w:pPr>
            <w:pStyle w:val="FooterText"/>
          </w:pPr>
          <w:r>
            <w:t>17086/1/14</w:t>
          </w:r>
          <w:r w:rsidRPr="002511D8">
            <w:t xml:space="preserve"> </w:t>
          </w:r>
          <w:r>
            <w:t>REV 1 ADD 1</w:t>
          </w:r>
        </w:p>
      </w:tc>
      <w:tc>
        <w:tcPr>
          <w:tcW w:w="625" w:type="pct"/>
          <w:shd w:val="clear" w:color="auto" w:fill="auto"/>
          <w:tcMar>
            <w:top w:w="0" w:type="dxa"/>
          </w:tcMar>
        </w:tcPr>
        <w:p w:rsidR="00AF0BC1" w:rsidRPr="00AD7BF2" w:rsidRDefault="00AF0BC1" w:rsidP="00D94637">
          <w:pPr>
            <w:pStyle w:val="FooterText"/>
            <w:jc w:val="center"/>
          </w:pPr>
        </w:p>
      </w:tc>
      <w:tc>
        <w:tcPr>
          <w:tcW w:w="1287" w:type="pct"/>
          <w:gridSpan w:val="3"/>
          <w:shd w:val="clear" w:color="auto" w:fill="auto"/>
          <w:tcMar>
            <w:top w:w="0" w:type="dxa"/>
          </w:tcMar>
        </w:tcPr>
        <w:p w:rsidR="00AF0BC1" w:rsidRPr="002511D8" w:rsidRDefault="00AF0BC1" w:rsidP="00D94637">
          <w:pPr>
            <w:pStyle w:val="FooterText"/>
            <w:jc w:val="center"/>
          </w:pPr>
          <w:r>
            <w:t>olm/EK/ERO/mb</w:t>
          </w:r>
        </w:p>
      </w:tc>
      <w:tc>
        <w:tcPr>
          <w:tcW w:w="588" w:type="pct"/>
          <w:shd w:val="clear" w:color="auto" w:fill="auto"/>
          <w:tcMar>
            <w:top w:w="0" w:type="dxa"/>
          </w:tcMar>
        </w:tcPr>
        <w:p w:rsidR="00AF0BC1" w:rsidRPr="00B310DC" w:rsidRDefault="00AF0BC1"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AF0BC1" w:rsidRPr="00D94637" w:rsidTr="00AF0BC1">
      <w:trPr>
        <w:jc w:val="center"/>
      </w:trPr>
      <w:tc>
        <w:tcPr>
          <w:tcW w:w="1774" w:type="pct"/>
          <w:shd w:val="clear" w:color="auto" w:fill="auto"/>
        </w:tcPr>
        <w:p w:rsidR="00AF0BC1" w:rsidRPr="00AD7BF2" w:rsidRDefault="00AF0BC1" w:rsidP="00D94637">
          <w:pPr>
            <w:pStyle w:val="FooterText"/>
            <w:spacing w:before="40"/>
          </w:pPr>
        </w:p>
      </w:tc>
      <w:tc>
        <w:tcPr>
          <w:tcW w:w="1455" w:type="pct"/>
          <w:gridSpan w:val="3"/>
          <w:shd w:val="clear" w:color="auto" w:fill="auto"/>
        </w:tcPr>
        <w:p w:rsidR="00AF0BC1" w:rsidRPr="00AD7BF2" w:rsidRDefault="00AF0BC1" w:rsidP="00D204D6">
          <w:pPr>
            <w:pStyle w:val="FooterText"/>
            <w:spacing w:before="40"/>
            <w:jc w:val="center"/>
          </w:pPr>
          <w:r>
            <w:t>DPG</w:t>
          </w:r>
        </w:p>
      </w:tc>
      <w:tc>
        <w:tcPr>
          <w:tcW w:w="1147" w:type="pct"/>
          <w:shd w:val="clear" w:color="auto" w:fill="auto"/>
        </w:tcPr>
        <w:p w:rsidR="00AF0BC1" w:rsidRPr="00D94637" w:rsidRDefault="00AF0BC1" w:rsidP="00D94637">
          <w:pPr>
            <w:pStyle w:val="FooterText"/>
            <w:jc w:val="right"/>
            <w:rPr>
              <w:b/>
              <w:position w:val="-4"/>
              <w:sz w:val="36"/>
            </w:rPr>
          </w:pPr>
        </w:p>
      </w:tc>
      <w:tc>
        <w:tcPr>
          <w:tcW w:w="625" w:type="pct"/>
          <w:gridSpan w:val="2"/>
          <w:shd w:val="clear" w:color="auto" w:fill="auto"/>
        </w:tcPr>
        <w:p w:rsidR="00AF0BC1" w:rsidRPr="00D94637" w:rsidRDefault="00AF0BC1" w:rsidP="00D94637">
          <w:pPr>
            <w:pStyle w:val="FooterText"/>
            <w:jc w:val="right"/>
            <w:rPr>
              <w:sz w:val="16"/>
            </w:rPr>
          </w:pPr>
          <w:r>
            <w:rPr>
              <w:b/>
              <w:position w:val="-4"/>
              <w:sz w:val="36"/>
            </w:rPr>
            <w:t>FR</w:t>
          </w:r>
        </w:p>
      </w:tc>
    </w:tr>
    <w:bookmarkEnd w:id="2"/>
  </w:tbl>
  <w:p w:rsidR="00A50238" w:rsidRPr="00AF0BC1" w:rsidRDefault="00A50238" w:rsidP="00AF0BC1">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AF0BC1" w:rsidRPr="00D94637" w:rsidTr="00AF0BC1">
      <w:trPr>
        <w:jc w:val="center"/>
      </w:trPr>
      <w:tc>
        <w:tcPr>
          <w:tcW w:w="5000" w:type="pct"/>
          <w:gridSpan w:val="7"/>
          <w:shd w:val="clear" w:color="auto" w:fill="auto"/>
          <w:tcMar>
            <w:top w:w="57" w:type="dxa"/>
          </w:tcMar>
        </w:tcPr>
        <w:p w:rsidR="00AF0BC1" w:rsidRPr="00D94637" w:rsidRDefault="00AF0BC1" w:rsidP="00D94637">
          <w:pPr>
            <w:pStyle w:val="FooterText"/>
            <w:pBdr>
              <w:top w:val="single" w:sz="4" w:space="1" w:color="auto"/>
            </w:pBdr>
            <w:spacing w:before="200"/>
            <w:rPr>
              <w:sz w:val="2"/>
              <w:szCs w:val="2"/>
            </w:rPr>
          </w:pPr>
        </w:p>
      </w:tc>
    </w:tr>
    <w:tr w:rsidR="00AF0BC1" w:rsidRPr="00B310DC" w:rsidTr="00AF0BC1">
      <w:trPr>
        <w:jc w:val="center"/>
      </w:trPr>
      <w:tc>
        <w:tcPr>
          <w:tcW w:w="2500" w:type="pct"/>
          <w:gridSpan w:val="2"/>
          <w:shd w:val="clear" w:color="auto" w:fill="auto"/>
          <w:tcMar>
            <w:top w:w="0" w:type="dxa"/>
          </w:tcMar>
        </w:tcPr>
        <w:p w:rsidR="00AF0BC1" w:rsidRPr="00AD7BF2" w:rsidRDefault="00AF0BC1" w:rsidP="004F54B2">
          <w:pPr>
            <w:pStyle w:val="FooterText"/>
          </w:pPr>
          <w:r>
            <w:t>17086/1/14</w:t>
          </w:r>
          <w:r w:rsidRPr="002511D8">
            <w:t xml:space="preserve"> </w:t>
          </w:r>
          <w:r>
            <w:t>REV 1 ADD 1</w:t>
          </w:r>
        </w:p>
      </w:tc>
      <w:tc>
        <w:tcPr>
          <w:tcW w:w="625" w:type="pct"/>
          <w:shd w:val="clear" w:color="auto" w:fill="auto"/>
          <w:tcMar>
            <w:top w:w="0" w:type="dxa"/>
          </w:tcMar>
        </w:tcPr>
        <w:p w:rsidR="00AF0BC1" w:rsidRPr="00AD7BF2" w:rsidRDefault="00AF0BC1" w:rsidP="00D94637">
          <w:pPr>
            <w:pStyle w:val="FooterText"/>
            <w:jc w:val="center"/>
          </w:pPr>
        </w:p>
      </w:tc>
      <w:tc>
        <w:tcPr>
          <w:tcW w:w="1287" w:type="pct"/>
          <w:gridSpan w:val="3"/>
          <w:shd w:val="clear" w:color="auto" w:fill="auto"/>
          <w:tcMar>
            <w:top w:w="0" w:type="dxa"/>
          </w:tcMar>
        </w:tcPr>
        <w:p w:rsidR="00AF0BC1" w:rsidRPr="002511D8" w:rsidRDefault="00AF0BC1" w:rsidP="00D94637">
          <w:pPr>
            <w:pStyle w:val="FooterText"/>
            <w:jc w:val="center"/>
          </w:pPr>
          <w:r>
            <w:t>olm/EK/ERO/mb</w:t>
          </w:r>
        </w:p>
      </w:tc>
      <w:tc>
        <w:tcPr>
          <w:tcW w:w="588" w:type="pct"/>
          <w:shd w:val="clear" w:color="auto" w:fill="auto"/>
          <w:tcMar>
            <w:top w:w="0" w:type="dxa"/>
          </w:tcMar>
        </w:tcPr>
        <w:p w:rsidR="00AF0BC1" w:rsidRPr="00B310DC" w:rsidRDefault="00AF0BC1"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AF0BC1" w:rsidRPr="00D94637" w:rsidTr="00AF0BC1">
      <w:trPr>
        <w:jc w:val="center"/>
      </w:trPr>
      <w:tc>
        <w:tcPr>
          <w:tcW w:w="1774" w:type="pct"/>
          <w:shd w:val="clear" w:color="auto" w:fill="auto"/>
        </w:tcPr>
        <w:p w:rsidR="00AF0BC1" w:rsidRPr="00AD7BF2" w:rsidRDefault="00AF0BC1" w:rsidP="00D94637">
          <w:pPr>
            <w:pStyle w:val="FooterText"/>
            <w:spacing w:before="40"/>
          </w:pPr>
        </w:p>
      </w:tc>
      <w:tc>
        <w:tcPr>
          <w:tcW w:w="1455" w:type="pct"/>
          <w:gridSpan w:val="3"/>
          <w:shd w:val="clear" w:color="auto" w:fill="auto"/>
        </w:tcPr>
        <w:p w:rsidR="00AF0BC1" w:rsidRPr="00AD7BF2" w:rsidRDefault="00AF0BC1" w:rsidP="00D204D6">
          <w:pPr>
            <w:pStyle w:val="FooterText"/>
            <w:spacing w:before="40"/>
            <w:jc w:val="center"/>
          </w:pPr>
          <w:r>
            <w:t>DPG</w:t>
          </w:r>
        </w:p>
      </w:tc>
      <w:tc>
        <w:tcPr>
          <w:tcW w:w="1147" w:type="pct"/>
          <w:shd w:val="clear" w:color="auto" w:fill="auto"/>
        </w:tcPr>
        <w:p w:rsidR="00AF0BC1" w:rsidRPr="00D94637" w:rsidRDefault="00AF0BC1" w:rsidP="00D94637">
          <w:pPr>
            <w:pStyle w:val="FooterText"/>
            <w:jc w:val="right"/>
            <w:rPr>
              <w:b/>
              <w:position w:val="-4"/>
              <w:sz w:val="36"/>
            </w:rPr>
          </w:pPr>
        </w:p>
      </w:tc>
      <w:tc>
        <w:tcPr>
          <w:tcW w:w="625" w:type="pct"/>
          <w:gridSpan w:val="2"/>
          <w:shd w:val="clear" w:color="auto" w:fill="auto"/>
        </w:tcPr>
        <w:p w:rsidR="00AF0BC1" w:rsidRPr="00D94637" w:rsidRDefault="00AF0BC1" w:rsidP="00D94637">
          <w:pPr>
            <w:pStyle w:val="FooterText"/>
            <w:jc w:val="right"/>
            <w:rPr>
              <w:sz w:val="16"/>
            </w:rPr>
          </w:pPr>
          <w:r>
            <w:rPr>
              <w:b/>
              <w:position w:val="-4"/>
              <w:sz w:val="36"/>
            </w:rPr>
            <w:t>FR</w:t>
          </w:r>
        </w:p>
      </w:tc>
    </w:tr>
  </w:tbl>
  <w:p w:rsidR="00A50238" w:rsidRPr="00AF0BC1" w:rsidRDefault="00A50238" w:rsidP="00AF0BC1">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B5C" w:rsidRDefault="004C5B5C" w:rsidP="00A50238">
      <w:pPr>
        <w:spacing w:before="0" w:after="0" w:line="240" w:lineRule="auto"/>
      </w:pPr>
      <w:r>
        <w:separator/>
      </w:r>
    </w:p>
  </w:footnote>
  <w:footnote w:type="continuationSeparator" w:id="0">
    <w:p w:rsidR="004C5B5C" w:rsidRDefault="004C5B5C" w:rsidP="00A50238">
      <w:pPr>
        <w:spacing w:before="0" w:after="0" w:line="240" w:lineRule="auto"/>
      </w:pPr>
      <w:r>
        <w:continuationSeparator/>
      </w:r>
    </w:p>
  </w:footnote>
  <w:footnote w:id="1">
    <w:p w:rsidR="00A2440D" w:rsidRPr="00095096" w:rsidRDefault="00A2440D" w:rsidP="00A2440D">
      <w:pPr>
        <w:pStyle w:val="FootnoteText"/>
        <w:rPr>
          <w:lang w:val="pt-PT"/>
        </w:rPr>
      </w:pPr>
      <w:r>
        <w:rPr>
          <w:rStyle w:val="FootnoteReference"/>
        </w:rPr>
        <w:footnoteRef/>
      </w:r>
      <w:r>
        <w:tab/>
        <w:t>Doc. 11851/13.</w:t>
      </w:r>
    </w:p>
  </w:footnote>
  <w:footnote w:id="2">
    <w:p w:rsidR="00A2440D" w:rsidRPr="00320A13" w:rsidRDefault="00A2440D" w:rsidP="00A2440D">
      <w:pPr>
        <w:pStyle w:val="FootnoteText"/>
        <w:rPr>
          <w:lang w:val="pt-PT"/>
        </w:rPr>
      </w:pPr>
      <w:r>
        <w:rPr>
          <w:rStyle w:val="FootnoteReference"/>
        </w:rPr>
        <w:footnoteRef/>
      </w:r>
      <w:r>
        <w:tab/>
        <w:t>CESE 5340/2013.</w:t>
      </w:r>
    </w:p>
  </w:footnote>
  <w:footnote w:id="3">
    <w:p w:rsidR="00A2440D" w:rsidRDefault="00A2440D" w:rsidP="00A2440D">
      <w:pPr>
        <w:pStyle w:val="FootnoteText"/>
      </w:pPr>
      <w:r>
        <w:rPr>
          <w:rStyle w:val="FootnoteReference"/>
        </w:rPr>
        <w:footnoteRef/>
      </w:r>
      <w:r>
        <w:tab/>
        <w:t>Doc. 8671/14.</w:t>
      </w:r>
    </w:p>
  </w:footnote>
  <w:footnote w:id="4">
    <w:p w:rsidR="00A2440D" w:rsidRDefault="00A2440D" w:rsidP="00A2440D">
      <w:pPr>
        <w:pStyle w:val="FootnoteText"/>
      </w:pPr>
      <w:r>
        <w:rPr>
          <w:rStyle w:val="FootnoteReference"/>
        </w:rPr>
        <w:footnoteRef/>
      </w:r>
      <w:r>
        <w:tab/>
        <w:t>Doc. 16238/14.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266" w:rsidRPr="00AF0BC1" w:rsidRDefault="001C4266" w:rsidP="00AF0B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266" w:rsidRPr="00AF0BC1" w:rsidRDefault="001C4266" w:rsidP="00AF0BC1">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266" w:rsidRPr="00AF0BC1" w:rsidRDefault="001C4266" w:rsidP="00AF0BC1">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238" w:rsidRPr="00AF0BC1" w:rsidRDefault="00A50238" w:rsidP="00AF0B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5">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7">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8">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9">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0">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1">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2">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3">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4">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6">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7">
    <w:nsid w:val="6E4E71E4"/>
    <w:multiLevelType w:val="singleLevel"/>
    <w:tmpl w:val="21145626"/>
    <w:lvl w:ilvl="0">
      <w:start w:val="1"/>
      <w:numFmt w:val="decimal"/>
      <w:pStyle w:val="Par-number1"/>
      <w:lvlText w:val="%1."/>
      <w:lvlJc w:val="left"/>
      <w:pPr>
        <w:tabs>
          <w:tab w:val="num" w:pos="567"/>
        </w:tabs>
        <w:ind w:left="567" w:hanging="567"/>
      </w:pPr>
    </w:lvl>
  </w:abstractNum>
  <w:abstractNum w:abstractNumId="18">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19">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0">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5"/>
  </w:num>
  <w:num w:numId="2">
    <w:abstractNumId w:val="11"/>
  </w:num>
  <w:num w:numId="3">
    <w:abstractNumId w:val="10"/>
  </w:num>
  <w:num w:numId="4">
    <w:abstractNumId w:val="12"/>
  </w:num>
  <w:num w:numId="5">
    <w:abstractNumId w:val="8"/>
  </w:num>
  <w:num w:numId="6">
    <w:abstractNumId w:val="2"/>
  </w:num>
  <w:num w:numId="7">
    <w:abstractNumId w:val="7"/>
  </w:num>
  <w:num w:numId="8">
    <w:abstractNumId w:val="6"/>
  </w:num>
  <w:num w:numId="9">
    <w:abstractNumId w:val="4"/>
  </w:num>
  <w:num w:numId="10">
    <w:abstractNumId w:val="18"/>
  </w:num>
  <w:num w:numId="11">
    <w:abstractNumId w:val="19"/>
  </w:num>
  <w:num w:numId="12">
    <w:abstractNumId w:val="0"/>
  </w:num>
  <w:num w:numId="13">
    <w:abstractNumId w:val="21"/>
  </w:num>
  <w:num w:numId="14">
    <w:abstractNumId w:val="16"/>
  </w:num>
  <w:num w:numId="15">
    <w:abstractNumId w:val="13"/>
  </w:num>
  <w:num w:numId="16">
    <w:abstractNumId w:val="9"/>
  </w:num>
  <w:num w:numId="17">
    <w:abstractNumId w:val="14"/>
  </w:num>
  <w:num w:numId="18">
    <w:abstractNumId w:val="3"/>
  </w:num>
  <w:num w:numId="19">
    <w:abstractNumId w:val="20"/>
  </w:num>
  <w:num w:numId="20">
    <w:abstractNumId w:val="5"/>
  </w:num>
  <w:num w:numId="21">
    <w:abstractNumId w:val="17"/>
  </w:num>
  <w:num w:numId="22">
    <w:abstractNumId w:val="1"/>
  </w:num>
  <w:num w:numId="23">
    <w:abstractNumId w:val="15"/>
  </w:num>
  <w:num w:numId="24">
    <w:abstractNumId w:val="11"/>
  </w:num>
  <w:num w:numId="25">
    <w:abstractNumId w:val="10"/>
  </w:num>
  <w:num w:numId="26">
    <w:abstractNumId w:val="12"/>
  </w:num>
  <w:num w:numId="27">
    <w:abstractNumId w:val="8"/>
  </w:num>
  <w:num w:numId="28">
    <w:abstractNumId w:val="2"/>
  </w:num>
  <w:num w:numId="29">
    <w:abstractNumId w:val="7"/>
  </w:num>
  <w:num w:numId="30">
    <w:abstractNumId w:val="6"/>
  </w:num>
  <w:num w:numId="31">
    <w:abstractNumId w:val="4"/>
  </w:num>
  <w:num w:numId="32">
    <w:abstractNumId w:val="18"/>
  </w:num>
  <w:num w:numId="33">
    <w:abstractNumId w:val="19"/>
  </w:num>
  <w:num w:numId="34">
    <w:abstractNumId w:val="0"/>
  </w:num>
  <w:num w:numId="35">
    <w:abstractNumId w:val="21"/>
  </w:num>
  <w:num w:numId="36">
    <w:abstractNumId w:val="16"/>
  </w:num>
  <w:num w:numId="37">
    <w:abstractNumId w:val="13"/>
  </w:num>
  <w:num w:numId="38">
    <w:abstractNumId w:val="9"/>
  </w:num>
  <w:num w:numId="39">
    <w:abstractNumId w:val="14"/>
  </w:num>
  <w:num w:numId="40">
    <w:abstractNumId w:val="3"/>
  </w:num>
  <w:num w:numId="41">
    <w:abstractNumId w:val="2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list_Path" w:val="\\at100\user\WK\SEILEG\DocuWrite\Copylist"/>
    <w:docVar w:name="Council" w:val="true"/>
    <w:docVar w:name="DocuWriteMetaData" w:val="&lt;metadataset docuwriteversion=&quot;3.4.3&quot; technicalblockguid=&quot;f3493990-07dd-4c51-a161-f743fcf5a117&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60&quot; text=&quot;EXPOSÉ DES MOTIFS DU CONSEIL&quot; /&gt;_x000d__x000a_    &lt;/basicdatatype&gt;_x000d__x000a_  &lt;/metadata&gt;_x000d__x000a_  &lt;metadata key=&quot;md_HeadingText&quot; translate=&quot;false&quot;&gt;_x000d__x000a_    &lt;headingtext text=&quot;EXPOSÉ DES MOTIFS DU CONSEIL&quot;&gt;_x000d__x000a_      &lt;formattedtext&gt;_x000d__x000a_        &lt;xaml text=&quot;EXPOSÉ DES MOTIFS DU CONSEIL&quot;&gt;&amp;lt;FlowDocument xmlns=&quot;http://schemas.microsoft.com/winfx/2006/xaml/presentation&quot;&amp;gt;&amp;lt;Paragraph&amp;gt;EXPOSÉ DES MOTIFS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10&quot; text=&quot;Statement&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Bruxelles&quot; /&gt;_x000d__x000a_    &lt;/basicdatatype&gt;_x000d__x000a_  &lt;/metadata&gt;_x000d__x000a_  &lt;metadata key=&quot;md_DocumentDate&quot; translate=&quot;false&quot;&gt;_x000d__x000a_    &lt;text&gt;2015-03-05&lt;/text&gt;_x000d__x000a_  &lt;/metadata&gt;_x000d__x000a_  &lt;metadata key=&quot;md_Prefix&quot; translate=&quot;false&quot;&gt;_x000d__x000a_    &lt;text&gt;&lt;/text&gt;_x000d__x000a_  &lt;/metadata&gt;_x000d__x000a_  &lt;metadata key=&quot;md_DocumentNumber&quot; translate=&quot;false&quot;&gt;_x000d__x000a_    &lt;text&gt;17086&lt;/text&gt;_x000d__x000a_  &lt;/metadata&gt;_x000d__x000a_  &lt;metadata key=&quot;md_YearDocumentNumber&quot; translate=&quot;false&quot;&gt;_x000d__x000a_    &lt;text&gt;2014&lt;/text&gt;_x000d__x000a_  &lt;/metadata&gt;_x000d__x000a_  &lt;metadata key=&quot;md_Suffixes&quot; translate=&quot;false&quot;&gt;_x000d__x000a_    &lt;text&gt;REV 1 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1&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CLIMA 119&lt;/text&gt;_x000d__x000a_      &lt;text&gt;ENV 1010&lt;/text&gt;_x000d__x000a_      &lt;text&gt;MAR 191&lt;/text&gt;_x000d__x000a_      &lt;text&gt;MI 1013&lt;/text&gt;_x000d__x000a_      &lt;text&gt;ONU 167&lt;/text&gt;_x000d__x000a_      &lt;text&gt;CODEC 2552&lt;/text&gt;_x000d__x000a_      &lt;text&gt;PARLNAT 302&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gt;_x000d__x000a_    &lt;basicdatatype&gt;_x000d__x000a_      &lt;meetingvenue key=&quot;&quot; /&gt;_x000d__x000a_    &lt;/basicdatatype&gt;_x000d__x000a_  &lt;/metadata&gt;_x000d__x000a_  &lt;metadata key=&quot;md_ProvisionalVersion&quot; translate=&quot;false&quot;&gt;_x000d__x000a_    &lt;text&gt;&lt;/text&gt;_x000d__x000a_  &lt;/metadata&gt;_x000d__x000a_  &lt;metadata key=&quot;md_PresidentInformation&quot;&gt;_x000d__x000a_    &lt;presidents /&gt;_x000d__x000a_  &lt;/metadata&gt;_x000d__x000a_  &lt;metadata key=&quot;md_MeetingNumber&quot;&gt;_x000d__x000a_    &lt;text&gt;&lt;/text&gt;_x000d__x000a_  &lt;/metadata&gt;_x000d__x000a_  &lt;metadata key=&quot;md_CouncilConfiguration&quot;&gt;_x000d__x000a_    &lt;basicdatatype&gt;_x000d__x000a_      &lt;configuration key=&quot;&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gt;_x000d__x000a_    &lt;text&gt;&lt;/text&gt;_x000d__x000a_  &lt;/metadata&gt;_x000d__x000a_  &lt;metadata key=&quot;md_EPQuestionsData&quot; /&gt;_x000d__x000a_  &lt;metadata key=&quot;md_Deadline&quot;&gt;_x000d__x000a_    &lt;textlist /&gt;_x000d__x000a_  &lt;/metadata&gt;_x000d__x000a_  &lt;metadata key=&quot;md_InterinstitutionalFiles&quot; translate=&quot;false&quot;&gt;_x000d__x000a_    &lt;textlist&gt;_x000d__x000a_      &lt;text&gt;2013/0224 (COD)&lt;/text&gt;_x000d__x000a_    &lt;/textlist&gt;_x000d__x000a_  &lt;/metadata&gt;_x000d__x000a_  &lt;metadata key=&quot;md_AdditionalReferences&quot; translate=&quot;false&quot;&gt;_x000d__x000a_    &lt;textlist /&gt;_x000d__x000a_  &lt;/metadata&gt;_x000d__x000a_  &lt;metadata key=&quot;md_LEXNumber&quot; translate=&quot;false&quot;&gt;_x000d__x000a_    &lt;text&gt;&lt;/text&gt;_x000d__x000a_  &lt;/metadata&gt;_x000d__x000a_  &lt;metadata key=&quot;md_SousEmbargo&quot; translate=&quot;false&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gt;_x000d__x000a_    &lt;text&gt;&lt;/text&gt;_x000d__x000a_  &lt;/metadata&gt;_x000d__x000a_  &lt;metadata key=&quot;md_DWNDCLAuthorization&quot;&gt;_x000d__x000a_    &lt;text&gt;&lt;/text&gt;_x000d__x000a_  &lt;/metadata&gt;_x000d__x000a_  &lt;metadata key=&quot;md_DateOfAuthorization&quot;&gt;_x000d__x000a_    &lt;text&gt;&lt;/text&gt;_x000d__x000a_  &lt;/metadata&gt;_x000d__x000a_  &lt;metadata key=&quot;md_MeetingLocation&quot;&gt;_x000d__x000a_    &lt;basicdatatype&gt;_x000d__x000a_      &lt;location key=&quot;&quot; /&gt;_x000d__x000a_    &lt;/basicdatatype&gt;_x000d__x000a_  &lt;/metadata&gt;_x000d__x000a_  &lt;metadata key=&quot;md_MeetingDate&quot;&gt;_x000d__x000a_    &lt;textlist /&gt;_x000d__x000a_  &lt;/metadata&gt;_x000d__x000a_  &lt;metadata key=&quot;md_MeetingInformation&quot;&gt;_x000d__x000a_    &lt;text&gt;&lt;/text&gt;_x000d__x000a_  &lt;/metadata&gt;_x000d__x000a_  &lt;metadata key=&quot;md_Item&quot;&gt;_x000d__x000a_    &lt;text&gt;&lt;/text&gt;_x000d__x000a_  &lt;/metadata&gt;_x000d__x000a_  &lt;metadata key=&quot;md_Subject&quot;&gt;_x000d__x000a_    &lt;xaml text=&quot;Position du Conseil en première lecture en vue de l'adoption d'un règlement du Parlement européen et du Conseil concernant la surveillance, la déclaration et la vérification des émissions  de dioxyde de carbone du secteur des transports maritimes et modifiant la directive 2009/16/CE - Exposé des motifs du Conseil - Adopté par le Conseil le 5 mars 2015&quot;&gt;&amp;lt;FlowDocument FontFamily=&quot;Times New Roman&quot; FontSize=&quot;16&quot; PageWidth=&quot;377&quot; PagePadding=&quot;0,0,0,0&quot; AllowDrop=&quot;False&quot; xmlns=&quot;http://schemas.microsoft.com/winfx/2006/xaml/presentation&quot; xmlns:x=&quot;http://schemas.microsoft.com/winfx/2006/xaml&quot;&amp;gt;&amp;lt;Paragraph xml:space=&quot;preserve&quot;&amp;gt;Position du Conseil en première lecture en vue de l'adoption d'un règlement du Parlement européen et du Conseil concernant la surveillance, la déclaration et la vérification des émissions &amp;lt;LineBreak /&amp;gt;de dioxyde de carbone du secteur des transports maritimes et modifiant &amp;lt;Run xml:lang=&quot;fr-be&quot;&amp;gt;la directive 2009/16/CE&amp;lt;/Run&amp;gt;&amp;lt;/Paragraph&amp;gt;&amp;lt;Paragraph&amp;gt;&amp;lt;Run xml:lang=&quot;fr-be&quot;&amp;gt;- E&amp;lt;/Run&amp;gt;xposé des motifs du Conseil&amp;lt;LineBreak /&amp;gt;&amp;lt;Run xml:lang=&quot;fr-be&quot; xml:space=&quot;preserve&quot;&amp;gt;- &amp;lt;/Run&amp;gt;Adopté par le Conseil le &amp;lt;Run xml:lang=&quot;fr-be&quot;&amp;gt;5 mars 2015&amp;lt;/Run&amp;gt;&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olm/EK/ERO/mb&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gt;_x000d__x000a_    &lt;text&gt;&lt;/text&gt;_x000d__x000a_  &lt;/metadata&gt;_x000d__x000a_  &lt;metadata key=&quot;md_NB2&quot;&gt;_x000d__x000a_    &lt;text&gt;&lt;/text&gt;_x000d__x000a_  &lt;/metadata&gt;_x000d__x000a_  &lt;metadata key=&quot;md_NB3&quot;&gt;_x000d__x000a_    &lt;text&gt;&lt;/text&gt;_x000d__x000a_  &lt;/metadata&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gt;_x000d__x000a_  &lt;/metadata&gt;_x000d__x000a_&lt;/metadataset&gt;"/>
    <w:docVar w:name="DocuWriteMetaDataSource1" w:val="&lt;metadataset docuwriteversion=&quot;3.4.3&quot; technicalblockguid=&quot;4f4e62af-e7e6-4896-a9bf-6c3ced7fef8e&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59&quot; text=&quot;PROJET D'EXPOSÉ DES MOTIFS DU CONSEIL&quot; /&gt;_x000d__x000a_    &lt;/basicdatatype&gt;_x000d__x000a_  &lt;/metadata&gt;_x000d__x000a_  &lt;metadata key=&quot;md_HeadingText&quot; translate=&quot;false&quot;&gt;_x000d__x000a_    &lt;headingtext text=&quot;PROJET D'EXPOSÉ DES MOTIFS DU CONSEIL&quot;&gt;_x000d__x000a_      &lt;formattedtext&gt;_x000d__x000a_        &lt;xaml text=&quot;PROJET D'EXPOSÉ DES MOTIFS DU CONSEIL&quot;&gt;&amp;lt;FlowDocument xmlns=&quot;http://schemas.microsoft.com/winfx/2006/xaml/presentation&quot;&amp;gt;&amp;lt;Paragraph&amp;gt;PROJET D'EXPOSÉ DES MOTIFS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10&quot; text=&quot;Statement&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Bruxelles&quot; /&gt;_x000d__x000a_    &lt;/basicdatatype&gt;_x000d__x000a_  &lt;/metadata&gt;_x000d__x000a_  &lt;metadata key=&quot;md_DocumentDate&quot; translate=&quot;false&quot;&gt;_x000d__x000a_    &lt;text&gt;2015-02-18&lt;/text&gt;_x000d__x000a_  &lt;/metadata&gt;_x000d__x000a_  &lt;metadata key=&quot;md_Prefix&quot; translate=&quot;false&quot;&gt;_x000d__x000a_    &lt;text&gt;&lt;/text&gt;_x000d__x000a_  &lt;/metadata&gt;_x000d__x000a_  &lt;metadata key=&quot;md_DocumentNumber&quot; translate=&quot;false&quot;&gt;_x000d__x000a_    &lt;text&gt;17086&lt;/text&gt;_x000d__x000a_  &lt;/metadata&gt;_x000d__x000a_  &lt;metadata key=&quot;md_YearDocumentNumber&quot; translate=&quot;false&quot;&gt;_x000d__x000a_    &lt;text&gt;2014&lt;/text&gt;_x000d__x000a_  &lt;/metadata&gt;_x000d__x000a_  &lt;metadata key=&quot;md_Suffixes&quot; translate=&quot;false&quot;&gt;_x000d__x000a_    &lt;text&gt;REV 1 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1&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CLIMA 119&lt;/text&gt;_x000d__x000a_      &lt;text&gt;ENV 1010&lt;/text&gt;_x000d__x000a_      &lt;text&gt;MAR 191&lt;/text&gt;_x000d__x000a_      &lt;text&gt;MI 1013&lt;/text&gt;_x000d__x000a_      &lt;text&gt;ONU 167&lt;/text&gt;_x000d__x000a_      &lt;text&gt;CODEC 255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translate=&quot;false&quot;&gt;_x000d__x000a_    &lt;textlist&gt;_x000d__x000a_      &lt;text&gt;2013/0224 (COD)&lt;/text&gt;_x000d__x000a_    &lt;/textlist&gt;_x000d__x000a_  &lt;/metadata&gt;_x000d__x000a_  &lt;metadata key=&quot;md_AdditionalReferences&quot; translate=&quot;false&quot;&gt;_x000d__x000a_    &lt;textlist /&gt;_x000d__x000a_  &lt;/metadata&gt;_x000d__x000a_  &lt;metadata key=&quot;md_LEXNumber&quot; translate=&quot;false&quot;&gt;_x000d__x000a_    &lt;text&gt;&lt;/text&gt;_x000d__x000a_  &lt;/metadata&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du Conseil en première lecture en vue de l'adoption d'un règlement du Parlement européen et du Conseil concernant la surveillance, la déclaration et la vérification des émissions de dioxyde de carbone du secteur des transports maritimes et modifiant le règlement (UE) n° 525/2013 - Projet d'exposé des motifs du Conseil &quot;&gt;&amp;lt;FlowDocument FontFamily=&quot;Times New Roman&quot; FontSize=&quot;16&quot; PageWidth=&quot;377&quot; PagePadding=&quot;0,0,0,0&quot; AllowDrop=&quot;False&quot; xmlns=&quot;http://schemas.microsoft.com/winfx/2006/xaml/presentation&quot; xmlns:x=&quot;http://schemas.microsoft.com/winfx/2006/xaml&quot;&amp;gt;&amp;lt;Paragraph FontFamily=&quot;Georgia&quot;&amp;gt;&amp;lt;Run FontFamily=&quot;Times New Roman&quot;&amp;gt;Position du Conseil en première lecture en vue de l'adoption d'un règlement du Parlement européen et du Conseil concernant la surveillance, la déclaration et la vérification des émissions de dioxyde de carbone du secteur des transports maritimes et modifiant le règlement (UE) n° 525/2013&amp;lt;/Run&amp;gt;&amp;lt;/Paragraph&amp;gt;&amp;lt;Paragraph FontFamily=&quot;Georgia&quot;&amp;gt;&amp;lt;Run FontFamily=&quot;Times New Roman&quot; xml:space=&quot;preserve&quot;&amp;gt;-_x0009_Projet d'exposé des motifs du Conseil &amp;lt;/Run&amp;gt;&amp;lt;/Paragraph&amp;gt;&amp;lt;/FlowDocument&amp;gt;&lt;/xaml&gt;_x000d__x000a_  &lt;/metadata&gt;_x000d__x000a_  &lt;metadata key=&quot;md_SubjectFootnote&quot; /&gt;_x000d__x000a_  &lt;metadata key=&quot;md_DG&quot; translate=&quot;false&quot;&gt;_x000d__x000a_    &lt;text&gt;DG E 1B&lt;/text&gt;_x000d__x000a_  &lt;/metadata&gt;_x000d__x000a_  &lt;metadata key=&quot;md_Initials&quot; translate=&quot;false&quot;&gt;_x000d__x000a_    &lt;text&gt;olm/EK/mb&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COUNCIL"/>
    <w:docVar w:name="LW_DocType" w:val="DW_COUNCIL"/>
    <w:docVar w:name="VSSDB_IniPath" w:val="\\at100\user\wovo\SEILEG\vss\srcsafe.ini"/>
    <w:docVar w:name="VSSDB_ProjectPath" w:val="$/DocuWrite/DOT/DW_COUNCIL"/>
  </w:docVars>
  <w:rsids>
    <w:rsidRoot w:val="00A50238"/>
    <w:rsid w:val="00095CB3"/>
    <w:rsid w:val="00096B04"/>
    <w:rsid w:val="00096F3B"/>
    <w:rsid w:val="00130CD9"/>
    <w:rsid w:val="001656A3"/>
    <w:rsid w:val="00182F2F"/>
    <w:rsid w:val="001C4266"/>
    <w:rsid w:val="001F0645"/>
    <w:rsid w:val="002C1132"/>
    <w:rsid w:val="00356F5F"/>
    <w:rsid w:val="0036366B"/>
    <w:rsid w:val="00390888"/>
    <w:rsid w:val="003F35E6"/>
    <w:rsid w:val="00414945"/>
    <w:rsid w:val="004A5CE6"/>
    <w:rsid w:val="004C5B5C"/>
    <w:rsid w:val="005231D0"/>
    <w:rsid w:val="005D2D61"/>
    <w:rsid w:val="00625999"/>
    <w:rsid w:val="006351BB"/>
    <w:rsid w:val="0063614C"/>
    <w:rsid w:val="0064018D"/>
    <w:rsid w:val="00653E52"/>
    <w:rsid w:val="00696C29"/>
    <w:rsid w:val="007161AD"/>
    <w:rsid w:val="0077140A"/>
    <w:rsid w:val="00784AB8"/>
    <w:rsid w:val="00787FFD"/>
    <w:rsid w:val="007B374F"/>
    <w:rsid w:val="007C1C04"/>
    <w:rsid w:val="007C43A1"/>
    <w:rsid w:val="008B7CAF"/>
    <w:rsid w:val="008F00E0"/>
    <w:rsid w:val="00901450"/>
    <w:rsid w:val="0092762A"/>
    <w:rsid w:val="00930B84"/>
    <w:rsid w:val="009838BC"/>
    <w:rsid w:val="009B07D1"/>
    <w:rsid w:val="009E0987"/>
    <w:rsid w:val="00A2440D"/>
    <w:rsid w:val="00A30641"/>
    <w:rsid w:val="00A50238"/>
    <w:rsid w:val="00A93207"/>
    <w:rsid w:val="00AA0D07"/>
    <w:rsid w:val="00AF0BC1"/>
    <w:rsid w:val="00AF3113"/>
    <w:rsid w:val="00B54F86"/>
    <w:rsid w:val="00B92D10"/>
    <w:rsid w:val="00BE6E3D"/>
    <w:rsid w:val="00C22021"/>
    <w:rsid w:val="00C34E91"/>
    <w:rsid w:val="00C35E20"/>
    <w:rsid w:val="00CE4D46"/>
    <w:rsid w:val="00D13316"/>
    <w:rsid w:val="00D63B87"/>
    <w:rsid w:val="00D8401A"/>
    <w:rsid w:val="00D84A6B"/>
    <w:rsid w:val="00DC0BFF"/>
    <w:rsid w:val="00DC4B72"/>
    <w:rsid w:val="00E5767B"/>
    <w:rsid w:val="00E80814"/>
    <w:rsid w:val="00F72201"/>
    <w:rsid w:val="00F86DEA"/>
    <w:rsid w:val="00FC46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A50238"/>
    <w:pPr>
      <w:spacing w:before="0" w:after="440"/>
      <w:ind w:left="-1134" w:right="-1134"/>
    </w:pPr>
    <w:rPr>
      <w:sz w:val="2"/>
    </w:rPr>
  </w:style>
  <w:style w:type="character" w:customStyle="1" w:styleId="TechnicalBlockChar">
    <w:name w:val="Technical Block Char"/>
    <w:rsid w:val="00A50238"/>
    <w:rPr>
      <w:sz w:val="24"/>
      <w:szCs w:val="24"/>
      <w:lang w:eastAsia="fr-FR"/>
    </w:rPr>
  </w:style>
  <w:style w:type="character" w:customStyle="1" w:styleId="HeaderCouncilLargeChar">
    <w:name w:val="Header Council Large Char"/>
    <w:link w:val="HeaderCouncilLarge"/>
    <w:rsid w:val="00A50238"/>
    <w:rPr>
      <w:sz w:val="2"/>
      <w:szCs w:val="24"/>
    </w:rPr>
  </w:style>
  <w:style w:type="paragraph" w:customStyle="1" w:styleId="FooterText">
    <w:name w:val="Footer Text"/>
    <w:basedOn w:val="Normal"/>
    <w:rsid w:val="00A50238"/>
    <w:pPr>
      <w:spacing w:before="0" w:after="0" w:line="240" w:lineRule="auto"/>
    </w:pPr>
  </w:style>
  <w:style w:type="character" w:customStyle="1" w:styleId="FootnoteTextChar">
    <w:name w:val="Footnote Text Char"/>
    <w:aliases w:val="Fußnotentextf Char,Footnote text Char,fn Char,Schriftart: 9 pt Char,Schriftart: 10 pt Char,Schriftart: 8 pt Char,WB-Fußnotentext Char,o Char,Podrozdział Char,Schriftart: 8 p Char,Char Char1,Tekst przypisu Char,WB-Fuﬂnotentext Char"/>
    <w:rsid w:val="00B92D10"/>
    <w:rPr>
      <w:sz w:val="24"/>
      <w:lang w:eastAsia="fr-FR"/>
    </w:rPr>
  </w:style>
  <w:style w:type="paragraph" w:styleId="NormalIndent">
    <w:name w:val="Normal Indent"/>
    <w:basedOn w:val="Normal"/>
    <w:rsid w:val="00A2440D"/>
    <w:pPr>
      <w:widowControl w:val="0"/>
      <w:spacing w:before="0" w:after="0"/>
      <w:ind w:left="567"/>
    </w:pPr>
    <w:rPr>
      <w:szCs w:val="20"/>
    </w:rPr>
  </w:style>
  <w:style w:type="paragraph" w:customStyle="1" w:styleId="Par-number1">
    <w:name w:val="Par-number 1."/>
    <w:basedOn w:val="Normal"/>
    <w:next w:val="Normal"/>
    <w:rsid w:val="00A2440D"/>
    <w:pPr>
      <w:widowControl w:val="0"/>
      <w:numPr>
        <w:numId w:val="21"/>
      </w:numPr>
      <w:spacing w:before="0" w:after="0"/>
    </w:pPr>
    <w:rPr>
      <w:szCs w:val="20"/>
    </w:rPr>
  </w:style>
  <w:style w:type="paragraph" w:customStyle="1" w:styleId="Par-numberI">
    <w:name w:val="Par-number I."/>
    <w:basedOn w:val="Normal"/>
    <w:next w:val="Normal"/>
    <w:rsid w:val="00A2440D"/>
    <w:pPr>
      <w:widowControl w:val="0"/>
      <w:numPr>
        <w:numId w:val="22"/>
      </w:numPr>
      <w:spacing w:before="0" w:after="0"/>
    </w:pPr>
    <w:rPr>
      <w:szCs w:val="20"/>
    </w:rPr>
  </w:style>
  <w:style w:type="paragraph" w:customStyle="1" w:styleId="CharChar">
    <w:name w:val="Char Char"/>
    <w:basedOn w:val="Normal"/>
    <w:rsid w:val="00A2440D"/>
    <w:pPr>
      <w:spacing w:before="0" w:after="0" w:line="240" w:lineRule="auto"/>
    </w:pPr>
  </w:style>
  <w:style w:type="paragraph" w:styleId="BalloonText">
    <w:name w:val="Balloon Text"/>
    <w:basedOn w:val="Normal"/>
    <w:link w:val="BalloonTextChar"/>
    <w:uiPriority w:val="99"/>
    <w:semiHidden/>
    <w:unhideWhenUsed/>
    <w:rsid w:val="007C43A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3A1"/>
    <w:rPr>
      <w:rFonts w:ascii="Tahoma" w:hAnsi="Tahoma" w:cs="Tahoma"/>
      <w:sz w:val="16"/>
      <w:szCs w:val="16"/>
      <w:lang w:eastAsia="fr-FR"/>
    </w:rPr>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rsid w:val="00F86DEA"/>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38"/>
      </w:numPr>
    </w:pPr>
  </w:style>
  <w:style w:type="paragraph" w:customStyle="1" w:styleId="Pointabc1">
    <w:name w:val="Point abc (1)"/>
    <w:basedOn w:val="Normal"/>
    <w:rsid w:val="00F86DEA"/>
    <w:pPr>
      <w:numPr>
        <w:ilvl w:val="3"/>
        <w:numId w:val="38"/>
      </w:numPr>
      <w:outlineLvl w:val="0"/>
    </w:pPr>
  </w:style>
  <w:style w:type="paragraph" w:customStyle="1" w:styleId="Pointabc2">
    <w:name w:val="Point abc (2)"/>
    <w:basedOn w:val="Normal"/>
    <w:rsid w:val="00F86DEA"/>
    <w:pPr>
      <w:numPr>
        <w:ilvl w:val="5"/>
        <w:numId w:val="38"/>
      </w:numPr>
      <w:outlineLvl w:val="1"/>
    </w:pPr>
  </w:style>
  <w:style w:type="paragraph" w:customStyle="1" w:styleId="Pointabc3">
    <w:name w:val="Point abc (3)"/>
    <w:basedOn w:val="Normal"/>
    <w:rsid w:val="00F86DEA"/>
    <w:pPr>
      <w:numPr>
        <w:ilvl w:val="7"/>
        <w:numId w:val="38"/>
      </w:numPr>
      <w:outlineLvl w:val="2"/>
    </w:pPr>
  </w:style>
  <w:style w:type="paragraph" w:customStyle="1" w:styleId="Pointabc4">
    <w:name w:val="Point abc (4)"/>
    <w:basedOn w:val="Normal"/>
    <w:rsid w:val="00F86DEA"/>
    <w:pPr>
      <w:numPr>
        <w:ilvl w:val="8"/>
        <w:numId w:val="38"/>
      </w:numPr>
      <w:outlineLvl w:val="3"/>
    </w:pPr>
  </w:style>
  <w:style w:type="paragraph" w:customStyle="1" w:styleId="Point123">
    <w:name w:val="Point 123"/>
    <w:basedOn w:val="Normal"/>
    <w:rsid w:val="00F86DEA"/>
    <w:pPr>
      <w:numPr>
        <w:numId w:val="38"/>
      </w:numPr>
    </w:pPr>
  </w:style>
  <w:style w:type="paragraph" w:customStyle="1" w:styleId="Point1231">
    <w:name w:val="Point 123 (1)"/>
    <w:basedOn w:val="Normal"/>
    <w:rsid w:val="00F86DEA"/>
    <w:pPr>
      <w:numPr>
        <w:ilvl w:val="2"/>
        <w:numId w:val="38"/>
      </w:numPr>
      <w:outlineLvl w:val="0"/>
    </w:pPr>
  </w:style>
  <w:style w:type="paragraph" w:customStyle="1" w:styleId="Point1232">
    <w:name w:val="Point 123 (2)"/>
    <w:basedOn w:val="Normal"/>
    <w:rsid w:val="00F86DEA"/>
    <w:pPr>
      <w:numPr>
        <w:ilvl w:val="4"/>
        <w:numId w:val="38"/>
      </w:numPr>
      <w:outlineLvl w:val="1"/>
    </w:pPr>
  </w:style>
  <w:style w:type="paragraph" w:customStyle="1" w:styleId="Point1233">
    <w:name w:val="Point 123 (3)"/>
    <w:basedOn w:val="Normal"/>
    <w:rsid w:val="00F86DEA"/>
    <w:pPr>
      <w:numPr>
        <w:ilvl w:val="6"/>
        <w:numId w:val="38"/>
      </w:numPr>
      <w:outlineLvl w:val="2"/>
    </w:pPr>
  </w:style>
  <w:style w:type="paragraph" w:customStyle="1" w:styleId="Pointivx">
    <w:name w:val="Point ivx"/>
    <w:basedOn w:val="Normal"/>
    <w:rsid w:val="00F86DEA"/>
    <w:pPr>
      <w:numPr>
        <w:numId w:val="39"/>
      </w:numPr>
    </w:pPr>
  </w:style>
  <w:style w:type="paragraph" w:customStyle="1" w:styleId="Pointivx1">
    <w:name w:val="Point ivx (1)"/>
    <w:basedOn w:val="Normal"/>
    <w:rsid w:val="00F86DEA"/>
    <w:pPr>
      <w:numPr>
        <w:ilvl w:val="1"/>
        <w:numId w:val="39"/>
      </w:numPr>
      <w:outlineLvl w:val="0"/>
    </w:pPr>
  </w:style>
  <w:style w:type="paragraph" w:customStyle="1" w:styleId="Pointivx2">
    <w:name w:val="Point ivx (2)"/>
    <w:basedOn w:val="Normal"/>
    <w:rsid w:val="00F86DEA"/>
    <w:pPr>
      <w:numPr>
        <w:ilvl w:val="2"/>
        <w:numId w:val="39"/>
      </w:numPr>
      <w:outlineLvl w:val="1"/>
    </w:pPr>
  </w:style>
  <w:style w:type="paragraph" w:customStyle="1" w:styleId="Pointivx3">
    <w:name w:val="Point ivx (3)"/>
    <w:basedOn w:val="Normal"/>
    <w:rsid w:val="00F86DEA"/>
    <w:pPr>
      <w:numPr>
        <w:ilvl w:val="3"/>
        <w:numId w:val="39"/>
      </w:numPr>
      <w:outlineLvl w:val="2"/>
    </w:pPr>
  </w:style>
  <w:style w:type="paragraph" w:customStyle="1" w:styleId="Pointivx4">
    <w:name w:val="Point ivx (4)"/>
    <w:basedOn w:val="Normal"/>
    <w:rsid w:val="00F86DEA"/>
    <w:pPr>
      <w:numPr>
        <w:ilvl w:val="4"/>
        <w:numId w:val="39"/>
      </w:numPr>
      <w:outlineLvl w:val="3"/>
    </w:pPr>
  </w:style>
  <w:style w:type="paragraph" w:customStyle="1" w:styleId="Bullet">
    <w:name w:val="Bullet"/>
    <w:basedOn w:val="Normal"/>
    <w:rsid w:val="00F86DEA"/>
    <w:pPr>
      <w:numPr>
        <w:numId w:val="33"/>
      </w:numPr>
    </w:pPr>
  </w:style>
  <w:style w:type="paragraph" w:customStyle="1" w:styleId="Bullet1">
    <w:name w:val="Bullet 1"/>
    <w:basedOn w:val="Normal"/>
    <w:rsid w:val="00F86DEA"/>
    <w:pPr>
      <w:numPr>
        <w:numId w:val="34"/>
      </w:numPr>
      <w:outlineLvl w:val="0"/>
    </w:pPr>
  </w:style>
  <w:style w:type="paragraph" w:customStyle="1" w:styleId="Bullet2">
    <w:name w:val="Bullet 2"/>
    <w:basedOn w:val="Normal"/>
    <w:rsid w:val="00F86DEA"/>
    <w:pPr>
      <w:numPr>
        <w:numId w:val="35"/>
      </w:numPr>
      <w:outlineLvl w:val="1"/>
    </w:pPr>
  </w:style>
  <w:style w:type="paragraph" w:customStyle="1" w:styleId="Bullet3">
    <w:name w:val="Bullet 3"/>
    <w:basedOn w:val="Normal"/>
    <w:rsid w:val="00F86DEA"/>
    <w:pPr>
      <w:numPr>
        <w:numId w:val="36"/>
      </w:numPr>
      <w:outlineLvl w:val="2"/>
    </w:pPr>
  </w:style>
  <w:style w:type="paragraph" w:customStyle="1" w:styleId="Bullet4">
    <w:name w:val="Bullet 4"/>
    <w:basedOn w:val="Normal"/>
    <w:rsid w:val="00F86DEA"/>
    <w:pPr>
      <w:numPr>
        <w:numId w:val="37"/>
      </w:numPr>
      <w:outlineLvl w:val="3"/>
    </w:pPr>
  </w:style>
  <w:style w:type="paragraph" w:customStyle="1" w:styleId="Dash">
    <w:name w:val="Dash"/>
    <w:basedOn w:val="Normal"/>
    <w:rsid w:val="00F86DEA"/>
    <w:pPr>
      <w:numPr>
        <w:numId w:val="23"/>
      </w:numPr>
    </w:pPr>
  </w:style>
  <w:style w:type="paragraph" w:customStyle="1" w:styleId="Dash1">
    <w:name w:val="Dash 1"/>
    <w:basedOn w:val="Normal"/>
    <w:rsid w:val="00F86DEA"/>
    <w:pPr>
      <w:numPr>
        <w:numId w:val="24"/>
      </w:numPr>
      <w:outlineLvl w:val="0"/>
    </w:pPr>
  </w:style>
  <w:style w:type="paragraph" w:customStyle="1" w:styleId="Dash2">
    <w:name w:val="Dash 2"/>
    <w:basedOn w:val="Normal"/>
    <w:rsid w:val="00F86DEA"/>
    <w:pPr>
      <w:numPr>
        <w:numId w:val="25"/>
      </w:numPr>
      <w:outlineLvl w:val="1"/>
    </w:pPr>
  </w:style>
  <w:style w:type="paragraph" w:customStyle="1" w:styleId="Dash3">
    <w:name w:val="Dash 3"/>
    <w:basedOn w:val="Normal"/>
    <w:rsid w:val="00F86DEA"/>
    <w:pPr>
      <w:numPr>
        <w:numId w:val="26"/>
      </w:numPr>
      <w:outlineLvl w:val="2"/>
    </w:pPr>
  </w:style>
  <w:style w:type="paragraph" w:customStyle="1" w:styleId="Dash4">
    <w:name w:val="Dash 4"/>
    <w:basedOn w:val="Normal"/>
    <w:rsid w:val="00F86DEA"/>
    <w:pPr>
      <w:numPr>
        <w:numId w:val="27"/>
      </w:numPr>
      <w:outlineLvl w:val="3"/>
    </w:pPr>
  </w:style>
  <w:style w:type="paragraph" w:customStyle="1" w:styleId="DashEqual">
    <w:name w:val="Dash Equal"/>
    <w:basedOn w:val="Dash"/>
    <w:rsid w:val="00F86DEA"/>
    <w:pPr>
      <w:numPr>
        <w:numId w:val="28"/>
      </w:numPr>
    </w:pPr>
  </w:style>
  <w:style w:type="paragraph" w:customStyle="1" w:styleId="DashEqual1">
    <w:name w:val="Dash Equal 1"/>
    <w:basedOn w:val="Dash1"/>
    <w:rsid w:val="00F86DEA"/>
    <w:pPr>
      <w:numPr>
        <w:numId w:val="29"/>
      </w:numPr>
    </w:pPr>
  </w:style>
  <w:style w:type="paragraph" w:customStyle="1" w:styleId="DashEqual2">
    <w:name w:val="Dash Equal 2"/>
    <w:basedOn w:val="Dash2"/>
    <w:rsid w:val="00F86DEA"/>
    <w:pPr>
      <w:numPr>
        <w:numId w:val="30"/>
      </w:numPr>
    </w:pPr>
  </w:style>
  <w:style w:type="paragraph" w:customStyle="1" w:styleId="DashEqual3">
    <w:name w:val="Dash Equal 3"/>
    <w:basedOn w:val="Dash3"/>
    <w:rsid w:val="00F86DEA"/>
    <w:pPr>
      <w:numPr>
        <w:numId w:val="31"/>
      </w:numPr>
    </w:pPr>
  </w:style>
  <w:style w:type="paragraph" w:customStyle="1" w:styleId="DashEqual4">
    <w:name w:val="Dash Equal 4"/>
    <w:basedOn w:val="Dash4"/>
    <w:rsid w:val="00F86DEA"/>
    <w:pPr>
      <w:numPr>
        <w:numId w:val="32"/>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42"/>
      </w:numPr>
    </w:pPr>
  </w:style>
  <w:style w:type="paragraph" w:customStyle="1" w:styleId="Heading123">
    <w:name w:val="Heading 123"/>
    <w:basedOn w:val="HeadingLeft"/>
    <w:next w:val="Normal"/>
    <w:rsid w:val="00F86DEA"/>
    <w:pPr>
      <w:numPr>
        <w:numId w:val="41"/>
      </w:numPr>
    </w:pPr>
  </w:style>
  <w:style w:type="paragraph" w:customStyle="1" w:styleId="HeadingABC">
    <w:name w:val="Heading ABC"/>
    <w:basedOn w:val="HeadingLeft"/>
    <w:next w:val="Normal"/>
    <w:rsid w:val="00F86DEA"/>
    <w:pPr>
      <w:numPr>
        <w:numId w:val="40"/>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DW_COUNCIL.dotm</Template>
  <TotalTime>0</TotalTime>
  <Pages>2</Pages>
  <Words>784</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MARETTO Aline</dc:creator>
  <cp:lastModifiedBy>BROGNON Monique</cp:lastModifiedBy>
  <cp:revision>4</cp:revision>
  <cp:lastPrinted>2015-03-06T11:08:00Z</cp:lastPrinted>
  <dcterms:created xsi:type="dcterms:W3CDTF">2015-03-06T11:17:00Z</dcterms:created>
  <dcterms:modified xsi:type="dcterms:W3CDTF">2015-03-06T11:18:00Z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3.3.1, Build 20150112</vt:lpwstr>
  </property>
  <property fmtid="{D5CDD505-2E9C-101B-9397-08002B2CF9AE}" pid="4" name="Last edited using">
    <vt:lpwstr>DocuWrite 3.4.3, Build 20150129</vt:lpwstr>
  </property>
</Properties>
</file>